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word/footer3.xml" ContentType="application/vnd.openxmlformats-officedocument.wordprocessingml.footer+xml"/>
  <Default Extension="jpeg" ContentType="image/jpeg"/>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ind w:left="0"/>
        <w:rPr>
          <w:sz w:val="20"/>
        </w:rPr>
      </w:pPr>
      <w:r>
        <w:rPr/>
        <w:pict>
          <v:group style="position:absolute;margin-left:0pt;margin-top:-.000017pt;width:595.35pt;height:836.8pt;mso-position-horizontal-relative:page;mso-position-vertical-relative:page;z-index:-18177536" id="docshapegroup1" coordorigin="0,0" coordsize="11907,16736">
            <v:rect style="position:absolute;left:0;top:0;width:11907;height:16736" id="docshape2" filled="true" fillcolor="#0a585d" stroked="false">
              <v:fill opacity="6681f" type="solid"/>
            </v:rect>
            <v:rect style="position:absolute;left:405;top:360;width:11025;height:13305" id="docshape3" filled="true" fillcolor="#ffffff" stroked="false">
              <v:fill type="solid"/>
            </v:rect>
            <w10:wrap type="none"/>
          </v:group>
        </w:pict>
      </w: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spacing w:before="11"/>
        <w:ind w:left="0"/>
        <w:rPr>
          <w:sz w:val="20"/>
        </w:rPr>
      </w:pPr>
    </w:p>
    <w:tbl>
      <w:tblPr>
        <w:tblW w:w="0" w:type="auto"/>
        <w:jc w:val="left"/>
        <w:tblInd w:w="12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489"/>
      </w:tblGrid>
      <w:tr>
        <w:trPr>
          <w:trHeight w:val="270" w:hRule="atLeast"/>
        </w:trPr>
        <w:tc>
          <w:tcPr>
            <w:tcW w:w="8489" w:type="dxa"/>
            <w:shd w:val="clear" w:color="auto" w:fill="FFFFFF"/>
          </w:tcPr>
          <w:p>
            <w:pPr>
              <w:pStyle w:val="TableParagraph"/>
              <w:spacing w:line="251" w:lineRule="exact"/>
              <w:ind w:left="50"/>
              <w:rPr>
                <w:sz w:val="24"/>
              </w:rPr>
            </w:pPr>
            <w:r>
              <w:rPr>
                <w:sz w:val="24"/>
              </w:rPr>
              <w:t>Клинические</w:t>
            </w:r>
            <w:r>
              <w:rPr>
                <w:spacing w:val="-2"/>
                <w:sz w:val="24"/>
              </w:rPr>
              <w:t> рекомендации</w:t>
            </w:r>
          </w:p>
        </w:tc>
      </w:tr>
      <w:tr>
        <w:trPr>
          <w:trHeight w:val="1092" w:hRule="atLeast"/>
        </w:trPr>
        <w:tc>
          <w:tcPr>
            <w:tcW w:w="8489" w:type="dxa"/>
            <w:shd w:val="clear" w:color="auto" w:fill="FFFFFF"/>
          </w:tcPr>
          <w:p>
            <w:pPr>
              <w:pStyle w:val="TableParagraph"/>
              <w:spacing w:line="271" w:lineRule="exact"/>
              <w:ind w:left="50"/>
              <w:rPr>
                <w:b/>
                <w:sz w:val="24"/>
              </w:rPr>
            </w:pPr>
            <w:r>
              <w:rPr>
                <w:b/>
                <w:sz w:val="24"/>
              </w:rPr>
              <w:t>Нарушения</w:t>
            </w:r>
            <w:r>
              <w:rPr>
                <w:b/>
                <w:spacing w:val="-5"/>
                <w:sz w:val="24"/>
              </w:rPr>
              <w:t> </w:t>
            </w:r>
            <w:r>
              <w:rPr>
                <w:b/>
                <w:sz w:val="24"/>
              </w:rPr>
              <w:t>липидного</w:t>
            </w:r>
            <w:r>
              <w:rPr>
                <w:b/>
                <w:spacing w:val="-4"/>
                <w:sz w:val="24"/>
              </w:rPr>
              <w:t> </w:t>
            </w:r>
            <w:r>
              <w:rPr>
                <w:b/>
                <w:spacing w:val="-2"/>
                <w:sz w:val="24"/>
              </w:rPr>
              <w:t>обмена</w:t>
            </w:r>
          </w:p>
        </w:tc>
      </w:tr>
      <w:tr>
        <w:trPr>
          <w:trHeight w:val="1092" w:hRule="atLeast"/>
        </w:trPr>
        <w:tc>
          <w:tcPr>
            <w:tcW w:w="8489" w:type="dxa"/>
            <w:shd w:val="clear" w:color="auto" w:fill="FFFFFF"/>
          </w:tcPr>
          <w:p>
            <w:pPr>
              <w:pStyle w:val="TableParagraph"/>
              <w:ind w:left="0"/>
              <w:rPr>
                <w:sz w:val="26"/>
              </w:rPr>
            </w:pPr>
          </w:p>
          <w:p>
            <w:pPr>
              <w:pStyle w:val="TableParagraph"/>
              <w:ind w:left="0"/>
              <w:rPr>
                <w:sz w:val="26"/>
              </w:rPr>
            </w:pPr>
          </w:p>
          <w:p>
            <w:pPr>
              <w:pStyle w:val="TableParagraph"/>
              <w:spacing w:line="261" w:lineRule="exact" w:before="213"/>
              <w:ind w:left="50"/>
              <w:rPr>
                <w:b/>
                <w:sz w:val="24"/>
              </w:rPr>
            </w:pPr>
            <w:r>
              <w:rPr>
                <w:sz w:val="24"/>
              </w:rPr>
              <w:t>Код</w:t>
            </w:r>
            <w:r>
              <w:rPr>
                <w:spacing w:val="-1"/>
                <w:sz w:val="24"/>
              </w:rPr>
              <w:t> </w:t>
            </w:r>
            <w:r>
              <w:rPr>
                <w:sz w:val="24"/>
              </w:rPr>
              <w:t>по МКБ</w:t>
            </w:r>
            <w:r>
              <w:rPr>
                <w:spacing w:val="-1"/>
                <w:sz w:val="24"/>
              </w:rPr>
              <w:t> </w:t>
            </w:r>
            <w:r>
              <w:rPr>
                <w:sz w:val="24"/>
              </w:rPr>
              <w:t>10: </w:t>
            </w:r>
            <w:r>
              <w:rPr>
                <w:b/>
                <w:sz w:val="24"/>
              </w:rPr>
              <w:t>E78.0/</w:t>
            </w:r>
            <w:r>
              <w:rPr>
                <w:b/>
                <w:spacing w:val="-3"/>
                <w:sz w:val="24"/>
              </w:rPr>
              <w:t> </w:t>
            </w:r>
            <w:r>
              <w:rPr>
                <w:b/>
                <w:sz w:val="24"/>
              </w:rPr>
              <w:t>E78.1/ E78.2/ E78.3/</w:t>
            </w:r>
            <w:r>
              <w:rPr>
                <w:b/>
                <w:spacing w:val="-2"/>
                <w:sz w:val="24"/>
              </w:rPr>
              <w:t> </w:t>
            </w:r>
            <w:r>
              <w:rPr>
                <w:b/>
                <w:spacing w:val="-4"/>
                <w:sz w:val="24"/>
              </w:rPr>
              <w:t>E78.4</w:t>
            </w:r>
          </w:p>
        </w:tc>
      </w:tr>
      <w:tr>
        <w:trPr>
          <w:trHeight w:val="550" w:hRule="atLeast"/>
        </w:trPr>
        <w:tc>
          <w:tcPr>
            <w:tcW w:w="8489" w:type="dxa"/>
            <w:shd w:val="clear" w:color="auto" w:fill="FFFFFF"/>
          </w:tcPr>
          <w:p>
            <w:pPr>
              <w:pStyle w:val="TableParagraph"/>
              <w:spacing w:line="271" w:lineRule="exact"/>
              <w:ind w:left="50"/>
              <w:rPr>
                <w:sz w:val="24"/>
              </w:rPr>
            </w:pPr>
            <w:r>
              <w:rPr>
                <w:sz w:val="24"/>
              </w:rPr>
              <w:t>Возрастная</w:t>
            </w:r>
            <w:r>
              <w:rPr>
                <w:spacing w:val="-2"/>
                <w:sz w:val="24"/>
              </w:rPr>
              <w:t> </w:t>
            </w:r>
            <w:r>
              <w:rPr>
                <w:sz w:val="24"/>
              </w:rPr>
              <w:t>группа:</w:t>
            </w:r>
            <w:r>
              <w:rPr>
                <w:spacing w:val="-1"/>
                <w:sz w:val="24"/>
              </w:rPr>
              <w:t> </w:t>
            </w:r>
            <w:r>
              <w:rPr>
                <w:spacing w:val="-2"/>
                <w:sz w:val="24"/>
              </w:rPr>
              <w:t>взрослые</w:t>
            </w:r>
          </w:p>
        </w:tc>
      </w:tr>
      <w:tr>
        <w:trPr>
          <w:trHeight w:val="810" w:hRule="atLeast"/>
        </w:trPr>
        <w:tc>
          <w:tcPr>
            <w:tcW w:w="8489" w:type="dxa"/>
            <w:shd w:val="clear" w:color="auto" w:fill="FFFFFF"/>
          </w:tcPr>
          <w:p>
            <w:pPr>
              <w:pStyle w:val="TableParagraph"/>
              <w:spacing w:before="5"/>
              <w:ind w:left="0"/>
              <w:rPr>
                <w:sz w:val="23"/>
              </w:rPr>
            </w:pPr>
          </w:p>
          <w:p>
            <w:pPr>
              <w:pStyle w:val="TableParagraph"/>
              <w:ind w:left="50"/>
              <w:rPr>
                <w:b/>
                <w:sz w:val="24"/>
              </w:rPr>
            </w:pPr>
            <w:r>
              <w:rPr>
                <w:sz w:val="24"/>
              </w:rPr>
              <w:t>Год</w:t>
            </w:r>
            <w:r>
              <w:rPr>
                <w:spacing w:val="-3"/>
                <w:sz w:val="24"/>
              </w:rPr>
              <w:t> </w:t>
            </w:r>
            <w:r>
              <w:rPr>
                <w:sz w:val="24"/>
              </w:rPr>
              <w:t>утверждения:</w:t>
            </w:r>
            <w:r>
              <w:rPr>
                <w:spacing w:val="-1"/>
                <w:sz w:val="24"/>
              </w:rPr>
              <w:t> </w:t>
            </w:r>
            <w:r>
              <w:rPr>
                <w:b/>
                <w:spacing w:val="-4"/>
                <w:sz w:val="24"/>
              </w:rPr>
              <w:t>2023</w:t>
            </w:r>
          </w:p>
        </w:tc>
      </w:tr>
      <w:tr>
        <w:trPr>
          <w:trHeight w:val="1098" w:hRule="atLeast"/>
        </w:trPr>
        <w:tc>
          <w:tcPr>
            <w:tcW w:w="8489" w:type="dxa"/>
            <w:shd w:val="clear" w:color="auto" w:fill="FFFFFF"/>
          </w:tcPr>
          <w:p>
            <w:pPr>
              <w:pStyle w:val="TableParagraph"/>
              <w:spacing w:before="1"/>
              <w:ind w:left="0"/>
              <w:rPr>
                <w:sz w:val="22"/>
              </w:rPr>
            </w:pPr>
          </w:p>
          <w:p>
            <w:pPr>
              <w:pStyle w:val="TableParagraph"/>
              <w:spacing w:line="276" w:lineRule="exact"/>
              <w:ind w:left="50"/>
              <w:rPr>
                <w:sz w:val="24"/>
              </w:rPr>
            </w:pPr>
            <w:r>
              <w:rPr>
                <w:sz w:val="24"/>
              </w:rPr>
              <w:t>Разработчик</w:t>
            </w:r>
            <w:r>
              <w:rPr>
                <w:spacing w:val="-3"/>
                <w:sz w:val="24"/>
              </w:rPr>
              <w:t> </w:t>
            </w:r>
            <w:r>
              <w:rPr>
                <w:sz w:val="24"/>
              </w:rPr>
              <w:t>клинической </w:t>
            </w:r>
            <w:r>
              <w:rPr>
                <w:spacing w:val="-2"/>
                <w:sz w:val="24"/>
              </w:rPr>
              <w:t>рекомендации:</w:t>
            </w:r>
          </w:p>
          <w:p>
            <w:pPr>
              <w:pStyle w:val="TableParagraph"/>
              <w:numPr>
                <w:ilvl w:val="0"/>
                <w:numId w:val="1"/>
              </w:numPr>
              <w:tabs>
                <w:tab w:pos="1117" w:val="left" w:leader="none"/>
                <w:tab w:pos="1118" w:val="left" w:leader="none"/>
              </w:tabs>
              <w:spacing w:line="276" w:lineRule="exact" w:before="0" w:after="0"/>
              <w:ind w:left="50" w:right="2553" w:firstLine="708"/>
              <w:jc w:val="left"/>
              <w:rPr>
                <w:sz w:val="24"/>
              </w:rPr>
            </w:pPr>
            <w:r>
              <w:rPr>
                <w:sz w:val="24"/>
              </w:rPr>
              <w:t>Российское</w:t>
            </w:r>
            <w:r>
              <w:rPr>
                <w:spacing w:val="-13"/>
                <w:sz w:val="24"/>
              </w:rPr>
              <w:t> </w:t>
            </w:r>
            <w:r>
              <w:rPr>
                <w:sz w:val="24"/>
              </w:rPr>
              <w:t>кардиологическое</w:t>
            </w:r>
            <w:r>
              <w:rPr>
                <w:spacing w:val="-13"/>
                <w:sz w:val="24"/>
              </w:rPr>
              <w:t> </w:t>
            </w:r>
            <w:r>
              <w:rPr>
                <w:sz w:val="24"/>
              </w:rPr>
              <w:t>общество</w:t>
            </w:r>
            <w:r>
              <w:rPr>
                <w:spacing w:val="-12"/>
                <w:sz w:val="24"/>
              </w:rPr>
              <w:t> </w:t>
            </w:r>
            <w:r>
              <w:rPr>
                <w:sz w:val="24"/>
              </w:rPr>
              <w:t>(РКО) При участии:</w:t>
            </w:r>
          </w:p>
        </w:tc>
      </w:tr>
      <w:tr>
        <w:trPr>
          <w:trHeight w:val="2607" w:hRule="atLeast"/>
        </w:trPr>
        <w:tc>
          <w:tcPr>
            <w:tcW w:w="8489" w:type="dxa"/>
            <w:shd w:val="clear" w:color="auto" w:fill="FFFFFF"/>
          </w:tcPr>
          <w:p>
            <w:pPr>
              <w:pStyle w:val="TableParagraph"/>
              <w:numPr>
                <w:ilvl w:val="0"/>
                <w:numId w:val="2"/>
              </w:numPr>
              <w:tabs>
                <w:tab w:pos="1117" w:val="left" w:leader="none"/>
                <w:tab w:pos="1118" w:val="left" w:leader="none"/>
              </w:tabs>
              <w:spacing w:line="293" w:lineRule="exact" w:before="0" w:after="0"/>
              <w:ind w:left="1118" w:right="0" w:hanging="360"/>
              <w:jc w:val="left"/>
              <w:rPr>
                <w:sz w:val="24"/>
              </w:rPr>
            </w:pPr>
            <w:r>
              <w:rPr>
                <w:sz w:val="24"/>
              </w:rPr>
              <w:t>Национального</w:t>
            </w:r>
            <w:r>
              <w:rPr>
                <w:spacing w:val="-4"/>
                <w:sz w:val="24"/>
              </w:rPr>
              <w:t> </w:t>
            </w:r>
            <w:r>
              <w:rPr>
                <w:sz w:val="24"/>
              </w:rPr>
              <w:t>общества</w:t>
            </w:r>
            <w:r>
              <w:rPr>
                <w:spacing w:val="-3"/>
                <w:sz w:val="24"/>
              </w:rPr>
              <w:t> </w:t>
            </w:r>
            <w:r>
              <w:rPr>
                <w:sz w:val="24"/>
              </w:rPr>
              <w:t>по</w:t>
            </w:r>
            <w:r>
              <w:rPr>
                <w:spacing w:val="-1"/>
                <w:sz w:val="24"/>
              </w:rPr>
              <w:t> </w:t>
            </w:r>
            <w:r>
              <w:rPr>
                <w:sz w:val="24"/>
              </w:rPr>
              <w:t>изучению</w:t>
            </w:r>
            <w:r>
              <w:rPr>
                <w:spacing w:val="-2"/>
                <w:sz w:val="24"/>
              </w:rPr>
              <w:t> </w:t>
            </w:r>
            <w:r>
              <w:rPr>
                <w:sz w:val="24"/>
              </w:rPr>
              <w:t>атеросклероза</w:t>
            </w:r>
            <w:r>
              <w:rPr>
                <w:spacing w:val="-2"/>
                <w:sz w:val="24"/>
              </w:rPr>
              <w:t> (НОА)</w:t>
            </w:r>
          </w:p>
          <w:p>
            <w:pPr>
              <w:pStyle w:val="TableParagraph"/>
              <w:numPr>
                <w:ilvl w:val="0"/>
                <w:numId w:val="2"/>
              </w:numPr>
              <w:tabs>
                <w:tab w:pos="1117" w:val="left" w:leader="none"/>
                <w:tab w:pos="1118" w:val="left" w:leader="none"/>
              </w:tabs>
              <w:spacing w:line="293" w:lineRule="exact" w:before="0" w:after="0"/>
              <w:ind w:left="1118" w:right="0" w:hanging="360"/>
              <w:jc w:val="left"/>
              <w:rPr>
                <w:sz w:val="24"/>
              </w:rPr>
            </w:pPr>
            <w:r>
              <w:rPr>
                <w:sz w:val="24"/>
              </w:rPr>
              <w:t>Российской</w:t>
            </w:r>
            <w:r>
              <w:rPr>
                <w:spacing w:val="-1"/>
                <w:sz w:val="24"/>
              </w:rPr>
              <w:t> </w:t>
            </w:r>
            <w:r>
              <w:rPr>
                <w:sz w:val="24"/>
              </w:rPr>
              <w:t>ассоциации</w:t>
            </w:r>
            <w:r>
              <w:rPr>
                <w:spacing w:val="-2"/>
                <w:sz w:val="24"/>
              </w:rPr>
              <w:t> </w:t>
            </w:r>
            <w:r>
              <w:rPr>
                <w:sz w:val="24"/>
              </w:rPr>
              <w:t>эндокринологов</w:t>
            </w:r>
            <w:r>
              <w:rPr>
                <w:spacing w:val="-2"/>
                <w:sz w:val="24"/>
              </w:rPr>
              <w:t> (РАЭ)</w:t>
            </w:r>
          </w:p>
          <w:p>
            <w:pPr>
              <w:pStyle w:val="TableParagraph"/>
              <w:numPr>
                <w:ilvl w:val="0"/>
                <w:numId w:val="2"/>
              </w:numPr>
              <w:tabs>
                <w:tab w:pos="1117" w:val="left" w:leader="none"/>
                <w:tab w:pos="1118" w:val="left" w:leader="none"/>
              </w:tabs>
              <w:spacing w:line="240" w:lineRule="auto" w:before="0" w:after="0"/>
              <w:ind w:left="1117" w:right="48" w:hanging="360"/>
              <w:jc w:val="left"/>
              <w:rPr>
                <w:sz w:val="24"/>
              </w:rPr>
            </w:pPr>
            <w:r>
              <w:rPr>
                <w:sz w:val="24"/>
              </w:rPr>
              <w:t>Российского</w:t>
            </w:r>
            <w:r>
              <w:rPr>
                <w:spacing w:val="-9"/>
                <w:sz w:val="24"/>
              </w:rPr>
              <w:t> </w:t>
            </w:r>
            <w:r>
              <w:rPr>
                <w:sz w:val="24"/>
              </w:rPr>
              <w:t>общества</w:t>
            </w:r>
            <w:r>
              <w:rPr>
                <w:spacing w:val="-9"/>
                <w:sz w:val="24"/>
              </w:rPr>
              <w:t> </w:t>
            </w:r>
            <w:r>
              <w:rPr>
                <w:sz w:val="24"/>
              </w:rPr>
              <w:t>кардиосоматической</w:t>
            </w:r>
            <w:r>
              <w:rPr>
                <w:spacing w:val="-7"/>
                <w:sz w:val="24"/>
              </w:rPr>
              <w:t> </w:t>
            </w:r>
            <w:r>
              <w:rPr>
                <w:sz w:val="24"/>
              </w:rPr>
              <w:t>реабилитации</w:t>
            </w:r>
            <w:r>
              <w:rPr>
                <w:spacing w:val="-9"/>
                <w:sz w:val="24"/>
              </w:rPr>
              <w:t> </w:t>
            </w:r>
            <w:r>
              <w:rPr>
                <w:sz w:val="24"/>
              </w:rPr>
              <w:t>и</w:t>
            </w:r>
            <w:r>
              <w:rPr>
                <w:spacing w:val="-7"/>
                <w:sz w:val="24"/>
              </w:rPr>
              <w:t> </w:t>
            </w:r>
            <w:r>
              <w:rPr>
                <w:sz w:val="24"/>
              </w:rPr>
              <w:t>вторичной профилактики (РосОКР)</w:t>
            </w:r>
          </w:p>
          <w:p>
            <w:pPr>
              <w:pStyle w:val="TableParagraph"/>
              <w:numPr>
                <w:ilvl w:val="0"/>
                <w:numId w:val="2"/>
              </w:numPr>
              <w:tabs>
                <w:tab w:pos="1117" w:val="left" w:leader="none"/>
                <w:tab w:pos="1118" w:val="left" w:leader="none"/>
              </w:tabs>
              <w:spacing w:line="240" w:lineRule="auto" w:before="0" w:after="0"/>
              <w:ind w:left="1118" w:right="0" w:hanging="361"/>
              <w:jc w:val="left"/>
              <w:rPr>
                <w:sz w:val="24"/>
              </w:rPr>
            </w:pPr>
            <w:r>
              <w:rPr>
                <w:sz w:val="24"/>
              </w:rPr>
              <w:t>Российского</w:t>
            </w:r>
            <w:r>
              <w:rPr>
                <w:spacing w:val="-4"/>
                <w:sz w:val="24"/>
              </w:rPr>
              <w:t> </w:t>
            </w:r>
            <w:r>
              <w:rPr>
                <w:sz w:val="24"/>
              </w:rPr>
              <w:t>научного</w:t>
            </w:r>
            <w:r>
              <w:rPr>
                <w:spacing w:val="-4"/>
                <w:sz w:val="24"/>
              </w:rPr>
              <w:t> </w:t>
            </w:r>
            <w:r>
              <w:rPr>
                <w:sz w:val="24"/>
              </w:rPr>
              <w:t>медицинского</w:t>
            </w:r>
            <w:r>
              <w:rPr>
                <w:spacing w:val="-1"/>
                <w:sz w:val="24"/>
              </w:rPr>
              <w:t> </w:t>
            </w:r>
            <w:r>
              <w:rPr>
                <w:sz w:val="24"/>
              </w:rPr>
              <w:t>общества</w:t>
            </w:r>
            <w:r>
              <w:rPr>
                <w:spacing w:val="-2"/>
                <w:sz w:val="24"/>
              </w:rPr>
              <w:t> </w:t>
            </w:r>
            <w:r>
              <w:rPr>
                <w:sz w:val="24"/>
              </w:rPr>
              <w:t>терапевтов</w:t>
            </w:r>
            <w:r>
              <w:rPr>
                <w:spacing w:val="-2"/>
                <w:sz w:val="24"/>
              </w:rPr>
              <w:t> (РНМОТ)</w:t>
            </w:r>
          </w:p>
          <w:p>
            <w:pPr>
              <w:pStyle w:val="TableParagraph"/>
              <w:numPr>
                <w:ilvl w:val="0"/>
                <w:numId w:val="2"/>
              </w:numPr>
              <w:tabs>
                <w:tab w:pos="1117" w:val="left" w:leader="none"/>
                <w:tab w:pos="1118" w:val="left" w:leader="none"/>
              </w:tabs>
              <w:spacing w:line="240" w:lineRule="auto" w:before="1" w:after="0"/>
              <w:ind w:left="1118" w:right="0" w:hanging="361"/>
              <w:jc w:val="left"/>
              <w:rPr>
                <w:sz w:val="24"/>
              </w:rPr>
            </w:pPr>
            <w:r>
              <w:rPr>
                <w:sz w:val="24"/>
              </w:rPr>
              <w:t>Евразийской</w:t>
            </w:r>
            <w:r>
              <w:rPr>
                <w:spacing w:val="-2"/>
                <w:sz w:val="24"/>
              </w:rPr>
              <w:t> </w:t>
            </w:r>
            <w:r>
              <w:rPr>
                <w:sz w:val="24"/>
              </w:rPr>
              <w:t>ассоциации</w:t>
            </w:r>
            <w:r>
              <w:rPr>
                <w:spacing w:val="-2"/>
                <w:sz w:val="24"/>
              </w:rPr>
              <w:t> кардиологов</w:t>
            </w:r>
          </w:p>
          <w:p>
            <w:pPr>
              <w:pStyle w:val="TableParagraph"/>
              <w:numPr>
                <w:ilvl w:val="0"/>
                <w:numId w:val="2"/>
              </w:numPr>
              <w:tabs>
                <w:tab w:pos="1117" w:val="left" w:leader="none"/>
                <w:tab w:pos="1118" w:val="left" w:leader="none"/>
              </w:tabs>
              <w:spacing w:line="240" w:lineRule="auto" w:before="136" w:after="0"/>
              <w:ind w:left="1118" w:right="0" w:hanging="361"/>
              <w:jc w:val="left"/>
              <w:rPr>
                <w:sz w:val="24"/>
              </w:rPr>
            </w:pPr>
            <w:r>
              <w:rPr>
                <w:sz w:val="24"/>
              </w:rPr>
              <w:t>Евразийской</w:t>
            </w:r>
            <w:r>
              <w:rPr>
                <w:spacing w:val="-5"/>
                <w:sz w:val="24"/>
              </w:rPr>
              <w:t> </w:t>
            </w:r>
            <w:r>
              <w:rPr>
                <w:sz w:val="24"/>
              </w:rPr>
              <w:t>ассоциации</w:t>
            </w:r>
            <w:r>
              <w:rPr>
                <w:spacing w:val="-2"/>
                <w:sz w:val="24"/>
              </w:rPr>
              <w:t> </w:t>
            </w:r>
            <w:r>
              <w:rPr>
                <w:sz w:val="24"/>
              </w:rPr>
              <w:t>терапевтов</w:t>
            </w:r>
            <w:r>
              <w:rPr>
                <w:spacing w:val="-4"/>
                <w:sz w:val="24"/>
              </w:rPr>
              <w:t> </w:t>
            </w:r>
            <w:r>
              <w:rPr>
                <w:spacing w:val="-2"/>
                <w:sz w:val="24"/>
              </w:rPr>
              <w:t>(ЕАТ)</w:t>
            </w:r>
          </w:p>
          <w:p>
            <w:pPr>
              <w:pStyle w:val="TableParagraph"/>
              <w:numPr>
                <w:ilvl w:val="0"/>
                <w:numId w:val="2"/>
              </w:numPr>
              <w:tabs>
                <w:tab w:pos="1117" w:val="left" w:leader="none"/>
                <w:tab w:pos="1118" w:val="left" w:leader="none"/>
              </w:tabs>
              <w:spacing w:line="274" w:lineRule="exact" w:before="138" w:after="0"/>
              <w:ind w:left="1118" w:right="0" w:hanging="361"/>
              <w:jc w:val="left"/>
              <w:rPr>
                <w:sz w:val="24"/>
              </w:rPr>
            </w:pPr>
            <w:r>
              <w:rPr>
                <w:sz w:val="24"/>
              </w:rPr>
              <w:t>Российской</w:t>
            </w:r>
            <w:r>
              <w:rPr>
                <w:spacing w:val="-1"/>
                <w:sz w:val="24"/>
              </w:rPr>
              <w:t> </w:t>
            </w:r>
            <w:r>
              <w:rPr>
                <w:sz w:val="24"/>
              </w:rPr>
              <w:t>ассоциации</w:t>
            </w:r>
            <w:r>
              <w:rPr>
                <w:spacing w:val="-3"/>
                <w:sz w:val="24"/>
              </w:rPr>
              <w:t> </w:t>
            </w:r>
            <w:r>
              <w:rPr>
                <w:sz w:val="24"/>
              </w:rPr>
              <w:t>геронтологов</w:t>
            </w:r>
            <w:r>
              <w:rPr>
                <w:spacing w:val="-2"/>
                <w:sz w:val="24"/>
              </w:rPr>
              <w:t> </w:t>
            </w:r>
            <w:r>
              <w:rPr>
                <w:sz w:val="24"/>
              </w:rPr>
              <w:t>и </w:t>
            </w:r>
            <w:r>
              <w:rPr>
                <w:spacing w:val="-2"/>
                <w:sz w:val="24"/>
              </w:rPr>
              <w:t>гериатров</w:t>
            </w:r>
          </w:p>
        </w:tc>
      </w:tr>
    </w:tbl>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ind w:left="0"/>
        <w:rPr>
          <w:sz w:val="20"/>
        </w:rPr>
      </w:pPr>
    </w:p>
    <w:p>
      <w:pPr>
        <w:pStyle w:val="BodyText"/>
        <w:spacing w:before="2"/>
        <w:ind w:left="0"/>
        <w:rPr>
          <w:sz w:val="18"/>
        </w:rPr>
      </w:pPr>
    </w:p>
    <w:p>
      <w:pPr>
        <w:spacing w:before="0"/>
        <w:ind w:left="0" w:right="569" w:firstLine="0"/>
        <w:jc w:val="right"/>
        <w:rPr>
          <w:rFonts w:ascii="Calibri"/>
          <w:sz w:val="20"/>
        </w:rPr>
      </w:pPr>
      <w:r>
        <w:rPr>
          <w:rFonts w:ascii="Calibri"/>
          <w:w w:val="99"/>
          <w:sz w:val="20"/>
        </w:rPr>
        <w:t>1</w:t>
      </w:r>
    </w:p>
    <w:p>
      <w:pPr>
        <w:spacing w:after="0"/>
        <w:jc w:val="right"/>
        <w:rPr>
          <w:rFonts w:ascii="Calibri"/>
          <w:sz w:val="20"/>
        </w:rPr>
        <w:sectPr>
          <w:type w:val="continuous"/>
          <w:pgSz w:w="11910" w:h="16840"/>
          <w:pgMar w:top="1920" w:bottom="280" w:left="440" w:right="280"/>
        </w:sectPr>
      </w:pPr>
    </w:p>
    <w:p>
      <w:pPr>
        <w:pStyle w:val="Heading1"/>
        <w:spacing w:before="74"/>
        <w:jc w:val="left"/>
        <w:rPr>
          <w:rFonts w:ascii="Cambria" w:hAnsi="Cambria"/>
        </w:rPr>
      </w:pPr>
      <w:r>
        <w:rPr>
          <w:rFonts w:ascii="Cambria" w:hAnsi="Cambria"/>
          <w:spacing w:val="-2"/>
        </w:rPr>
        <w:t>Оглавление</w:t>
      </w:r>
    </w:p>
    <w:p>
      <w:pPr>
        <w:spacing w:after="0"/>
        <w:jc w:val="left"/>
        <w:rPr>
          <w:rFonts w:ascii="Cambria" w:hAnsi="Cambria"/>
        </w:rPr>
        <w:sectPr>
          <w:footerReference w:type="default" r:id="rId5"/>
          <w:pgSz w:w="11910" w:h="16840"/>
          <w:pgMar w:footer="710" w:header="0" w:top="1040" w:bottom="1269" w:left="440" w:right="280"/>
          <w:pgNumType w:start="2"/>
        </w:sectPr>
      </w:pPr>
    </w:p>
    <w:sdt>
      <w:sdtPr>
        <w:docPartObj>
          <w:docPartGallery w:val="Table of Contents"/>
          <w:docPartUnique/>
        </w:docPartObj>
      </w:sdtPr>
      <w:sdtEndPr/>
      <w:sdtContent>
        <w:p>
          <w:pPr>
            <w:pStyle w:val="TOC1"/>
            <w:tabs>
              <w:tab w:pos="10487" w:val="left" w:leader="dot"/>
            </w:tabs>
            <w:spacing w:before="50"/>
            <w:jc w:val="left"/>
          </w:pPr>
          <w:hyperlink w:history="true" w:anchor="_bookmark0">
            <w:r>
              <w:rPr/>
              <w:t>Список</w:t>
            </w:r>
            <w:r>
              <w:rPr>
                <w:spacing w:val="-2"/>
              </w:rPr>
              <w:t> сокращений</w:t>
            </w:r>
            <w:r>
              <w:rPr>
                <w:b w:val="0"/>
              </w:rPr>
              <w:tab/>
            </w:r>
            <w:r>
              <w:rPr>
                <w:spacing w:val="-12"/>
              </w:rPr>
              <w:t>4</w:t>
            </w:r>
          </w:hyperlink>
        </w:p>
        <w:p>
          <w:pPr>
            <w:pStyle w:val="TOC1"/>
            <w:tabs>
              <w:tab w:pos="10487" w:val="left" w:leader="dot"/>
            </w:tabs>
            <w:spacing w:before="99"/>
            <w:jc w:val="left"/>
          </w:pPr>
          <w:hyperlink w:history="true" w:anchor="_bookmark1">
            <w:r>
              <w:rPr/>
              <w:t>Термины</w:t>
            </w:r>
            <w:r>
              <w:rPr>
                <w:spacing w:val="-2"/>
              </w:rPr>
              <w:t> </w:t>
            </w:r>
            <w:r>
              <w:rPr/>
              <w:t>и</w:t>
            </w:r>
            <w:r>
              <w:rPr>
                <w:spacing w:val="-1"/>
              </w:rPr>
              <w:t> </w:t>
            </w:r>
            <w:r>
              <w:rPr>
                <w:spacing w:val="-2"/>
              </w:rPr>
              <w:t>определения</w:t>
            </w:r>
            <w:r>
              <w:rPr>
                <w:b w:val="0"/>
              </w:rPr>
              <w:tab/>
            </w:r>
            <w:r>
              <w:rPr>
                <w:spacing w:val="-10"/>
              </w:rPr>
              <w:t>5</w:t>
            </w:r>
          </w:hyperlink>
        </w:p>
        <w:p>
          <w:pPr>
            <w:pStyle w:val="TOC1"/>
            <w:numPr>
              <w:ilvl w:val="0"/>
              <w:numId w:val="3"/>
            </w:numPr>
            <w:tabs>
              <w:tab w:pos="1612" w:val="left" w:leader="none"/>
              <w:tab w:pos="10487" w:val="left" w:leader="dot"/>
            </w:tabs>
            <w:spacing w:line="240" w:lineRule="auto" w:before="100" w:after="0"/>
            <w:ind w:left="1261" w:right="567" w:firstLine="0"/>
            <w:jc w:val="left"/>
          </w:pPr>
          <w:hyperlink w:history="true" w:anchor="_bookmark2">
            <w:r>
              <w:rPr/>
              <w:t>Краткая</w:t>
            </w:r>
            <w:r>
              <w:rPr>
                <w:spacing w:val="80"/>
              </w:rPr>
              <w:t> </w:t>
            </w:r>
            <w:r>
              <w:rPr/>
              <w:t>информация</w:t>
            </w:r>
            <w:r>
              <w:rPr>
                <w:spacing w:val="80"/>
              </w:rPr>
              <w:t> </w:t>
            </w:r>
            <w:r>
              <w:rPr/>
              <w:t>по</w:t>
            </w:r>
            <w:r>
              <w:rPr>
                <w:spacing w:val="80"/>
              </w:rPr>
              <w:t> </w:t>
            </w:r>
            <w:r>
              <w:rPr/>
              <w:t>заболеванию</w:t>
            </w:r>
            <w:r>
              <w:rPr>
                <w:spacing w:val="80"/>
              </w:rPr>
              <w:t> </w:t>
            </w:r>
            <w:r>
              <w:rPr/>
              <w:t>или</w:t>
            </w:r>
            <w:r>
              <w:rPr>
                <w:spacing w:val="80"/>
              </w:rPr>
              <w:t> </w:t>
            </w:r>
            <w:r>
              <w:rPr/>
              <w:t>состоянию</w:t>
            </w:r>
            <w:r>
              <w:rPr>
                <w:spacing w:val="80"/>
              </w:rPr>
              <w:t> </w:t>
            </w:r>
            <w:r>
              <w:rPr/>
              <w:t>(группе</w:t>
            </w:r>
            <w:r>
              <w:rPr>
                <w:spacing w:val="80"/>
              </w:rPr>
              <w:t> </w:t>
            </w:r>
            <w:r>
              <w:rPr/>
              <w:t>заболеваний,</w:t>
            </w:r>
          </w:hyperlink>
          <w:r>
            <w:rPr/>
            <w:t> </w:t>
          </w:r>
          <w:hyperlink w:history="true" w:anchor="_bookmark2">
            <w:r>
              <w:rPr>
                <w:spacing w:val="-2"/>
              </w:rPr>
              <w:t>состояний)</w:t>
            </w:r>
            <w:r>
              <w:rPr>
                <w:b w:val="0"/>
              </w:rPr>
              <w:tab/>
            </w:r>
            <w:r>
              <w:rPr>
                <w:spacing w:val="-10"/>
              </w:rPr>
              <w:t>7</w:t>
            </w:r>
          </w:hyperlink>
        </w:p>
        <w:p>
          <w:pPr>
            <w:pStyle w:val="TOC2"/>
            <w:numPr>
              <w:ilvl w:val="1"/>
              <w:numId w:val="3"/>
            </w:numPr>
            <w:tabs>
              <w:tab w:pos="1862" w:val="left" w:leader="none"/>
              <w:tab w:pos="10484" w:val="left" w:leader="dot"/>
            </w:tabs>
            <w:spacing w:line="240" w:lineRule="auto" w:before="101" w:after="0"/>
            <w:ind w:left="1861" w:right="0" w:hanging="361"/>
            <w:jc w:val="left"/>
          </w:pPr>
          <w:hyperlink w:history="true" w:anchor="_bookmark3">
            <w:r>
              <w:rPr/>
              <w:t>Определение</w:t>
            </w:r>
            <w:r>
              <w:rPr>
                <w:spacing w:val="-6"/>
              </w:rPr>
              <w:t> </w:t>
            </w:r>
            <w:r>
              <w:rPr/>
              <w:t>заболевания</w:t>
            </w:r>
            <w:r>
              <w:rPr>
                <w:spacing w:val="-4"/>
              </w:rPr>
              <w:t> </w:t>
            </w:r>
            <w:r>
              <w:rPr/>
              <w:t>или</w:t>
            </w:r>
            <w:r>
              <w:rPr>
                <w:spacing w:val="-3"/>
              </w:rPr>
              <w:t> </w:t>
            </w:r>
            <w:r>
              <w:rPr/>
              <w:t>состояния</w:t>
            </w:r>
            <w:r>
              <w:rPr>
                <w:spacing w:val="-5"/>
              </w:rPr>
              <w:t> </w:t>
            </w:r>
            <w:r>
              <w:rPr/>
              <w:t>(группы</w:t>
            </w:r>
            <w:r>
              <w:rPr>
                <w:spacing w:val="-4"/>
              </w:rPr>
              <w:t> </w:t>
            </w:r>
            <w:r>
              <w:rPr/>
              <w:t>заболеваний,</w:t>
            </w:r>
            <w:r>
              <w:rPr>
                <w:spacing w:val="-5"/>
              </w:rPr>
              <w:t> </w:t>
            </w:r>
            <w:r>
              <w:rPr>
                <w:spacing w:val="-2"/>
              </w:rPr>
              <w:t>состояний)</w:t>
            </w:r>
            <w:r>
              <w:rPr>
                <w:b w:val="0"/>
              </w:rPr>
              <w:tab/>
            </w:r>
            <w:r>
              <w:rPr>
                <w:spacing w:val="-10"/>
              </w:rPr>
              <w:t>7</w:t>
            </w:r>
          </w:hyperlink>
        </w:p>
        <w:p>
          <w:pPr>
            <w:pStyle w:val="TOC2"/>
            <w:numPr>
              <w:ilvl w:val="1"/>
              <w:numId w:val="3"/>
            </w:numPr>
            <w:tabs>
              <w:tab w:pos="1862" w:val="left" w:leader="none"/>
              <w:tab w:pos="10484" w:val="left" w:leader="dot"/>
            </w:tabs>
            <w:spacing w:line="240" w:lineRule="auto" w:before="99" w:after="0"/>
            <w:ind w:left="1501" w:right="579" w:firstLine="0"/>
            <w:jc w:val="left"/>
          </w:pPr>
          <w:hyperlink w:history="true" w:anchor="_bookmark4">
            <w:r>
              <w:rPr/>
              <w:t>Этиология и патогенез заболевания или состояния (группы заболеваний,</w:t>
            </w:r>
          </w:hyperlink>
          <w:r>
            <w:rPr/>
            <w:t> </w:t>
          </w:r>
          <w:hyperlink w:history="true" w:anchor="_bookmark4">
            <w:r>
              <w:rPr>
                <w:spacing w:val="-2"/>
              </w:rPr>
              <w:t>состояний)</w:t>
            </w:r>
            <w:r>
              <w:rPr>
                <w:b w:val="0"/>
              </w:rPr>
              <w:tab/>
            </w:r>
            <w:r>
              <w:rPr>
                <w:spacing w:val="-10"/>
              </w:rPr>
              <w:t>7</w:t>
            </w:r>
          </w:hyperlink>
        </w:p>
        <w:p>
          <w:pPr>
            <w:pStyle w:val="TOC2"/>
            <w:numPr>
              <w:ilvl w:val="1"/>
              <w:numId w:val="3"/>
            </w:numPr>
            <w:tabs>
              <w:tab w:pos="1862" w:val="left" w:leader="none"/>
            </w:tabs>
            <w:spacing w:line="240" w:lineRule="auto" w:before="101" w:after="0"/>
            <w:ind w:left="1861" w:right="0" w:hanging="361"/>
            <w:jc w:val="left"/>
          </w:pPr>
          <w:hyperlink w:history="true" w:anchor="_bookmark5">
            <w:r>
              <w:rPr/>
              <w:t>Эпидемиология</w:t>
            </w:r>
            <w:r>
              <w:rPr>
                <w:spacing w:val="-6"/>
              </w:rPr>
              <w:t> </w:t>
            </w:r>
            <w:r>
              <w:rPr/>
              <w:t>заболевания</w:t>
            </w:r>
            <w:r>
              <w:rPr>
                <w:spacing w:val="-4"/>
              </w:rPr>
              <w:t> </w:t>
            </w:r>
            <w:r>
              <w:rPr/>
              <w:t>или</w:t>
            </w:r>
            <w:r>
              <w:rPr>
                <w:spacing w:val="-3"/>
              </w:rPr>
              <w:t> </w:t>
            </w:r>
            <w:r>
              <w:rPr/>
              <w:t>состояния</w:t>
            </w:r>
            <w:r>
              <w:rPr>
                <w:spacing w:val="-3"/>
              </w:rPr>
              <w:t> </w:t>
            </w:r>
            <w:r>
              <w:rPr/>
              <w:t>(группы</w:t>
            </w:r>
            <w:r>
              <w:rPr>
                <w:spacing w:val="-4"/>
              </w:rPr>
              <w:t> </w:t>
            </w:r>
            <w:r>
              <w:rPr/>
              <w:t>заболеваний,</w:t>
            </w:r>
            <w:r>
              <w:rPr>
                <w:spacing w:val="-3"/>
              </w:rPr>
              <w:t> </w:t>
            </w:r>
            <w:r>
              <w:rPr/>
              <w:t>состояний)</w:t>
            </w:r>
            <w:r>
              <w:rPr>
                <w:b w:val="0"/>
                <w:spacing w:val="77"/>
              </w:rPr>
              <w:t> </w:t>
            </w:r>
            <w:r>
              <w:rPr>
                <w:spacing w:val="-10"/>
              </w:rPr>
              <w:t>9</w:t>
            </w:r>
          </w:hyperlink>
        </w:p>
        <w:p>
          <w:pPr>
            <w:pStyle w:val="TOC2"/>
            <w:numPr>
              <w:ilvl w:val="1"/>
              <w:numId w:val="3"/>
            </w:numPr>
            <w:tabs>
              <w:tab w:pos="1862" w:val="left" w:leader="none"/>
              <w:tab w:pos="10364" w:val="left" w:leader="dot"/>
            </w:tabs>
            <w:spacing w:line="240" w:lineRule="auto" w:before="100" w:after="0"/>
            <w:ind w:left="1501" w:right="579" w:firstLine="0"/>
            <w:jc w:val="left"/>
          </w:pPr>
          <w:hyperlink w:history="true" w:anchor="_bookmark6">
            <w:r>
              <w:rPr/>
              <w:t>Особенности кодирования заболевания или состояния (группы заболеваний</w:t>
            </w:r>
          </w:hyperlink>
          <w:r>
            <w:rPr/>
            <w:t> </w:t>
          </w:r>
          <w:hyperlink w:history="true" w:anchor="_bookmark6">
            <w:r>
              <w:rPr/>
              <w:t>или состояний) по Международной статистической классификации болезней и</w:t>
            </w:r>
          </w:hyperlink>
          <w:r>
            <w:rPr/>
            <w:t> </w:t>
          </w:r>
          <w:hyperlink w:history="true" w:anchor="_bookmark6">
            <w:r>
              <w:rPr/>
              <w:t>проблем, связанных со здоровьем</w:t>
            </w:r>
            <w:r>
              <w:rPr>
                <w:b w:val="0"/>
              </w:rPr>
              <w:tab/>
            </w:r>
            <w:r>
              <w:rPr>
                <w:spacing w:val="-6"/>
              </w:rPr>
              <w:t>11</w:t>
            </w:r>
          </w:hyperlink>
        </w:p>
        <w:p>
          <w:pPr>
            <w:pStyle w:val="TOC2"/>
            <w:numPr>
              <w:ilvl w:val="0"/>
              <w:numId w:val="4"/>
            </w:numPr>
            <w:tabs>
              <w:tab w:pos="1742" w:val="left" w:leader="none"/>
            </w:tabs>
            <w:spacing w:line="240" w:lineRule="auto" w:before="99" w:after="0"/>
            <w:ind w:left="1741" w:right="0" w:hanging="241"/>
            <w:jc w:val="left"/>
          </w:pPr>
          <w:hyperlink w:history="true" w:anchor="_bookmark7">
            <w:r>
              <w:rPr/>
              <w:t>.5</w:t>
            </w:r>
            <w:r>
              <w:rPr>
                <w:spacing w:val="-5"/>
              </w:rPr>
              <w:t> </w:t>
            </w:r>
            <w:r>
              <w:rPr/>
              <w:t>Классификация</w:t>
            </w:r>
            <w:r>
              <w:rPr>
                <w:spacing w:val="-4"/>
              </w:rPr>
              <w:t> </w:t>
            </w:r>
            <w:r>
              <w:rPr/>
              <w:t>заболевания</w:t>
            </w:r>
            <w:r>
              <w:rPr>
                <w:spacing w:val="-3"/>
              </w:rPr>
              <w:t> </w:t>
            </w:r>
            <w:r>
              <w:rPr/>
              <w:t>или</w:t>
            </w:r>
            <w:r>
              <w:rPr>
                <w:spacing w:val="-3"/>
              </w:rPr>
              <w:t> </w:t>
            </w:r>
            <w:r>
              <w:rPr/>
              <w:t>состояния</w:t>
            </w:r>
            <w:r>
              <w:rPr>
                <w:spacing w:val="-3"/>
              </w:rPr>
              <w:t> </w:t>
            </w:r>
            <w:r>
              <w:rPr/>
              <w:t>(группы</w:t>
            </w:r>
            <w:r>
              <w:rPr>
                <w:spacing w:val="-4"/>
              </w:rPr>
              <w:t> </w:t>
            </w:r>
            <w:r>
              <w:rPr/>
              <w:t>заболеваний,</w:t>
            </w:r>
            <w:r>
              <w:rPr>
                <w:spacing w:val="-2"/>
              </w:rPr>
              <w:t> состояний)</w:t>
            </w:r>
          </w:hyperlink>
        </w:p>
        <w:p>
          <w:pPr>
            <w:pStyle w:val="TOC2"/>
            <w:tabs>
              <w:tab w:pos="10364" w:val="left" w:leader="dot"/>
            </w:tabs>
            <w:spacing w:before="0"/>
            <w:ind w:left="1540"/>
          </w:pPr>
          <w:hyperlink w:history="true" w:anchor="_bookmark7">
            <w:r>
              <w:rPr>
                <w:spacing w:val="-10"/>
              </w:rPr>
              <w:t>.</w:t>
            </w:r>
            <w:r>
              <w:rPr/>
              <w:tab/>
            </w:r>
            <w:r>
              <w:rPr>
                <w:spacing w:val="-5"/>
              </w:rPr>
              <w:t>11</w:t>
            </w:r>
          </w:hyperlink>
        </w:p>
        <w:p>
          <w:pPr>
            <w:pStyle w:val="TOC2"/>
            <w:tabs>
              <w:tab w:pos="10364" w:val="left" w:leader="dot"/>
            </w:tabs>
          </w:pPr>
          <w:hyperlink w:history="true" w:anchor="_bookmark8">
            <w:r>
              <w:rPr/>
              <w:t>Принципы</w:t>
            </w:r>
            <w:r>
              <w:rPr>
                <w:spacing w:val="-6"/>
              </w:rPr>
              <w:t> </w:t>
            </w:r>
            <w:r>
              <w:rPr/>
              <w:t>формулировки</w:t>
            </w:r>
            <w:r>
              <w:rPr>
                <w:spacing w:val="-5"/>
              </w:rPr>
              <w:t> </w:t>
            </w:r>
            <w:r>
              <w:rPr>
                <w:spacing w:val="-2"/>
              </w:rPr>
              <w:t>диагноза</w:t>
            </w:r>
            <w:r>
              <w:rPr>
                <w:b w:val="0"/>
              </w:rPr>
              <w:tab/>
            </w:r>
            <w:r>
              <w:rPr>
                <w:spacing w:val="-5"/>
              </w:rPr>
              <w:t>12</w:t>
            </w:r>
          </w:hyperlink>
        </w:p>
        <w:p>
          <w:pPr>
            <w:pStyle w:val="TOC2"/>
            <w:tabs>
              <w:tab w:pos="10364" w:val="left" w:leader="dot"/>
            </w:tabs>
            <w:ind w:right="579"/>
          </w:pPr>
          <w:hyperlink w:history="true" w:anchor="_bookmark9">
            <w:r>
              <w:rPr/>
              <w:t>1.6 Клиническая картина заболевания или состояния (группы заболеваний,</w:t>
            </w:r>
          </w:hyperlink>
          <w:r>
            <w:rPr/>
            <w:t> </w:t>
          </w:r>
          <w:hyperlink w:history="true" w:anchor="_bookmark9">
            <w:r>
              <w:rPr>
                <w:spacing w:val="-2"/>
              </w:rPr>
              <w:t>состояний)</w:t>
            </w:r>
            <w:r>
              <w:rPr>
                <w:b w:val="0"/>
              </w:rPr>
              <w:tab/>
            </w:r>
            <w:r>
              <w:rPr>
                <w:spacing w:val="-6"/>
              </w:rPr>
              <w:t>12</w:t>
            </w:r>
          </w:hyperlink>
        </w:p>
        <w:p>
          <w:pPr>
            <w:pStyle w:val="TOC1"/>
            <w:numPr>
              <w:ilvl w:val="0"/>
              <w:numId w:val="4"/>
            </w:numPr>
            <w:tabs>
              <w:tab w:pos="1562" w:val="left" w:leader="none"/>
            </w:tabs>
            <w:spacing w:line="240" w:lineRule="auto" w:before="98" w:after="0"/>
            <w:ind w:left="1261" w:right="567" w:firstLine="0"/>
            <w:jc w:val="left"/>
          </w:pPr>
          <w:hyperlink w:history="true" w:anchor="_bookmark10">
            <w:r>
              <w:rPr/>
              <w:t>Диагностика</w:t>
            </w:r>
            <w:r>
              <w:rPr>
                <w:spacing w:val="40"/>
              </w:rPr>
              <w:t> </w:t>
            </w:r>
            <w:r>
              <w:rPr/>
              <w:t>заболевания</w:t>
            </w:r>
            <w:r>
              <w:rPr>
                <w:spacing w:val="40"/>
              </w:rPr>
              <w:t> </w:t>
            </w:r>
            <w:r>
              <w:rPr/>
              <w:t>или</w:t>
            </w:r>
            <w:r>
              <w:rPr>
                <w:spacing w:val="40"/>
              </w:rPr>
              <w:t> </w:t>
            </w:r>
            <w:r>
              <w:rPr/>
              <w:t>состояния</w:t>
            </w:r>
            <w:r>
              <w:rPr>
                <w:spacing w:val="40"/>
              </w:rPr>
              <w:t> </w:t>
            </w:r>
            <w:r>
              <w:rPr/>
              <w:t>(группы</w:t>
            </w:r>
            <w:r>
              <w:rPr>
                <w:spacing w:val="40"/>
              </w:rPr>
              <w:t> </w:t>
            </w:r>
            <w:r>
              <w:rPr/>
              <w:t>заболеваний</w:t>
            </w:r>
            <w:r>
              <w:rPr>
                <w:spacing w:val="40"/>
              </w:rPr>
              <w:t> </w:t>
            </w:r>
            <w:r>
              <w:rPr/>
              <w:t>или</w:t>
            </w:r>
            <w:r>
              <w:rPr>
                <w:spacing w:val="40"/>
              </w:rPr>
              <w:t> </w:t>
            </w:r>
            <w:r>
              <w:rPr/>
              <w:t>состояний),</w:t>
            </w:r>
          </w:hyperlink>
          <w:r>
            <w:rPr/>
            <w:t> </w:t>
          </w:r>
          <w:hyperlink w:history="true" w:anchor="_bookmark10">
            <w:r>
              <w:rPr/>
              <w:t>медицинские</w:t>
            </w:r>
            <w:r>
              <w:rPr>
                <w:spacing w:val="-4"/>
              </w:rPr>
              <w:t> </w:t>
            </w:r>
            <w:r>
              <w:rPr/>
              <w:t>показания</w:t>
            </w:r>
            <w:r>
              <w:rPr>
                <w:spacing w:val="-3"/>
              </w:rPr>
              <w:t> </w:t>
            </w:r>
            <w:r>
              <w:rPr/>
              <w:t>и</w:t>
            </w:r>
            <w:r>
              <w:rPr>
                <w:spacing w:val="-2"/>
              </w:rPr>
              <w:t> </w:t>
            </w:r>
            <w:r>
              <w:rPr/>
              <w:t>противопоказания</w:t>
            </w:r>
            <w:r>
              <w:rPr>
                <w:spacing w:val="-3"/>
              </w:rPr>
              <w:t> </w:t>
            </w:r>
            <w:r>
              <w:rPr/>
              <w:t>к</w:t>
            </w:r>
            <w:r>
              <w:rPr>
                <w:spacing w:val="-2"/>
              </w:rPr>
              <w:t> </w:t>
            </w:r>
            <w:r>
              <w:rPr/>
              <w:t>применению</w:t>
            </w:r>
            <w:r>
              <w:rPr>
                <w:spacing w:val="-3"/>
              </w:rPr>
              <w:t> </w:t>
            </w:r>
            <w:r>
              <w:rPr/>
              <w:t>методов</w:t>
            </w:r>
            <w:r>
              <w:rPr>
                <w:spacing w:val="-2"/>
              </w:rPr>
              <w:t> </w:t>
            </w:r>
            <w:r>
              <w:rPr/>
              <w:t>диагностики</w:t>
            </w:r>
            <w:r>
              <w:rPr>
                <w:b w:val="0"/>
                <w:spacing w:val="80"/>
              </w:rPr>
              <w:t> </w:t>
            </w:r>
            <w:r>
              <w:rPr/>
              <w:t>12</w:t>
            </w:r>
          </w:hyperlink>
        </w:p>
        <w:p>
          <w:pPr>
            <w:pStyle w:val="TOC2"/>
            <w:numPr>
              <w:ilvl w:val="1"/>
              <w:numId w:val="4"/>
            </w:numPr>
            <w:tabs>
              <w:tab w:pos="1922" w:val="left" w:leader="none"/>
              <w:tab w:pos="10364" w:val="left" w:leader="dot"/>
            </w:tabs>
            <w:spacing w:line="240" w:lineRule="auto" w:before="101" w:after="0"/>
            <w:ind w:left="1921" w:right="0" w:hanging="421"/>
            <w:jc w:val="left"/>
          </w:pPr>
          <w:hyperlink w:history="true" w:anchor="_bookmark11">
            <w:r>
              <w:rPr/>
              <w:t>2.</w:t>
            </w:r>
            <w:r>
              <w:rPr>
                <w:spacing w:val="-4"/>
              </w:rPr>
              <w:t> </w:t>
            </w:r>
            <w:r>
              <w:rPr/>
              <w:t>Критерии</w:t>
            </w:r>
            <w:r>
              <w:rPr>
                <w:spacing w:val="-3"/>
              </w:rPr>
              <w:t> </w:t>
            </w:r>
            <w:r>
              <w:rPr/>
              <w:t>установления</w:t>
            </w:r>
            <w:r>
              <w:rPr>
                <w:spacing w:val="-3"/>
              </w:rPr>
              <w:t> </w:t>
            </w:r>
            <w:r>
              <w:rPr>
                <w:spacing w:val="-2"/>
              </w:rPr>
              <w:t>диагноза:</w:t>
            </w:r>
            <w:r>
              <w:rPr>
                <w:b w:val="0"/>
              </w:rPr>
              <w:tab/>
            </w:r>
            <w:r>
              <w:rPr>
                <w:spacing w:val="-5"/>
              </w:rPr>
              <w:t>12</w:t>
            </w:r>
          </w:hyperlink>
        </w:p>
        <w:p>
          <w:pPr>
            <w:pStyle w:val="TOC2"/>
            <w:numPr>
              <w:ilvl w:val="1"/>
              <w:numId w:val="4"/>
            </w:numPr>
            <w:tabs>
              <w:tab w:pos="1922" w:val="left" w:leader="none"/>
              <w:tab w:pos="10364" w:val="left" w:leader="dot"/>
            </w:tabs>
            <w:spacing w:line="240" w:lineRule="auto" w:before="101" w:after="0"/>
            <w:ind w:left="1921" w:right="0" w:hanging="421"/>
            <w:jc w:val="left"/>
          </w:pPr>
          <w:hyperlink w:history="true" w:anchor="_bookmark12">
            <w:r>
              <w:rPr/>
              <w:t>Жалобы</w:t>
            </w:r>
            <w:r>
              <w:rPr>
                <w:spacing w:val="-2"/>
              </w:rPr>
              <w:t> </w:t>
            </w:r>
            <w:r>
              <w:rPr/>
              <w:t>и </w:t>
            </w:r>
            <w:r>
              <w:rPr>
                <w:spacing w:val="-2"/>
              </w:rPr>
              <w:t>анамнез</w:t>
            </w:r>
            <w:r>
              <w:rPr>
                <w:b w:val="0"/>
              </w:rPr>
              <w:tab/>
            </w:r>
            <w:r>
              <w:rPr>
                <w:spacing w:val="-7"/>
              </w:rPr>
              <w:t>13</w:t>
            </w:r>
          </w:hyperlink>
        </w:p>
        <w:p>
          <w:pPr>
            <w:pStyle w:val="TOC2"/>
            <w:numPr>
              <w:ilvl w:val="1"/>
              <w:numId w:val="4"/>
            </w:numPr>
            <w:tabs>
              <w:tab w:pos="1922" w:val="left" w:leader="none"/>
              <w:tab w:pos="10364" w:val="left" w:leader="dot"/>
            </w:tabs>
            <w:spacing w:line="240" w:lineRule="auto" w:before="98" w:after="0"/>
            <w:ind w:left="1921" w:right="0" w:hanging="421"/>
            <w:jc w:val="left"/>
          </w:pPr>
          <w:hyperlink w:history="true" w:anchor="_bookmark13">
            <w:r>
              <w:rPr/>
              <w:t>Физикальное</w:t>
            </w:r>
            <w:r>
              <w:rPr>
                <w:spacing w:val="-3"/>
              </w:rPr>
              <w:t> </w:t>
            </w:r>
            <w:r>
              <w:rPr>
                <w:spacing w:val="-2"/>
              </w:rPr>
              <w:t>обследование</w:t>
            </w:r>
            <w:r>
              <w:rPr>
                <w:b w:val="0"/>
              </w:rPr>
              <w:tab/>
            </w:r>
            <w:r>
              <w:rPr>
                <w:spacing w:val="-5"/>
              </w:rPr>
              <w:t>13</w:t>
            </w:r>
          </w:hyperlink>
        </w:p>
        <w:p>
          <w:pPr>
            <w:pStyle w:val="TOC2"/>
            <w:numPr>
              <w:ilvl w:val="1"/>
              <w:numId w:val="4"/>
            </w:numPr>
            <w:tabs>
              <w:tab w:pos="1922" w:val="left" w:leader="none"/>
              <w:tab w:pos="10364" w:val="left" w:leader="dot"/>
            </w:tabs>
            <w:spacing w:line="240" w:lineRule="auto" w:before="101" w:after="0"/>
            <w:ind w:left="1921" w:right="0" w:hanging="421"/>
            <w:jc w:val="left"/>
          </w:pPr>
          <w:hyperlink w:history="true" w:anchor="_bookmark14">
            <w:r>
              <w:rPr/>
              <w:t>Лабораторные</w:t>
            </w:r>
            <w:r>
              <w:rPr>
                <w:spacing w:val="-9"/>
              </w:rPr>
              <w:t> </w:t>
            </w:r>
            <w:r>
              <w:rPr/>
              <w:t>диагностические</w:t>
            </w:r>
            <w:r>
              <w:rPr>
                <w:spacing w:val="-7"/>
              </w:rPr>
              <w:t> </w:t>
            </w:r>
            <w:r>
              <w:rPr>
                <w:spacing w:val="-2"/>
              </w:rPr>
              <w:t>исследования</w:t>
            </w:r>
            <w:r>
              <w:rPr>
                <w:b w:val="0"/>
              </w:rPr>
              <w:tab/>
            </w:r>
            <w:r>
              <w:rPr>
                <w:spacing w:val="-5"/>
              </w:rPr>
              <w:t>14</w:t>
            </w:r>
          </w:hyperlink>
        </w:p>
        <w:p>
          <w:pPr>
            <w:pStyle w:val="TOC2"/>
            <w:numPr>
              <w:ilvl w:val="1"/>
              <w:numId w:val="4"/>
            </w:numPr>
            <w:tabs>
              <w:tab w:pos="1922" w:val="left" w:leader="none"/>
              <w:tab w:pos="10364" w:val="left" w:leader="dot"/>
            </w:tabs>
            <w:spacing w:line="240" w:lineRule="auto" w:before="101" w:after="0"/>
            <w:ind w:left="1921" w:right="0" w:hanging="421"/>
            <w:jc w:val="left"/>
          </w:pPr>
          <w:hyperlink w:history="true" w:anchor="_bookmark15">
            <w:r>
              <w:rPr/>
              <w:t>Инструментальные</w:t>
            </w:r>
            <w:r>
              <w:rPr>
                <w:spacing w:val="-10"/>
              </w:rPr>
              <w:t> </w:t>
            </w:r>
            <w:r>
              <w:rPr/>
              <w:t>диагностические</w:t>
            </w:r>
            <w:r>
              <w:rPr>
                <w:spacing w:val="-8"/>
              </w:rPr>
              <w:t> </w:t>
            </w:r>
            <w:r>
              <w:rPr>
                <w:spacing w:val="-2"/>
              </w:rPr>
              <w:t>исследования</w:t>
            </w:r>
            <w:r>
              <w:rPr>
                <w:b w:val="0"/>
              </w:rPr>
              <w:tab/>
            </w:r>
            <w:r>
              <w:rPr>
                <w:spacing w:val="-5"/>
              </w:rPr>
              <w:t>17</w:t>
            </w:r>
          </w:hyperlink>
        </w:p>
        <w:p>
          <w:pPr>
            <w:pStyle w:val="TOC2"/>
            <w:numPr>
              <w:ilvl w:val="1"/>
              <w:numId w:val="4"/>
            </w:numPr>
            <w:tabs>
              <w:tab w:pos="1922" w:val="left" w:leader="none"/>
              <w:tab w:pos="10364" w:val="left" w:leader="dot"/>
            </w:tabs>
            <w:spacing w:line="240" w:lineRule="auto" w:before="98" w:after="0"/>
            <w:ind w:left="1921" w:right="0" w:hanging="421"/>
            <w:jc w:val="left"/>
          </w:pPr>
          <w:hyperlink w:history="true" w:anchor="_bookmark16">
            <w:r>
              <w:rPr/>
              <w:t>Иные</w:t>
            </w:r>
            <w:r>
              <w:rPr>
                <w:spacing w:val="-4"/>
              </w:rPr>
              <w:t> </w:t>
            </w:r>
            <w:r>
              <w:rPr/>
              <w:t>диагностические</w:t>
            </w:r>
            <w:r>
              <w:rPr>
                <w:spacing w:val="-4"/>
              </w:rPr>
              <w:t> </w:t>
            </w:r>
            <w:r>
              <w:rPr>
                <w:spacing w:val="-2"/>
              </w:rPr>
              <w:t>исследования</w:t>
            </w:r>
            <w:r>
              <w:rPr>
                <w:b w:val="0"/>
              </w:rPr>
              <w:tab/>
            </w:r>
            <w:r>
              <w:rPr>
                <w:spacing w:val="-5"/>
              </w:rPr>
              <w:t>18</w:t>
            </w:r>
          </w:hyperlink>
        </w:p>
        <w:p>
          <w:pPr>
            <w:pStyle w:val="TOC2"/>
            <w:numPr>
              <w:ilvl w:val="1"/>
              <w:numId w:val="4"/>
            </w:numPr>
            <w:tabs>
              <w:tab w:pos="1922" w:val="left" w:leader="none"/>
              <w:tab w:pos="10364" w:val="left" w:leader="dot"/>
            </w:tabs>
            <w:spacing w:line="240" w:lineRule="auto" w:before="101" w:after="0"/>
            <w:ind w:left="1921" w:right="0" w:hanging="421"/>
            <w:jc w:val="left"/>
          </w:pPr>
          <w:hyperlink w:history="true" w:anchor="_bookmark17">
            <w:r>
              <w:rPr/>
              <w:t>Оценка</w:t>
            </w:r>
            <w:r>
              <w:rPr>
                <w:spacing w:val="-5"/>
              </w:rPr>
              <w:t> </w:t>
            </w:r>
            <w:r>
              <w:rPr/>
              <w:t>сердечно-сосудистого</w:t>
            </w:r>
            <w:r>
              <w:rPr>
                <w:spacing w:val="-5"/>
              </w:rPr>
              <w:t> </w:t>
            </w:r>
            <w:r>
              <w:rPr>
                <w:spacing w:val="-4"/>
              </w:rPr>
              <w:t>риска</w:t>
            </w:r>
            <w:r>
              <w:rPr>
                <w:b w:val="0"/>
              </w:rPr>
              <w:tab/>
            </w:r>
            <w:r>
              <w:rPr>
                <w:spacing w:val="-5"/>
              </w:rPr>
              <w:t>18</w:t>
            </w:r>
          </w:hyperlink>
        </w:p>
        <w:p>
          <w:pPr>
            <w:pStyle w:val="TOC1"/>
            <w:numPr>
              <w:ilvl w:val="0"/>
              <w:numId w:val="4"/>
            </w:numPr>
            <w:tabs>
              <w:tab w:pos="1759" w:val="left" w:leader="none"/>
              <w:tab w:pos="10367" w:val="left" w:leader="dot"/>
            </w:tabs>
            <w:spacing w:line="240" w:lineRule="auto" w:before="101" w:after="0"/>
            <w:ind w:left="1261" w:right="568" w:firstLine="0"/>
            <w:jc w:val="both"/>
          </w:pPr>
          <w:hyperlink w:history="true" w:anchor="_bookmark18">
            <w:r>
              <w:rPr/>
              <w:t>Лечение, включая медикаментозную и немедикаментозную терапию,</w:t>
            </w:r>
          </w:hyperlink>
          <w:r>
            <w:rPr/>
            <w:t> </w:t>
          </w:r>
          <w:hyperlink w:history="true" w:anchor="_bookmark18">
            <w:r>
              <w:rPr/>
              <w:t>диетотерапию, обезболивание, медицинские показания и противопоказания к</w:t>
            </w:r>
          </w:hyperlink>
          <w:r>
            <w:rPr/>
            <w:t> </w:t>
          </w:r>
          <w:hyperlink w:history="true" w:anchor="_bookmark18">
            <w:r>
              <w:rPr/>
              <w:t>применению</w:t>
            </w:r>
            <w:r>
              <w:rPr>
                <w:spacing w:val="-4"/>
              </w:rPr>
              <w:t> </w:t>
            </w:r>
            <w:r>
              <w:rPr/>
              <w:t>методов</w:t>
            </w:r>
            <w:r>
              <w:rPr>
                <w:spacing w:val="-5"/>
              </w:rPr>
              <w:t> </w:t>
            </w:r>
            <w:r>
              <w:rPr>
                <w:spacing w:val="-2"/>
              </w:rPr>
              <w:t>лечения</w:t>
            </w:r>
            <w:r>
              <w:rPr>
                <w:b w:val="0"/>
              </w:rPr>
              <w:tab/>
            </w:r>
            <w:r>
              <w:rPr>
                <w:spacing w:val="-5"/>
              </w:rPr>
              <w:t>20</w:t>
            </w:r>
          </w:hyperlink>
        </w:p>
        <w:p>
          <w:pPr>
            <w:pStyle w:val="TOC2"/>
            <w:numPr>
              <w:ilvl w:val="1"/>
              <w:numId w:val="5"/>
            </w:numPr>
            <w:tabs>
              <w:tab w:pos="1862" w:val="left" w:leader="none"/>
              <w:tab w:pos="10364" w:val="left" w:leader="dot"/>
            </w:tabs>
            <w:spacing w:line="240" w:lineRule="auto" w:before="98" w:after="0"/>
            <w:ind w:left="1861" w:right="0" w:hanging="361"/>
            <w:jc w:val="left"/>
          </w:pPr>
          <w:hyperlink w:history="true" w:anchor="_bookmark19">
            <w:r>
              <w:rPr/>
              <w:t>Целевые</w:t>
            </w:r>
            <w:r>
              <w:rPr>
                <w:spacing w:val="-3"/>
              </w:rPr>
              <w:t> </w:t>
            </w:r>
            <w:r>
              <w:rPr/>
              <w:t>уровни</w:t>
            </w:r>
            <w:r>
              <w:rPr>
                <w:spacing w:val="-2"/>
              </w:rPr>
              <w:t> </w:t>
            </w:r>
            <w:r>
              <w:rPr/>
              <w:t>ХС</w:t>
            </w:r>
            <w:r>
              <w:rPr>
                <w:spacing w:val="-2"/>
              </w:rPr>
              <w:t> </w:t>
            </w:r>
            <w:r>
              <w:rPr>
                <w:spacing w:val="-5"/>
              </w:rPr>
              <w:t>ЛНП</w:t>
            </w:r>
            <w:r>
              <w:rPr>
                <w:b w:val="0"/>
              </w:rPr>
              <w:tab/>
            </w:r>
            <w:r>
              <w:rPr>
                <w:spacing w:val="-7"/>
              </w:rPr>
              <w:t>20</w:t>
            </w:r>
          </w:hyperlink>
        </w:p>
        <w:p>
          <w:pPr>
            <w:pStyle w:val="TOC2"/>
            <w:numPr>
              <w:ilvl w:val="1"/>
              <w:numId w:val="5"/>
            </w:numPr>
            <w:tabs>
              <w:tab w:pos="1862" w:val="left" w:leader="none"/>
              <w:tab w:pos="10364" w:val="left" w:leader="dot"/>
            </w:tabs>
            <w:spacing w:line="240" w:lineRule="auto" w:before="101" w:after="0"/>
            <w:ind w:left="1861" w:right="0" w:hanging="361"/>
            <w:jc w:val="left"/>
          </w:pPr>
          <w:hyperlink w:history="true" w:anchor="_bookmark20">
            <w:r>
              <w:rPr/>
              <w:t>Немедикаментозное</w:t>
            </w:r>
            <w:r>
              <w:rPr>
                <w:spacing w:val="-6"/>
              </w:rPr>
              <w:t> </w:t>
            </w:r>
            <w:r>
              <w:rPr/>
              <w:t>лечение</w:t>
            </w:r>
            <w:r>
              <w:rPr>
                <w:spacing w:val="-6"/>
              </w:rPr>
              <w:t> </w:t>
            </w:r>
            <w:r>
              <w:rPr>
                <w:spacing w:val="-5"/>
              </w:rPr>
              <w:t>ДЛП</w:t>
            </w:r>
            <w:r>
              <w:rPr>
                <w:b w:val="0"/>
              </w:rPr>
              <w:tab/>
            </w:r>
            <w:r>
              <w:rPr>
                <w:spacing w:val="-5"/>
              </w:rPr>
              <w:t>20</w:t>
            </w:r>
          </w:hyperlink>
        </w:p>
        <w:p>
          <w:pPr>
            <w:pStyle w:val="TOC2"/>
            <w:numPr>
              <w:ilvl w:val="1"/>
              <w:numId w:val="5"/>
            </w:numPr>
            <w:tabs>
              <w:tab w:pos="1862" w:val="left" w:leader="none"/>
              <w:tab w:pos="10364" w:val="left" w:leader="dot"/>
            </w:tabs>
            <w:spacing w:line="240" w:lineRule="auto" w:before="98" w:after="0"/>
            <w:ind w:left="1861" w:right="0" w:hanging="361"/>
            <w:jc w:val="left"/>
          </w:pPr>
          <w:hyperlink w:history="true" w:anchor="_bookmark21">
            <w:r>
              <w:rPr/>
              <w:t>Медикаментозная</w:t>
            </w:r>
            <w:r>
              <w:rPr>
                <w:spacing w:val="-5"/>
              </w:rPr>
              <w:t> </w:t>
            </w:r>
            <w:r>
              <w:rPr/>
              <w:t>терапия</w:t>
            </w:r>
            <w:r>
              <w:rPr>
                <w:spacing w:val="-4"/>
              </w:rPr>
              <w:t> </w:t>
            </w:r>
            <w:r>
              <w:rPr>
                <w:spacing w:val="-5"/>
              </w:rPr>
              <w:t>ДЛП</w:t>
            </w:r>
            <w:r>
              <w:rPr>
                <w:b w:val="0"/>
              </w:rPr>
              <w:tab/>
            </w:r>
            <w:r>
              <w:rPr>
                <w:spacing w:val="-5"/>
              </w:rPr>
              <w:t>21</w:t>
            </w:r>
          </w:hyperlink>
        </w:p>
        <w:p>
          <w:pPr>
            <w:pStyle w:val="TOC2"/>
            <w:numPr>
              <w:ilvl w:val="2"/>
              <w:numId w:val="5"/>
            </w:numPr>
            <w:tabs>
              <w:tab w:pos="2042" w:val="left" w:leader="none"/>
              <w:tab w:pos="10364" w:val="left" w:leader="dot"/>
            </w:tabs>
            <w:spacing w:line="240" w:lineRule="auto" w:before="101" w:after="0"/>
            <w:ind w:left="2041" w:right="0" w:hanging="541"/>
            <w:jc w:val="left"/>
          </w:pPr>
          <w:hyperlink w:history="true" w:anchor="_bookmark22">
            <w:r>
              <w:rPr/>
              <w:t>Общие</w:t>
            </w:r>
            <w:r>
              <w:rPr>
                <w:spacing w:val="-7"/>
              </w:rPr>
              <w:t> </w:t>
            </w:r>
            <w:r>
              <w:rPr/>
              <w:t>принципы</w:t>
            </w:r>
            <w:r>
              <w:rPr>
                <w:spacing w:val="-4"/>
              </w:rPr>
              <w:t> </w:t>
            </w:r>
            <w:r>
              <w:rPr/>
              <w:t>медикаментозной</w:t>
            </w:r>
            <w:r>
              <w:rPr>
                <w:spacing w:val="-3"/>
              </w:rPr>
              <w:t> </w:t>
            </w:r>
            <w:r>
              <w:rPr>
                <w:spacing w:val="-2"/>
              </w:rPr>
              <w:t>терапии</w:t>
            </w:r>
            <w:r>
              <w:rPr>
                <w:b w:val="0"/>
              </w:rPr>
              <w:tab/>
            </w:r>
            <w:r>
              <w:rPr>
                <w:spacing w:val="-5"/>
              </w:rPr>
              <w:t>21</w:t>
            </w:r>
          </w:hyperlink>
        </w:p>
        <w:p>
          <w:pPr>
            <w:pStyle w:val="TOC2"/>
            <w:numPr>
              <w:ilvl w:val="2"/>
              <w:numId w:val="5"/>
            </w:numPr>
            <w:tabs>
              <w:tab w:pos="2042" w:val="left" w:leader="none"/>
              <w:tab w:pos="10364" w:val="left" w:leader="dot"/>
            </w:tabs>
            <w:spacing w:line="240" w:lineRule="auto" w:before="101" w:after="0"/>
            <w:ind w:left="2041" w:right="0" w:hanging="541"/>
            <w:jc w:val="left"/>
          </w:pPr>
          <w:hyperlink w:history="true" w:anchor="_bookmark23">
            <w:r>
              <w:rPr/>
              <w:t>Основные</w:t>
            </w:r>
            <w:r>
              <w:rPr>
                <w:spacing w:val="-6"/>
              </w:rPr>
              <w:t> </w:t>
            </w:r>
            <w:r>
              <w:rPr/>
              <w:t>классы</w:t>
            </w:r>
            <w:r>
              <w:rPr>
                <w:spacing w:val="-3"/>
              </w:rPr>
              <w:t> </w:t>
            </w:r>
            <w:r>
              <w:rPr/>
              <w:t>препаратов</w:t>
            </w:r>
            <w:r>
              <w:rPr>
                <w:spacing w:val="-2"/>
              </w:rPr>
              <w:t> </w:t>
            </w:r>
            <w:r>
              <w:rPr/>
              <w:t>для</w:t>
            </w:r>
            <w:r>
              <w:rPr>
                <w:spacing w:val="-3"/>
              </w:rPr>
              <w:t> </w:t>
            </w:r>
            <w:r>
              <w:rPr/>
              <w:t>лечения</w:t>
            </w:r>
            <w:r>
              <w:rPr>
                <w:spacing w:val="-3"/>
              </w:rPr>
              <w:t> </w:t>
            </w:r>
            <w:r>
              <w:rPr>
                <w:spacing w:val="-2"/>
              </w:rPr>
              <w:t>дислипидемий</w:t>
            </w:r>
            <w:r>
              <w:rPr>
                <w:b w:val="0"/>
              </w:rPr>
              <w:tab/>
            </w:r>
            <w:r>
              <w:rPr>
                <w:spacing w:val="-5"/>
              </w:rPr>
              <w:t>22</w:t>
            </w:r>
          </w:hyperlink>
        </w:p>
        <w:p>
          <w:pPr>
            <w:pStyle w:val="TOC2"/>
            <w:numPr>
              <w:ilvl w:val="2"/>
              <w:numId w:val="5"/>
            </w:numPr>
            <w:tabs>
              <w:tab w:pos="2042" w:val="left" w:leader="none"/>
            </w:tabs>
            <w:spacing w:line="240" w:lineRule="auto" w:before="99" w:after="0"/>
            <w:ind w:left="2041" w:right="0" w:hanging="541"/>
            <w:jc w:val="left"/>
          </w:pPr>
          <w:hyperlink w:history="true" w:anchor="_bookmark24">
            <w:r>
              <w:rPr/>
              <w:t>Медикаментозная</w:t>
            </w:r>
            <w:r>
              <w:rPr>
                <w:spacing w:val="-3"/>
              </w:rPr>
              <w:t> </w:t>
            </w:r>
            <w:r>
              <w:rPr/>
              <w:t>терапия</w:t>
            </w:r>
            <w:r>
              <w:rPr>
                <w:spacing w:val="-2"/>
              </w:rPr>
              <w:t> </w:t>
            </w:r>
            <w:r>
              <w:rPr/>
              <w:t>ДЛП</w:t>
            </w:r>
            <w:r>
              <w:rPr>
                <w:spacing w:val="-4"/>
              </w:rPr>
              <w:t> </w:t>
            </w:r>
            <w:r>
              <w:rPr/>
              <w:t>для</w:t>
            </w:r>
            <w:r>
              <w:rPr>
                <w:spacing w:val="-2"/>
              </w:rPr>
              <w:t> </w:t>
            </w:r>
            <w:r>
              <w:rPr/>
              <w:t>достижения</w:t>
            </w:r>
            <w:r>
              <w:rPr>
                <w:spacing w:val="-2"/>
              </w:rPr>
              <w:t> </w:t>
            </w:r>
            <w:r>
              <w:rPr/>
              <w:t>целевого</w:t>
            </w:r>
            <w:r>
              <w:rPr>
                <w:spacing w:val="-2"/>
              </w:rPr>
              <w:t> </w:t>
            </w:r>
            <w:r>
              <w:rPr/>
              <w:t>уровня</w:t>
            </w:r>
            <w:r>
              <w:rPr>
                <w:spacing w:val="-2"/>
              </w:rPr>
              <w:t> </w:t>
            </w:r>
            <w:r>
              <w:rPr/>
              <w:t>ХС</w:t>
            </w:r>
            <w:r>
              <w:rPr>
                <w:spacing w:val="-2"/>
              </w:rPr>
              <w:t> </w:t>
            </w:r>
            <w:r>
              <w:rPr/>
              <w:t>ЛНП</w:t>
            </w:r>
            <w:r>
              <w:rPr>
                <w:b w:val="0"/>
                <w:spacing w:val="69"/>
              </w:rPr>
              <w:t> </w:t>
            </w:r>
            <w:r>
              <w:rPr>
                <w:spacing w:val="-5"/>
              </w:rPr>
              <w:t>27</w:t>
            </w:r>
          </w:hyperlink>
        </w:p>
        <w:p>
          <w:pPr>
            <w:pStyle w:val="TOC2"/>
            <w:numPr>
              <w:ilvl w:val="2"/>
              <w:numId w:val="5"/>
            </w:numPr>
            <w:tabs>
              <w:tab w:pos="2042" w:val="left" w:leader="none"/>
              <w:tab w:pos="10364" w:val="left" w:leader="dot"/>
            </w:tabs>
            <w:spacing w:line="240" w:lineRule="auto" w:before="100" w:after="0"/>
            <w:ind w:left="2041" w:right="0" w:hanging="541"/>
            <w:jc w:val="left"/>
          </w:pPr>
          <w:hyperlink w:history="true" w:anchor="_bookmark25">
            <w:r>
              <w:rPr/>
              <w:t>Медикаментозная</w:t>
            </w:r>
            <w:r>
              <w:rPr>
                <w:spacing w:val="-5"/>
              </w:rPr>
              <w:t> </w:t>
            </w:r>
            <w:r>
              <w:rPr/>
              <w:t>терапия</w:t>
            </w:r>
            <w:r>
              <w:rPr>
                <w:spacing w:val="-4"/>
              </w:rPr>
              <w:t> </w:t>
            </w:r>
            <w:r>
              <w:rPr>
                <w:spacing w:val="-2"/>
              </w:rPr>
              <w:t>гипертриглицеридемии</w:t>
            </w:r>
            <w:r>
              <w:rPr>
                <w:b w:val="0"/>
              </w:rPr>
              <w:tab/>
            </w:r>
            <w:r>
              <w:rPr>
                <w:spacing w:val="-5"/>
              </w:rPr>
              <w:t>29</w:t>
            </w:r>
          </w:hyperlink>
        </w:p>
        <w:p>
          <w:pPr>
            <w:pStyle w:val="TOC2"/>
            <w:numPr>
              <w:ilvl w:val="1"/>
              <w:numId w:val="5"/>
            </w:numPr>
            <w:tabs>
              <w:tab w:pos="1862" w:val="left" w:leader="none"/>
              <w:tab w:pos="10364" w:val="left" w:leader="dot"/>
            </w:tabs>
            <w:spacing w:line="240" w:lineRule="auto" w:before="101" w:after="0"/>
            <w:ind w:left="1861" w:right="0" w:hanging="361"/>
            <w:jc w:val="left"/>
          </w:pPr>
          <w:hyperlink w:history="true" w:anchor="_bookmark26">
            <w:r>
              <w:rPr/>
              <w:t>Аппаратное</w:t>
            </w:r>
            <w:r>
              <w:rPr>
                <w:spacing w:val="-4"/>
              </w:rPr>
              <w:t> </w:t>
            </w:r>
            <w:r>
              <w:rPr/>
              <w:t>лечение</w:t>
            </w:r>
            <w:r>
              <w:rPr>
                <w:spacing w:val="-4"/>
              </w:rPr>
              <w:t> </w:t>
            </w:r>
            <w:r>
              <w:rPr>
                <w:spacing w:val="-5"/>
              </w:rPr>
              <w:t>ДЛП</w:t>
            </w:r>
            <w:r>
              <w:rPr>
                <w:b w:val="0"/>
              </w:rPr>
              <w:tab/>
            </w:r>
            <w:r>
              <w:rPr>
                <w:spacing w:val="-5"/>
              </w:rPr>
              <w:t>30</w:t>
            </w:r>
          </w:hyperlink>
        </w:p>
        <w:p>
          <w:pPr>
            <w:pStyle w:val="TOC2"/>
            <w:numPr>
              <w:ilvl w:val="1"/>
              <w:numId w:val="5"/>
            </w:numPr>
            <w:tabs>
              <w:tab w:pos="1862" w:val="left" w:leader="none"/>
              <w:tab w:pos="10364" w:val="left" w:leader="dot"/>
            </w:tabs>
            <w:spacing w:line="240" w:lineRule="auto" w:before="99" w:after="0"/>
            <w:ind w:left="1861" w:right="0" w:hanging="361"/>
            <w:jc w:val="left"/>
          </w:pPr>
          <w:hyperlink w:history="true" w:anchor="_bookmark27">
            <w:r>
              <w:rPr/>
              <w:t>Лечение</w:t>
            </w:r>
            <w:r>
              <w:rPr>
                <w:spacing w:val="-5"/>
              </w:rPr>
              <w:t> </w:t>
            </w:r>
            <w:r>
              <w:rPr/>
              <w:t>ДЛП</w:t>
            </w:r>
            <w:r>
              <w:rPr>
                <w:spacing w:val="-2"/>
              </w:rPr>
              <w:t> </w:t>
            </w:r>
            <w:r>
              <w:rPr/>
              <w:t>в</w:t>
            </w:r>
            <w:r>
              <w:rPr>
                <w:spacing w:val="-3"/>
              </w:rPr>
              <w:t> </w:t>
            </w:r>
            <w:r>
              <w:rPr/>
              <w:t>отдельных</w:t>
            </w:r>
            <w:r>
              <w:rPr>
                <w:spacing w:val="-2"/>
              </w:rPr>
              <w:t> </w:t>
            </w:r>
            <w:r>
              <w:rPr/>
              <w:t>клинических</w:t>
            </w:r>
            <w:r>
              <w:rPr>
                <w:spacing w:val="-2"/>
              </w:rPr>
              <w:t> ситуациях</w:t>
            </w:r>
            <w:r>
              <w:rPr>
                <w:b w:val="0"/>
              </w:rPr>
              <w:tab/>
            </w:r>
            <w:r>
              <w:rPr>
                <w:spacing w:val="-5"/>
              </w:rPr>
              <w:t>30</w:t>
            </w:r>
          </w:hyperlink>
        </w:p>
        <w:p>
          <w:pPr>
            <w:pStyle w:val="TOC1"/>
            <w:numPr>
              <w:ilvl w:val="2"/>
              <w:numId w:val="5"/>
            </w:numPr>
            <w:tabs>
              <w:tab w:pos="1802" w:val="left" w:leader="none"/>
              <w:tab w:pos="10367" w:val="left" w:leader="dot"/>
            </w:tabs>
            <w:spacing w:line="240" w:lineRule="auto" w:before="100" w:after="0"/>
            <w:ind w:left="1801" w:right="0" w:hanging="541"/>
            <w:jc w:val="left"/>
          </w:pPr>
          <w:hyperlink w:history="true" w:anchor="_bookmark28">
            <w:r>
              <w:rPr/>
              <w:t>Семейная</w:t>
            </w:r>
            <w:r>
              <w:rPr>
                <w:spacing w:val="-5"/>
              </w:rPr>
              <w:t> </w:t>
            </w:r>
            <w:r>
              <w:rPr>
                <w:spacing w:val="-2"/>
              </w:rPr>
              <w:t>гиперхолестеринемия</w:t>
            </w:r>
            <w:r>
              <w:rPr>
                <w:b w:val="0"/>
              </w:rPr>
              <w:tab/>
            </w:r>
            <w:r>
              <w:rPr>
                <w:spacing w:val="-5"/>
              </w:rPr>
              <w:t>30</w:t>
            </w:r>
          </w:hyperlink>
        </w:p>
        <w:p>
          <w:pPr>
            <w:pStyle w:val="TOC2"/>
            <w:tabs>
              <w:tab w:pos="10364" w:val="left" w:leader="dot"/>
            </w:tabs>
          </w:pPr>
          <w:hyperlink w:history="true" w:anchor="_bookmark29">
            <w:r>
              <w:rPr/>
              <w:t>Диагностические</w:t>
            </w:r>
            <w:r>
              <w:rPr>
                <w:spacing w:val="-7"/>
              </w:rPr>
              <w:t> </w:t>
            </w:r>
            <w:r>
              <w:rPr/>
              <w:t>критерии</w:t>
            </w:r>
            <w:r>
              <w:rPr>
                <w:spacing w:val="-6"/>
              </w:rPr>
              <w:t> </w:t>
            </w:r>
            <w:r>
              <w:rPr>
                <w:spacing w:val="-2"/>
              </w:rPr>
              <w:t>геСГХС</w:t>
            </w:r>
            <w:r>
              <w:rPr>
                <w:b w:val="0"/>
              </w:rPr>
              <w:tab/>
            </w:r>
            <w:r>
              <w:rPr>
                <w:spacing w:val="-5"/>
              </w:rPr>
              <w:t>32</w:t>
            </w:r>
          </w:hyperlink>
        </w:p>
        <w:p>
          <w:pPr>
            <w:pStyle w:val="TOC2"/>
            <w:tabs>
              <w:tab w:pos="10364" w:val="left" w:leader="dot"/>
            </w:tabs>
            <w:spacing w:before="99" w:after="20"/>
          </w:pPr>
          <w:hyperlink w:history="true" w:anchor="_bookmark30">
            <w:r>
              <w:rPr/>
              <w:t>Диагностические</w:t>
            </w:r>
            <w:r>
              <w:rPr>
                <w:spacing w:val="-7"/>
              </w:rPr>
              <w:t> </w:t>
            </w:r>
            <w:r>
              <w:rPr/>
              <w:t>критерии</w:t>
            </w:r>
            <w:r>
              <w:rPr>
                <w:spacing w:val="-6"/>
              </w:rPr>
              <w:t> </w:t>
            </w:r>
            <w:r>
              <w:rPr>
                <w:spacing w:val="-2"/>
              </w:rPr>
              <w:t>гоСГХС</w:t>
            </w:r>
            <w:r>
              <w:rPr>
                <w:b w:val="0"/>
              </w:rPr>
              <w:tab/>
            </w:r>
            <w:r>
              <w:rPr>
                <w:spacing w:val="-5"/>
              </w:rPr>
              <w:t>33</w:t>
            </w:r>
          </w:hyperlink>
        </w:p>
        <w:p>
          <w:pPr>
            <w:pStyle w:val="TOC2"/>
            <w:tabs>
              <w:tab w:pos="10364" w:val="left" w:leader="dot"/>
            </w:tabs>
            <w:spacing w:before="73"/>
          </w:pPr>
          <w:hyperlink w:history="true" w:anchor="_bookmark31">
            <w:r>
              <w:rPr/>
              <w:t>Каскадный</w:t>
            </w:r>
            <w:r>
              <w:rPr>
                <w:spacing w:val="-2"/>
              </w:rPr>
              <w:t> скрининг</w:t>
            </w:r>
            <w:r>
              <w:rPr>
                <w:b w:val="0"/>
              </w:rPr>
              <w:tab/>
            </w:r>
            <w:r>
              <w:rPr>
                <w:spacing w:val="-7"/>
              </w:rPr>
              <w:t>33</w:t>
            </w:r>
          </w:hyperlink>
        </w:p>
        <w:p>
          <w:pPr>
            <w:pStyle w:val="TOC3"/>
            <w:tabs>
              <w:tab w:pos="10364" w:val="left" w:leader="dot"/>
            </w:tabs>
            <w:rPr>
              <w:i w:val="0"/>
            </w:rPr>
          </w:pPr>
          <w:hyperlink w:history="true" w:anchor="_bookmark32">
            <w:r>
              <w:rPr/>
              <w:t>Целевые</w:t>
            </w:r>
            <w:r>
              <w:rPr>
                <w:spacing w:val="-3"/>
              </w:rPr>
              <w:t> </w:t>
            </w:r>
            <w:r>
              <w:rPr/>
              <w:t>уровни</w:t>
            </w:r>
            <w:r>
              <w:rPr>
                <w:spacing w:val="-1"/>
              </w:rPr>
              <w:t> </w:t>
            </w:r>
            <w:r>
              <w:rPr/>
              <w:t>ХС</w:t>
            </w:r>
            <w:r>
              <w:rPr>
                <w:spacing w:val="-1"/>
              </w:rPr>
              <w:t> </w:t>
            </w:r>
            <w:r>
              <w:rPr>
                <w:spacing w:val="-5"/>
              </w:rPr>
              <w:t>ЛНП</w:t>
            </w:r>
            <w:r>
              <w:rPr>
                <w:b w:val="0"/>
                <w:i w:val="0"/>
              </w:rPr>
              <w:tab/>
            </w:r>
            <w:r>
              <w:rPr>
                <w:i w:val="0"/>
                <w:spacing w:val="-5"/>
              </w:rPr>
              <w:t>34</w:t>
            </w:r>
          </w:hyperlink>
        </w:p>
        <w:p>
          <w:pPr>
            <w:pStyle w:val="TOC3"/>
            <w:tabs>
              <w:tab w:pos="10364" w:val="left" w:leader="dot"/>
            </w:tabs>
            <w:rPr>
              <w:i w:val="0"/>
            </w:rPr>
          </w:pPr>
          <w:hyperlink w:history="true" w:anchor="_bookmark33">
            <w:r>
              <w:rPr/>
              <w:t>Медикаментозная</w:t>
            </w:r>
            <w:r>
              <w:rPr>
                <w:spacing w:val="-4"/>
              </w:rPr>
              <w:t> </w:t>
            </w:r>
            <w:r>
              <w:rPr>
                <w:spacing w:val="-2"/>
              </w:rPr>
              <w:t>терапия</w:t>
            </w:r>
            <w:r>
              <w:rPr>
                <w:b w:val="0"/>
                <w:i w:val="0"/>
              </w:rPr>
              <w:tab/>
            </w:r>
            <w:r>
              <w:rPr>
                <w:i w:val="0"/>
                <w:spacing w:val="-5"/>
              </w:rPr>
              <w:t>34</w:t>
            </w:r>
          </w:hyperlink>
        </w:p>
        <w:p>
          <w:pPr>
            <w:pStyle w:val="TOC1"/>
            <w:numPr>
              <w:ilvl w:val="2"/>
              <w:numId w:val="5"/>
            </w:numPr>
            <w:tabs>
              <w:tab w:pos="1802" w:val="left" w:leader="none"/>
              <w:tab w:pos="10367" w:val="left" w:leader="dot"/>
            </w:tabs>
            <w:spacing w:line="240" w:lineRule="auto" w:before="98" w:after="0"/>
            <w:ind w:left="1801" w:right="0" w:hanging="541"/>
            <w:jc w:val="both"/>
          </w:pPr>
          <w:hyperlink w:history="true" w:anchor="_bookmark34">
            <w:r>
              <w:rPr/>
              <w:t>ДЛП</w:t>
            </w:r>
            <w:r>
              <w:rPr>
                <w:spacing w:val="-2"/>
              </w:rPr>
              <w:t> </w:t>
            </w:r>
            <w:r>
              <w:rPr/>
              <w:t>и</w:t>
            </w:r>
            <w:r>
              <w:rPr>
                <w:spacing w:val="-1"/>
              </w:rPr>
              <w:t> </w:t>
            </w:r>
            <w:r>
              <w:rPr/>
              <w:t>сахарный</w:t>
            </w:r>
            <w:r>
              <w:rPr>
                <w:spacing w:val="-2"/>
              </w:rPr>
              <w:t> диабет</w:t>
            </w:r>
            <w:r>
              <w:rPr>
                <w:b w:val="0"/>
              </w:rPr>
              <w:tab/>
            </w:r>
            <w:r>
              <w:rPr>
                <w:spacing w:val="-7"/>
              </w:rPr>
              <w:t>35</w:t>
            </w:r>
          </w:hyperlink>
        </w:p>
        <w:p>
          <w:pPr>
            <w:pStyle w:val="TOC1"/>
            <w:numPr>
              <w:ilvl w:val="2"/>
              <w:numId w:val="5"/>
            </w:numPr>
            <w:tabs>
              <w:tab w:pos="1802" w:val="left" w:leader="none"/>
              <w:tab w:pos="10367" w:val="left" w:leader="dot"/>
            </w:tabs>
            <w:spacing w:line="240" w:lineRule="auto" w:before="101" w:after="0"/>
            <w:ind w:left="1801" w:right="0" w:hanging="541"/>
            <w:jc w:val="both"/>
          </w:pPr>
          <w:hyperlink w:history="true" w:anchor="_bookmark35">
            <w:r>
              <w:rPr/>
              <w:t>ДЛП</w:t>
            </w:r>
            <w:r>
              <w:rPr>
                <w:spacing w:val="-2"/>
              </w:rPr>
              <w:t> </w:t>
            </w:r>
            <w:r>
              <w:rPr/>
              <w:t>и</w:t>
            </w:r>
            <w:r>
              <w:rPr>
                <w:spacing w:val="-3"/>
              </w:rPr>
              <w:t> </w:t>
            </w:r>
            <w:r>
              <w:rPr/>
              <w:t>хроническая</w:t>
            </w:r>
            <w:r>
              <w:rPr>
                <w:spacing w:val="-2"/>
              </w:rPr>
              <w:t> </w:t>
            </w:r>
            <w:r>
              <w:rPr/>
              <w:t>болезнь</w:t>
            </w:r>
            <w:r>
              <w:rPr>
                <w:spacing w:val="-2"/>
              </w:rPr>
              <w:t> </w:t>
            </w:r>
            <w:r>
              <w:rPr>
                <w:spacing w:val="-4"/>
              </w:rPr>
              <w:t>почек</w:t>
            </w:r>
            <w:r>
              <w:rPr>
                <w:b w:val="0"/>
              </w:rPr>
              <w:tab/>
            </w:r>
            <w:r>
              <w:rPr>
                <w:spacing w:val="-5"/>
              </w:rPr>
              <w:t>38</w:t>
            </w:r>
          </w:hyperlink>
        </w:p>
        <w:p>
          <w:pPr>
            <w:pStyle w:val="TOC1"/>
            <w:numPr>
              <w:ilvl w:val="2"/>
              <w:numId w:val="5"/>
            </w:numPr>
            <w:tabs>
              <w:tab w:pos="1802" w:val="left" w:leader="none"/>
              <w:tab w:pos="10367" w:val="left" w:leader="dot"/>
            </w:tabs>
            <w:spacing w:line="240" w:lineRule="auto" w:before="101" w:after="0"/>
            <w:ind w:left="1801" w:right="0" w:hanging="541"/>
            <w:jc w:val="both"/>
          </w:pPr>
          <w:hyperlink w:history="true" w:anchor="_bookmark36">
            <w:r>
              <w:rPr/>
              <w:t>ДЛП</w:t>
            </w:r>
            <w:r>
              <w:rPr>
                <w:spacing w:val="-3"/>
              </w:rPr>
              <w:t> </w:t>
            </w:r>
            <w:r>
              <w:rPr/>
              <w:t>и</w:t>
            </w:r>
            <w:r>
              <w:rPr>
                <w:spacing w:val="-3"/>
              </w:rPr>
              <w:t> </w:t>
            </w:r>
            <w:r>
              <w:rPr/>
              <w:t>ОКС/чрескожные</w:t>
            </w:r>
            <w:r>
              <w:rPr>
                <w:spacing w:val="-3"/>
              </w:rPr>
              <w:t> </w:t>
            </w:r>
            <w:r>
              <w:rPr/>
              <w:t>коронарные</w:t>
            </w:r>
            <w:r>
              <w:rPr>
                <w:spacing w:val="-3"/>
              </w:rPr>
              <w:t> </w:t>
            </w:r>
            <w:r>
              <w:rPr>
                <w:spacing w:val="-2"/>
              </w:rPr>
              <w:t>вмешательства</w:t>
            </w:r>
            <w:r>
              <w:rPr>
                <w:b w:val="0"/>
              </w:rPr>
              <w:tab/>
            </w:r>
            <w:r>
              <w:rPr>
                <w:spacing w:val="-5"/>
              </w:rPr>
              <w:t>39</w:t>
            </w:r>
          </w:hyperlink>
        </w:p>
        <w:p>
          <w:pPr>
            <w:pStyle w:val="TOC1"/>
            <w:numPr>
              <w:ilvl w:val="2"/>
              <w:numId w:val="5"/>
            </w:numPr>
            <w:tabs>
              <w:tab w:pos="1802" w:val="left" w:leader="none"/>
              <w:tab w:pos="10367" w:val="left" w:leader="dot"/>
            </w:tabs>
            <w:spacing w:line="240" w:lineRule="auto" w:before="98" w:after="0"/>
            <w:ind w:left="1801" w:right="0" w:hanging="541"/>
            <w:jc w:val="both"/>
          </w:pPr>
          <w:hyperlink w:history="true" w:anchor="_bookmark37">
            <w:r>
              <w:rPr/>
              <w:t>ДЛП у</w:t>
            </w:r>
            <w:r>
              <w:rPr>
                <w:spacing w:val="1"/>
              </w:rPr>
              <w:t> </w:t>
            </w:r>
            <w:r>
              <w:rPr>
                <w:spacing w:val="-2"/>
              </w:rPr>
              <w:t>пожилых</w:t>
            </w:r>
            <w:r>
              <w:rPr>
                <w:b w:val="0"/>
              </w:rPr>
              <w:tab/>
            </w:r>
            <w:r>
              <w:rPr>
                <w:spacing w:val="-5"/>
              </w:rPr>
              <w:t>40</w:t>
            </w:r>
          </w:hyperlink>
        </w:p>
        <w:p>
          <w:pPr>
            <w:pStyle w:val="TOC1"/>
            <w:numPr>
              <w:ilvl w:val="2"/>
              <w:numId w:val="5"/>
            </w:numPr>
            <w:tabs>
              <w:tab w:pos="1802" w:val="left" w:leader="none"/>
              <w:tab w:pos="10367" w:val="left" w:leader="dot"/>
            </w:tabs>
            <w:spacing w:line="240" w:lineRule="auto" w:before="101" w:after="0"/>
            <w:ind w:left="1801" w:right="0" w:hanging="541"/>
            <w:jc w:val="both"/>
          </w:pPr>
          <w:hyperlink w:history="true" w:anchor="_bookmark38">
            <w:r>
              <w:rPr/>
              <w:t>ДЛП</w:t>
            </w:r>
            <w:r>
              <w:rPr>
                <w:spacing w:val="-4"/>
              </w:rPr>
              <w:t> </w:t>
            </w:r>
            <w:r>
              <w:rPr/>
              <w:t>у</w:t>
            </w:r>
            <w:r>
              <w:rPr>
                <w:spacing w:val="-2"/>
              </w:rPr>
              <w:t> </w:t>
            </w:r>
            <w:r>
              <w:rPr/>
              <w:t>женщин,</w:t>
            </w:r>
            <w:r>
              <w:rPr>
                <w:spacing w:val="-4"/>
              </w:rPr>
              <w:t> </w:t>
            </w:r>
            <w:r>
              <w:rPr/>
              <w:t>при</w:t>
            </w:r>
            <w:r>
              <w:rPr>
                <w:spacing w:val="-2"/>
              </w:rPr>
              <w:t> </w:t>
            </w:r>
            <w:r>
              <w:rPr/>
              <w:t>беременности</w:t>
            </w:r>
            <w:r>
              <w:rPr>
                <w:spacing w:val="-2"/>
              </w:rPr>
              <w:t> </w:t>
            </w:r>
            <w:r>
              <w:rPr/>
              <w:t>и</w:t>
            </w:r>
            <w:r>
              <w:rPr>
                <w:spacing w:val="-1"/>
              </w:rPr>
              <w:t> </w:t>
            </w:r>
            <w:r>
              <w:rPr>
                <w:spacing w:val="-2"/>
              </w:rPr>
              <w:t>лактации</w:t>
            </w:r>
            <w:r>
              <w:rPr>
                <w:b w:val="0"/>
              </w:rPr>
              <w:tab/>
            </w:r>
            <w:r>
              <w:rPr>
                <w:spacing w:val="-7"/>
              </w:rPr>
              <w:t>41</w:t>
            </w:r>
          </w:hyperlink>
        </w:p>
        <w:p>
          <w:pPr>
            <w:pStyle w:val="TOC1"/>
            <w:numPr>
              <w:ilvl w:val="2"/>
              <w:numId w:val="5"/>
            </w:numPr>
            <w:tabs>
              <w:tab w:pos="1802" w:val="left" w:leader="none"/>
              <w:tab w:pos="10367" w:val="left" w:leader="dot"/>
            </w:tabs>
            <w:spacing w:line="240" w:lineRule="auto" w:before="101" w:after="0"/>
            <w:ind w:left="1801" w:right="0" w:hanging="541"/>
            <w:jc w:val="both"/>
          </w:pPr>
          <w:hyperlink w:history="true" w:anchor="_bookmark39">
            <w:r>
              <w:rPr/>
              <w:t>ДЛП</w:t>
            </w:r>
            <w:r>
              <w:rPr>
                <w:spacing w:val="-3"/>
              </w:rPr>
              <w:t> </w:t>
            </w:r>
            <w:r>
              <w:rPr/>
              <w:t>и</w:t>
            </w:r>
            <w:r>
              <w:rPr>
                <w:spacing w:val="-4"/>
              </w:rPr>
              <w:t> </w:t>
            </w:r>
            <w:r>
              <w:rPr/>
              <w:t>цереброваскулярная</w:t>
            </w:r>
            <w:r>
              <w:rPr>
                <w:spacing w:val="-3"/>
              </w:rPr>
              <w:t> </w:t>
            </w:r>
            <w:r>
              <w:rPr>
                <w:spacing w:val="-2"/>
              </w:rPr>
              <w:t>болезнь</w:t>
            </w:r>
            <w:r>
              <w:rPr>
                <w:b w:val="0"/>
              </w:rPr>
              <w:tab/>
            </w:r>
            <w:r>
              <w:rPr>
                <w:spacing w:val="-5"/>
              </w:rPr>
              <w:t>42</w:t>
            </w:r>
          </w:hyperlink>
        </w:p>
        <w:p>
          <w:pPr>
            <w:pStyle w:val="TOC1"/>
            <w:numPr>
              <w:ilvl w:val="2"/>
              <w:numId w:val="5"/>
            </w:numPr>
            <w:tabs>
              <w:tab w:pos="1802" w:val="left" w:leader="none"/>
              <w:tab w:pos="10367" w:val="left" w:leader="dot"/>
            </w:tabs>
            <w:spacing w:line="240" w:lineRule="auto" w:before="98" w:after="0"/>
            <w:ind w:left="1801" w:right="0" w:hanging="541"/>
            <w:jc w:val="both"/>
          </w:pPr>
          <w:hyperlink w:history="true" w:anchor="_bookmark40">
            <w:r>
              <w:rPr/>
              <w:t>ДЛП</w:t>
            </w:r>
            <w:r>
              <w:rPr>
                <w:spacing w:val="-2"/>
              </w:rPr>
              <w:t> </w:t>
            </w:r>
            <w:r>
              <w:rPr/>
              <w:t>и</w:t>
            </w:r>
            <w:r>
              <w:rPr>
                <w:spacing w:val="-3"/>
              </w:rPr>
              <w:t> </w:t>
            </w:r>
            <w:r>
              <w:rPr/>
              <w:t>клапанные</w:t>
            </w:r>
            <w:r>
              <w:rPr>
                <w:spacing w:val="-2"/>
              </w:rPr>
              <w:t> </w:t>
            </w:r>
            <w:r>
              <w:rPr/>
              <w:t>пороки</w:t>
            </w:r>
            <w:r>
              <w:rPr>
                <w:spacing w:val="-1"/>
              </w:rPr>
              <w:t> </w:t>
            </w:r>
            <w:r>
              <w:rPr>
                <w:spacing w:val="-2"/>
              </w:rPr>
              <w:t>сердца</w:t>
            </w:r>
            <w:r>
              <w:rPr>
                <w:b w:val="0"/>
              </w:rPr>
              <w:tab/>
            </w:r>
            <w:r>
              <w:rPr>
                <w:spacing w:val="-5"/>
              </w:rPr>
              <w:t>44</w:t>
            </w:r>
          </w:hyperlink>
        </w:p>
        <w:p>
          <w:pPr>
            <w:pStyle w:val="TOC1"/>
            <w:numPr>
              <w:ilvl w:val="0"/>
              <w:numId w:val="4"/>
            </w:numPr>
            <w:tabs>
              <w:tab w:pos="1660" w:val="left" w:leader="none"/>
              <w:tab w:pos="10367" w:val="left" w:leader="dot"/>
            </w:tabs>
            <w:spacing w:line="240" w:lineRule="auto" w:before="101" w:after="0"/>
            <w:ind w:left="1261" w:right="566" w:firstLine="0"/>
            <w:jc w:val="both"/>
          </w:pPr>
          <w:hyperlink w:history="true" w:anchor="_bookmark41">
            <w:r>
              <w:rPr/>
              <w:t>Медицинская реабилитация и санаторно-курортное лечение, медицинские</w:t>
            </w:r>
          </w:hyperlink>
          <w:r>
            <w:rPr/>
            <w:t> </w:t>
          </w:r>
          <w:hyperlink w:history="true" w:anchor="_bookmark41">
            <w:r>
              <w:rPr/>
              <w:t>показания и противопоказания к применению методов медицинской реабилитации,</w:t>
            </w:r>
          </w:hyperlink>
          <w:r>
            <w:rPr>
              <w:spacing w:val="40"/>
            </w:rPr>
            <w:t> </w:t>
          </w:r>
          <w:hyperlink w:history="true" w:anchor="_bookmark41">
            <w:r>
              <w:rPr/>
              <w:t>в</w:t>
            </w:r>
            <w:r>
              <w:rPr>
                <w:spacing w:val="-6"/>
              </w:rPr>
              <w:t> </w:t>
            </w:r>
            <w:r>
              <w:rPr/>
              <w:t>том</w:t>
            </w:r>
            <w:r>
              <w:rPr>
                <w:spacing w:val="-3"/>
              </w:rPr>
              <w:t> </w:t>
            </w:r>
            <w:r>
              <w:rPr/>
              <w:t>числе</w:t>
            </w:r>
            <w:r>
              <w:rPr>
                <w:spacing w:val="-4"/>
              </w:rPr>
              <w:t> </w:t>
            </w:r>
            <w:r>
              <w:rPr/>
              <w:t>основанных</w:t>
            </w:r>
            <w:r>
              <w:rPr>
                <w:spacing w:val="-2"/>
              </w:rPr>
              <w:t> </w:t>
            </w:r>
            <w:r>
              <w:rPr/>
              <w:t>на</w:t>
            </w:r>
            <w:r>
              <w:rPr>
                <w:spacing w:val="-2"/>
              </w:rPr>
              <w:t> </w:t>
            </w:r>
            <w:r>
              <w:rPr/>
              <w:t>использовании</w:t>
            </w:r>
            <w:r>
              <w:rPr>
                <w:spacing w:val="-5"/>
              </w:rPr>
              <w:t> </w:t>
            </w:r>
            <w:r>
              <w:rPr/>
              <w:t>природных</w:t>
            </w:r>
            <w:r>
              <w:rPr>
                <w:spacing w:val="-2"/>
              </w:rPr>
              <w:t> </w:t>
            </w:r>
            <w:r>
              <w:rPr/>
              <w:t>лечебных</w:t>
            </w:r>
            <w:r>
              <w:rPr>
                <w:spacing w:val="-2"/>
              </w:rPr>
              <w:t> факторов</w:t>
            </w:r>
            <w:r>
              <w:rPr>
                <w:b w:val="0"/>
              </w:rPr>
              <w:tab/>
            </w:r>
            <w:r>
              <w:rPr>
                <w:spacing w:val="-5"/>
              </w:rPr>
              <w:t>44</w:t>
            </w:r>
          </w:hyperlink>
        </w:p>
        <w:p>
          <w:pPr>
            <w:pStyle w:val="TOC1"/>
            <w:numPr>
              <w:ilvl w:val="0"/>
              <w:numId w:val="4"/>
            </w:numPr>
            <w:tabs>
              <w:tab w:pos="1704" w:val="left" w:leader="none"/>
              <w:tab w:pos="10367" w:val="left" w:leader="dot"/>
            </w:tabs>
            <w:spacing w:line="240" w:lineRule="auto" w:before="101" w:after="0"/>
            <w:ind w:left="1261" w:right="568" w:firstLine="0"/>
            <w:jc w:val="both"/>
          </w:pPr>
          <w:hyperlink w:history="true" w:anchor="_bookmark42">
            <w:r>
              <w:rPr/>
              <w:t>Профилактика и диспансерное наблюдение, медицинские показания и</w:t>
            </w:r>
          </w:hyperlink>
          <w:r>
            <w:rPr/>
            <w:t> </w:t>
          </w:r>
          <w:hyperlink w:history="true" w:anchor="_bookmark42">
            <w:r>
              <w:rPr/>
              <w:t>противопоказания</w:t>
            </w:r>
            <w:r>
              <w:rPr>
                <w:spacing w:val="-9"/>
              </w:rPr>
              <w:t> </w:t>
            </w:r>
            <w:r>
              <w:rPr/>
              <w:t>к</w:t>
            </w:r>
            <w:r>
              <w:rPr>
                <w:spacing w:val="-4"/>
              </w:rPr>
              <w:t> </w:t>
            </w:r>
            <w:r>
              <w:rPr/>
              <w:t>применению</w:t>
            </w:r>
            <w:r>
              <w:rPr>
                <w:spacing w:val="-5"/>
              </w:rPr>
              <w:t> </w:t>
            </w:r>
            <w:r>
              <w:rPr/>
              <w:t>методов</w:t>
            </w:r>
            <w:r>
              <w:rPr>
                <w:spacing w:val="-3"/>
              </w:rPr>
              <w:t> </w:t>
            </w:r>
            <w:r>
              <w:rPr>
                <w:spacing w:val="-2"/>
              </w:rPr>
              <w:t>профилактики</w:t>
            </w:r>
            <w:r>
              <w:rPr>
                <w:b w:val="0"/>
              </w:rPr>
              <w:tab/>
            </w:r>
            <w:r>
              <w:rPr>
                <w:spacing w:val="-5"/>
              </w:rPr>
              <w:t>44</w:t>
            </w:r>
          </w:hyperlink>
        </w:p>
        <w:p>
          <w:pPr>
            <w:pStyle w:val="TOC1"/>
            <w:numPr>
              <w:ilvl w:val="0"/>
              <w:numId w:val="4"/>
            </w:numPr>
            <w:tabs>
              <w:tab w:pos="1502" w:val="left" w:leader="none"/>
              <w:tab w:pos="10367" w:val="left" w:leader="dot"/>
            </w:tabs>
            <w:spacing w:line="240" w:lineRule="auto" w:before="99" w:after="0"/>
            <w:ind w:left="1501" w:right="0" w:hanging="241"/>
            <w:jc w:val="both"/>
          </w:pPr>
          <w:hyperlink w:history="true" w:anchor="_bookmark43">
            <w:r>
              <w:rPr/>
              <w:t>Организация</w:t>
            </w:r>
            <w:r>
              <w:rPr>
                <w:spacing w:val="-6"/>
              </w:rPr>
              <w:t> </w:t>
            </w:r>
            <w:r>
              <w:rPr/>
              <w:t>оказания</w:t>
            </w:r>
            <w:r>
              <w:rPr>
                <w:spacing w:val="-6"/>
              </w:rPr>
              <w:t> </w:t>
            </w:r>
            <w:r>
              <w:rPr/>
              <w:t>медицинской</w:t>
            </w:r>
            <w:r>
              <w:rPr>
                <w:spacing w:val="-6"/>
              </w:rPr>
              <w:t> </w:t>
            </w:r>
            <w:r>
              <w:rPr>
                <w:spacing w:val="-2"/>
              </w:rPr>
              <w:t>помощи</w:t>
            </w:r>
            <w:r>
              <w:rPr>
                <w:b w:val="0"/>
              </w:rPr>
              <w:tab/>
            </w:r>
            <w:r>
              <w:rPr>
                <w:spacing w:val="-5"/>
              </w:rPr>
              <w:t>48</w:t>
            </w:r>
          </w:hyperlink>
        </w:p>
        <w:p>
          <w:pPr>
            <w:pStyle w:val="TOC1"/>
            <w:numPr>
              <w:ilvl w:val="0"/>
              <w:numId w:val="4"/>
            </w:numPr>
            <w:tabs>
              <w:tab w:pos="1627" w:val="left" w:leader="none"/>
              <w:tab w:pos="10367" w:val="left" w:leader="dot"/>
            </w:tabs>
            <w:spacing w:line="240" w:lineRule="auto" w:before="100" w:after="0"/>
            <w:ind w:left="1261" w:right="568" w:firstLine="0"/>
            <w:jc w:val="both"/>
          </w:pPr>
          <w:hyperlink w:history="true" w:anchor="_bookmark44">
            <w:r>
              <w:rPr/>
              <w:t>Дополнительная информация (в том числе факторы, влияющие на исход</w:t>
            </w:r>
          </w:hyperlink>
          <w:r>
            <w:rPr/>
            <w:t> </w:t>
          </w:r>
          <w:hyperlink w:history="true" w:anchor="_bookmark44">
            <w:r>
              <w:rPr/>
              <w:t>заболевания</w:t>
            </w:r>
            <w:r>
              <w:rPr>
                <w:spacing w:val="-3"/>
              </w:rPr>
              <w:t> </w:t>
            </w:r>
            <w:r>
              <w:rPr/>
              <w:t>или</w:t>
            </w:r>
            <w:r>
              <w:rPr>
                <w:spacing w:val="-2"/>
              </w:rPr>
              <w:t> состояния)</w:t>
            </w:r>
            <w:r>
              <w:rPr>
                <w:b w:val="0"/>
              </w:rPr>
              <w:tab/>
            </w:r>
            <w:r>
              <w:rPr>
                <w:spacing w:val="-5"/>
              </w:rPr>
              <w:t>49</w:t>
            </w:r>
          </w:hyperlink>
        </w:p>
        <w:p>
          <w:pPr>
            <w:pStyle w:val="TOC1"/>
            <w:numPr>
              <w:ilvl w:val="1"/>
              <w:numId w:val="6"/>
            </w:numPr>
            <w:tabs>
              <w:tab w:pos="1622" w:val="left" w:leader="none"/>
              <w:tab w:pos="10367" w:val="left" w:leader="dot"/>
            </w:tabs>
            <w:spacing w:line="240" w:lineRule="auto" w:before="101" w:after="0"/>
            <w:ind w:left="1621" w:right="0" w:hanging="361"/>
            <w:jc w:val="both"/>
          </w:pPr>
          <w:hyperlink w:history="true" w:anchor="_bookmark45">
            <w:r>
              <w:rPr/>
              <w:t>Критерии</w:t>
            </w:r>
            <w:r>
              <w:rPr>
                <w:spacing w:val="-3"/>
              </w:rPr>
              <w:t> </w:t>
            </w:r>
            <w:r>
              <w:rPr/>
              <w:t>оценки</w:t>
            </w:r>
            <w:r>
              <w:rPr>
                <w:spacing w:val="-4"/>
              </w:rPr>
              <w:t> </w:t>
            </w:r>
            <w:r>
              <w:rPr/>
              <w:t>качества</w:t>
            </w:r>
            <w:r>
              <w:rPr>
                <w:spacing w:val="-3"/>
              </w:rPr>
              <w:t> </w:t>
            </w:r>
            <w:r>
              <w:rPr/>
              <w:t>медицинской</w:t>
            </w:r>
            <w:r>
              <w:rPr>
                <w:spacing w:val="-2"/>
              </w:rPr>
              <w:t> помощи</w:t>
            </w:r>
            <w:r>
              <w:rPr>
                <w:b w:val="0"/>
              </w:rPr>
              <w:tab/>
            </w:r>
            <w:r>
              <w:rPr>
                <w:spacing w:val="-5"/>
              </w:rPr>
              <w:t>49</w:t>
            </w:r>
          </w:hyperlink>
        </w:p>
        <w:p>
          <w:pPr>
            <w:pStyle w:val="TOC1"/>
            <w:tabs>
              <w:tab w:pos="10367" w:val="left" w:leader="dot"/>
            </w:tabs>
            <w:spacing w:before="99"/>
          </w:pPr>
          <w:hyperlink w:history="true" w:anchor="_bookmark46">
            <w:r>
              <w:rPr/>
              <w:t>Список</w:t>
            </w:r>
            <w:r>
              <w:rPr>
                <w:spacing w:val="-2"/>
              </w:rPr>
              <w:t> литературы</w:t>
            </w:r>
            <w:r>
              <w:rPr>
                <w:b w:val="0"/>
              </w:rPr>
              <w:tab/>
            </w:r>
            <w:r>
              <w:rPr>
                <w:spacing w:val="-7"/>
              </w:rPr>
              <w:t>51</w:t>
            </w:r>
          </w:hyperlink>
        </w:p>
        <w:p>
          <w:pPr>
            <w:pStyle w:val="TOC1"/>
            <w:tabs>
              <w:tab w:pos="10367" w:val="left" w:leader="dot"/>
            </w:tabs>
            <w:ind w:right="568"/>
          </w:pPr>
          <w:hyperlink w:history="true" w:anchor="_bookmark287">
            <w:r>
              <w:rPr/>
              <w:t>Приложение А1. Состав рабочей группы по разработке и пересмотру клинических</w:t>
            </w:r>
          </w:hyperlink>
          <w:r>
            <w:rPr/>
            <w:t> </w:t>
          </w:r>
          <w:hyperlink w:history="true" w:anchor="_bookmark287">
            <w:r>
              <w:rPr>
                <w:spacing w:val="-2"/>
              </w:rPr>
              <w:t>рекомендаций</w:t>
            </w:r>
            <w:r>
              <w:rPr>
                <w:b w:val="0"/>
              </w:rPr>
              <w:tab/>
            </w:r>
            <w:r>
              <w:rPr>
                <w:spacing w:val="-5"/>
              </w:rPr>
              <w:t>75</w:t>
            </w:r>
          </w:hyperlink>
        </w:p>
        <w:p>
          <w:pPr>
            <w:pStyle w:val="TOC1"/>
            <w:tabs>
              <w:tab w:pos="10367" w:val="left" w:leader="dot"/>
            </w:tabs>
            <w:spacing w:before="100"/>
          </w:pPr>
          <w:hyperlink w:history="true" w:anchor="_bookmark288">
            <w:r>
              <w:rPr/>
              <w:t>Приложение</w:t>
            </w:r>
            <w:r>
              <w:rPr>
                <w:spacing w:val="-7"/>
              </w:rPr>
              <w:t> </w:t>
            </w:r>
            <w:r>
              <w:rPr/>
              <w:t>А2.</w:t>
            </w:r>
            <w:r>
              <w:rPr>
                <w:spacing w:val="-3"/>
              </w:rPr>
              <w:t> </w:t>
            </w:r>
            <w:r>
              <w:rPr/>
              <w:t>Методология</w:t>
            </w:r>
            <w:r>
              <w:rPr>
                <w:spacing w:val="-5"/>
              </w:rPr>
              <w:t> </w:t>
            </w:r>
            <w:r>
              <w:rPr/>
              <w:t>разработки</w:t>
            </w:r>
            <w:r>
              <w:rPr>
                <w:spacing w:val="-5"/>
              </w:rPr>
              <w:t> </w:t>
            </w:r>
            <w:r>
              <w:rPr/>
              <w:t>клинических</w:t>
            </w:r>
            <w:r>
              <w:rPr>
                <w:spacing w:val="-4"/>
              </w:rPr>
              <w:t> </w:t>
            </w:r>
            <w:r>
              <w:rPr>
                <w:spacing w:val="-2"/>
              </w:rPr>
              <w:t>рекомендаций</w:t>
            </w:r>
            <w:r>
              <w:rPr>
                <w:b w:val="0"/>
              </w:rPr>
              <w:tab/>
            </w:r>
            <w:r>
              <w:rPr>
                <w:spacing w:val="-5"/>
              </w:rPr>
              <w:t>76</w:t>
            </w:r>
          </w:hyperlink>
        </w:p>
        <w:p>
          <w:pPr>
            <w:pStyle w:val="TOC1"/>
            <w:tabs>
              <w:tab w:pos="10367" w:val="left" w:leader="dot"/>
            </w:tabs>
            <w:spacing w:before="99"/>
            <w:ind w:right="568"/>
          </w:pPr>
          <w:hyperlink w:history="true" w:anchor="_bookmark289">
            <w:r>
              <w:rPr/>
              <w:t>Приложение А3. Справочные материалы, включая соответствие показаний к</w:t>
            </w:r>
          </w:hyperlink>
          <w:r>
            <w:rPr/>
            <w:t> </w:t>
          </w:r>
          <w:hyperlink w:history="true" w:anchor="_bookmark289">
            <w:r>
              <w:rPr/>
              <w:t>применению и противопоказаний, способов применения и доз лекарственных</w:t>
            </w:r>
          </w:hyperlink>
          <w:r>
            <w:rPr/>
            <w:t> </w:t>
          </w:r>
          <w:hyperlink w:history="true" w:anchor="_bookmark289">
            <w:r>
              <w:rPr/>
              <w:t>препаратов</w:t>
            </w:r>
            <w:r>
              <w:rPr>
                <w:spacing w:val="-7"/>
              </w:rPr>
              <w:t> </w:t>
            </w:r>
            <w:r>
              <w:rPr/>
              <w:t>инструкции</w:t>
            </w:r>
            <w:r>
              <w:rPr>
                <w:spacing w:val="-5"/>
              </w:rPr>
              <w:t> </w:t>
            </w:r>
            <w:r>
              <w:rPr/>
              <w:t>по</w:t>
            </w:r>
            <w:r>
              <w:rPr>
                <w:spacing w:val="-7"/>
              </w:rPr>
              <w:t> </w:t>
            </w:r>
            <w:r>
              <w:rPr/>
              <w:t>применению</w:t>
            </w:r>
            <w:r>
              <w:rPr>
                <w:spacing w:val="-6"/>
              </w:rPr>
              <w:t> </w:t>
            </w:r>
            <w:r>
              <w:rPr/>
              <w:t>лекарственного</w:t>
            </w:r>
            <w:r>
              <w:rPr>
                <w:spacing w:val="-4"/>
              </w:rPr>
              <w:t> </w:t>
            </w:r>
            <w:r>
              <w:rPr>
                <w:spacing w:val="-2"/>
              </w:rPr>
              <w:t>препарата</w:t>
            </w:r>
            <w:r>
              <w:rPr>
                <w:b w:val="0"/>
              </w:rPr>
              <w:tab/>
            </w:r>
            <w:r>
              <w:rPr>
                <w:spacing w:val="-5"/>
              </w:rPr>
              <w:t>80</w:t>
            </w:r>
          </w:hyperlink>
        </w:p>
        <w:p>
          <w:pPr>
            <w:pStyle w:val="TOC2"/>
            <w:jc w:val="both"/>
          </w:pPr>
          <w:hyperlink w:history="true" w:anchor="_bookmark290">
            <w:r>
              <w:rPr/>
              <w:t>Приложение</w:t>
            </w:r>
            <w:r>
              <w:rPr>
                <w:spacing w:val="-7"/>
              </w:rPr>
              <w:t> </w:t>
            </w:r>
            <w:r>
              <w:rPr/>
              <w:t>А3.1.</w:t>
            </w:r>
            <w:r>
              <w:rPr>
                <w:spacing w:val="-3"/>
              </w:rPr>
              <w:t> </w:t>
            </w:r>
            <w:r>
              <w:rPr/>
              <w:t>Принципы</w:t>
            </w:r>
            <w:r>
              <w:rPr>
                <w:spacing w:val="-5"/>
              </w:rPr>
              <w:t> </w:t>
            </w:r>
            <w:r>
              <w:rPr/>
              <w:t>диагностики</w:t>
            </w:r>
            <w:r>
              <w:rPr>
                <w:spacing w:val="-5"/>
              </w:rPr>
              <w:t> </w:t>
            </w:r>
            <w:r>
              <w:rPr/>
              <w:t>и</w:t>
            </w:r>
            <w:r>
              <w:rPr>
                <w:spacing w:val="-3"/>
              </w:rPr>
              <w:t> </w:t>
            </w:r>
            <w:r>
              <w:rPr/>
              <w:t>оценки</w:t>
            </w:r>
            <w:r>
              <w:rPr>
                <w:spacing w:val="-3"/>
              </w:rPr>
              <w:t> </w:t>
            </w:r>
            <w:r>
              <w:rPr/>
              <w:t>сердечно-сосудистого</w:t>
            </w:r>
            <w:r>
              <w:rPr>
                <w:spacing w:val="-3"/>
              </w:rPr>
              <w:t> </w:t>
            </w:r>
            <w:r>
              <w:rPr/>
              <w:t>риска</w:t>
            </w:r>
            <w:r>
              <w:rPr>
                <w:spacing w:val="-6"/>
              </w:rPr>
              <w:t> </w:t>
            </w:r>
            <w:r>
              <w:rPr>
                <w:spacing w:val="-5"/>
              </w:rPr>
              <w:t>82</w:t>
            </w:r>
          </w:hyperlink>
        </w:p>
        <w:p>
          <w:pPr>
            <w:pStyle w:val="TOC1"/>
            <w:tabs>
              <w:tab w:pos="10367" w:val="left" w:leader="dot"/>
            </w:tabs>
            <w:spacing w:before="100"/>
          </w:pPr>
          <w:hyperlink w:history="true" w:anchor="_bookmark291">
            <w:r>
              <w:rPr/>
              <w:t>Приложение</w:t>
            </w:r>
            <w:r>
              <w:rPr>
                <w:spacing w:val="-4"/>
              </w:rPr>
              <w:t> </w:t>
            </w:r>
            <w:r>
              <w:rPr/>
              <w:t>Б.</w:t>
            </w:r>
            <w:r>
              <w:rPr>
                <w:spacing w:val="-3"/>
              </w:rPr>
              <w:t> </w:t>
            </w:r>
            <w:r>
              <w:rPr/>
              <w:t>Алгоритмы</w:t>
            </w:r>
            <w:r>
              <w:rPr>
                <w:spacing w:val="-4"/>
              </w:rPr>
              <w:t> </w:t>
            </w:r>
            <w:r>
              <w:rPr/>
              <w:t>действий</w:t>
            </w:r>
            <w:r>
              <w:rPr>
                <w:spacing w:val="-3"/>
              </w:rPr>
              <w:t> </w:t>
            </w:r>
            <w:r>
              <w:rPr>
                <w:spacing w:val="-4"/>
              </w:rPr>
              <w:t>врача</w:t>
            </w:r>
            <w:r>
              <w:rPr>
                <w:b w:val="0"/>
              </w:rPr>
              <w:tab/>
            </w:r>
            <w:r>
              <w:rPr>
                <w:spacing w:val="-5"/>
              </w:rPr>
              <w:t>89</w:t>
            </w:r>
          </w:hyperlink>
        </w:p>
      </w:sdtContent>
    </w:sdt>
    <w:p>
      <w:pPr>
        <w:spacing w:after="0"/>
        <w:sectPr>
          <w:type w:val="continuous"/>
          <w:pgSz w:w="11910" w:h="16840"/>
          <w:pgMar w:header="0" w:footer="710" w:top="1060" w:bottom="1269" w:left="440" w:right="280"/>
        </w:sectPr>
      </w:pPr>
    </w:p>
    <w:p>
      <w:pPr>
        <w:pStyle w:val="Heading3"/>
        <w:spacing w:before="73"/>
      </w:pPr>
      <w:bookmarkStart w:name="Список сокращений" w:id="1"/>
      <w:bookmarkEnd w:id="1"/>
      <w:r>
        <w:rPr>
          <w:b w:val="0"/>
        </w:rPr>
      </w:r>
      <w:bookmarkStart w:name="_bookmark0" w:id="2"/>
      <w:bookmarkEnd w:id="2"/>
      <w:r>
        <w:rPr>
          <w:b w:val="0"/>
        </w:rPr>
      </w:r>
      <w:r>
        <w:rPr/>
        <w:t>Список</w:t>
      </w:r>
      <w:r>
        <w:rPr>
          <w:spacing w:val="-2"/>
        </w:rPr>
        <w:t> сокращений</w:t>
      </w:r>
    </w:p>
    <w:p>
      <w:pPr>
        <w:pStyle w:val="BodyText"/>
        <w:tabs>
          <w:tab w:pos="2677" w:val="left" w:leader="none"/>
        </w:tabs>
        <w:spacing w:before="139"/>
        <w:ind w:left="1261"/>
      </w:pPr>
      <w:r>
        <w:rPr>
          <w:spacing w:val="-5"/>
        </w:rPr>
        <w:t>АГ</w:t>
      </w:r>
      <w:r>
        <w:rPr/>
        <w:tab/>
        <w:t>артериальная</w:t>
      </w:r>
      <w:r>
        <w:rPr>
          <w:spacing w:val="-2"/>
        </w:rPr>
        <w:t> гипертония</w:t>
      </w:r>
    </w:p>
    <w:p>
      <w:pPr>
        <w:pStyle w:val="BodyText"/>
        <w:tabs>
          <w:tab w:pos="2677" w:val="left" w:leader="none"/>
        </w:tabs>
        <w:ind w:left="1261"/>
      </w:pPr>
      <w:r>
        <w:rPr>
          <w:spacing w:val="-5"/>
        </w:rPr>
        <w:t>АД</w:t>
      </w:r>
      <w:r>
        <w:rPr/>
        <w:tab/>
        <w:t>артериальное</w:t>
      </w:r>
      <w:r>
        <w:rPr>
          <w:spacing w:val="-2"/>
        </w:rPr>
        <w:t> давление</w:t>
      </w:r>
    </w:p>
    <w:p>
      <w:pPr>
        <w:pStyle w:val="BodyText"/>
        <w:tabs>
          <w:tab w:pos="2677" w:val="left" w:leader="none"/>
        </w:tabs>
        <w:spacing w:before="1"/>
        <w:ind w:left="1261"/>
      </w:pPr>
      <w:r>
        <w:rPr>
          <w:spacing w:val="-5"/>
        </w:rPr>
        <w:t>АЛТ</w:t>
      </w:r>
      <w:r>
        <w:rPr/>
        <w:tab/>
      </w:r>
      <w:r>
        <w:rPr>
          <w:spacing w:val="-2"/>
        </w:rPr>
        <w:t>аланинаминотрансфераза</w:t>
      </w:r>
    </w:p>
    <w:p>
      <w:pPr>
        <w:pStyle w:val="BodyText"/>
        <w:tabs>
          <w:tab w:pos="2677" w:val="left" w:leader="none"/>
        </w:tabs>
        <w:ind w:left="1261"/>
      </w:pPr>
      <w:r>
        <w:rPr>
          <w:spacing w:val="-5"/>
        </w:rPr>
        <w:t>АСБ</w:t>
      </w:r>
      <w:r>
        <w:rPr/>
        <w:tab/>
        <w:t>атеросклеротическая</w:t>
      </w:r>
      <w:r>
        <w:rPr>
          <w:spacing w:val="-5"/>
        </w:rPr>
        <w:t> </w:t>
      </w:r>
      <w:r>
        <w:rPr>
          <w:spacing w:val="-2"/>
        </w:rPr>
        <w:t>бляшка</w:t>
      </w:r>
    </w:p>
    <w:p>
      <w:pPr>
        <w:pStyle w:val="BodyText"/>
        <w:tabs>
          <w:tab w:pos="2677" w:val="left" w:leader="none"/>
        </w:tabs>
        <w:ind w:left="1261"/>
      </w:pPr>
      <w:r>
        <w:rPr>
          <w:spacing w:val="-5"/>
        </w:rPr>
        <w:t>АСТ</w:t>
      </w:r>
      <w:r>
        <w:rPr/>
        <w:tab/>
      </w:r>
      <w:r>
        <w:rPr>
          <w:spacing w:val="-2"/>
        </w:rPr>
        <w:t>аспартатаминотрансфераза</w:t>
      </w:r>
    </w:p>
    <w:p>
      <w:pPr>
        <w:pStyle w:val="BodyText"/>
        <w:tabs>
          <w:tab w:pos="2677" w:val="left" w:leader="none"/>
        </w:tabs>
        <w:ind w:left="1261" w:right="2822"/>
      </w:pPr>
      <w:r>
        <w:rPr>
          <w:spacing w:val="-4"/>
        </w:rPr>
        <w:t>АССЗ</w:t>
      </w:r>
      <w:r>
        <w:rPr/>
        <w:tab/>
        <w:t>атеросклеротическое</w:t>
      </w:r>
      <w:r>
        <w:rPr>
          <w:spacing w:val="-17"/>
        </w:rPr>
        <w:t> </w:t>
      </w:r>
      <w:r>
        <w:rPr/>
        <w:t>сердечно-сосудистое</w:t>
      </w:r>
      <w:r>
        <w:rPr>
          <w:spacing w:val="-15"/>
        </w:rPr>
        <w:t> </w:t>
      </w:r>
      <w:r>
        <w:rPr/>
        <w:t>заболевание </w:t>
      </w:r>
      <w:r>
        <w:rPr>
          <w:spacing w:val="-4"/>
        </w:rPr>
        <w:t>ВГН</w:t>
      </w:r>
      <w:r>
        <w:rPr/>
        <w:tab/>
        <w:t>верхняя граница нормы</w:t>
      </w:r>
    </w:p>
    <w:p>
      <w:pPr>
        <w:pStyle w:val="BodyText"/>
        <w:tabs>
          <w:tab w:pos="2677" w:val="left" w:leader="none"/>
        </w:tabs>
        <w:ind w:left="1261"/>
      </w:pPr>
      <w:r>
        <w:rPr>
          <w:spacing w:val="-5"/>
        </w:rPr>
        <w:t>ДЛП</w:t>
      </w:r>
      <w:r>
        <w:rPr/>
        <w:tab/>
      </w:r>
      <w:r>
        <w:rPr>
          <w:spacing w:val="-2"/>
        </w:rPr>
        <w:t>дислипидемия</w:t>
      </w:r>
    </w:p>
    <w:p>
      <w:pPr>
        <w:pStyle w:val="BodyText"/>
        <w:tabs>
          <w:tab w:pos="2677" w:val="left" w:leader="none"/>
        </w:tabs>
        <w:ind w:left="1261" w:right="3651"/>
      </w:pPr>
      <w:r>
        <w:rPr>
          <w:spacing w:val="-2"/>
        </w:rPr>
        <w:t>геСГХС</w:t>
      </w:r>
      <w:r>
        <w:rPr/>
        <w:tab/>
        <w:t>гетерозиготная</w:t>
      </w:r>
      <w:r>
        <w:rPr>
          <w:spacing w:val="-17"/>
        </w:rPr>
        <w:t> </w:t>
      </w:r>
      <w:r>
        <w:rPr/>
        <w:t>семейная</w:t>
      </w:r>
      <w:r>
        <w:rPr>
          <w:spacing w:val="-15"/>
        </w:rPr>
        <w:t> </w:t>
      </w:r>
      <w:r>
        <w:rPr/>
        <w:t>гиперхолестеринемия </w:t>
      </w:r>
      <w:r>
        <w:rPr>
          <w:spacing w:val="-2"/>
        </w:rPr>
        <w:t>гоСГХС</w:t>
      </w:r>
      <w:r>
        <w:rPr/>
        <w:tab/>
        <w:t>гомозиготная семейная гиперхолестеринемия </w:t>
      </w:r>
      <w:r>
        <w:rPr>
          <w:spacing w:val="-4"/>
        </w:rPr>
        <w:t>ГТГ</w:t>
      </w:r>
      <w:r>
        <w:rPr/>
        <w:tab/>
      </w:r>
      <w:r>
        <w:rPr>
          <w:spacing w:val="-2"/>
        </w:rPr>
        <w:t>гипертриглицеридемия</w:t>
      </w:r>
    </w:p>
    <w:p>
      <w:pPr>
        <w:pStyle w:val="BodyText"/>
        <w:tabs>
          <w:tab w:pos="2677" w:val="left" w:leader="none"/>
        </w:tabs>
        <w:ind w:left="1261"/>
      </w:pPr>
      <w:r>
        <w:rPr>
          <w:spacing w:val="-5"/>
        </w:rPr>
        <w:t>ГХС</w:t>
      </w:r>
      <w:r>
        <w:rPr/>
        <w:tab/>
      </w:r>
      <w:r>
        <w:rPr>
          <w:spacing w:val="-2"/>
        </w:rPr>
        <w:t>гиперхолестеринемия</w:t>
      </w:r>
    </w:p>
    <w:p>
      <w:pPr>
        <w:pStyle w:val="BodyText"/>
        <w:tabs>
          <w:tab w:pos="2677" w:val="left" w:leader="none"/>
        </w:tabs>
        <w:ind w:left="1261"/>
      </w:pPr>
      <w:r>
        <w:rPr>
          <w:spacing w:val="-5"/>
        </w:rPr>
        <w:t>ДИ</w:t>
      </w:r>
      <w:r>
        <w:rPr/>
        <w:tab/>
        <w:t>доверительный</w:t>
      </w:r>
      <w:r>
        <w:rPr>
          <w:spacing w:val="-4"/>
        </w:rPr>
        <w:t> </w:t>
      </w:r>
      <w:r>
        <w:rPr>
          <w:spacing w:val="-2"/>
        </w:rPr>
        <w:t>интервал</w:t>
      </w:r>
    </w:p>
    <w:p>
      <w:pPr>
        <w:pStyle w:val="BodyText"/>
        <w:tabs>
          <w:tab w:pos="2677" w:val="left" w:leader="none"/>
        </w:tabs>
        <w:ind w:left="1261"/>
      </w:pPr>
      <w:r>
        <w:rPr>
          <w:spacing w:val="-5"/>
        </w:rPr>
        <w:t>ДЛП</w:t>
      </w:r>
      <w:r>
        <w:rPr/>
        <w:tab/>
      </w:r>
      <w:r>
        <w:rPr>
          <w:spacing w:val="-2"/>
        </w:rPr>
        <w:t>дислипидемия</w:t>
      </w:r>
    </w:p>
    <w:p>
      <w:pPr>
        <w:pStyle w:val="BodyText"/>
        <w:tabs>
          <w:tab w:pos="2677" w:val="left" w:leader="none"/>
        </w:tabs>
        <w:ind w:left="1261" w:right="4646"/>
      </w:pPr>
      <w:r>
        <w:rPr>
          <w:spacing w:val="-4"/>
        </w:rPr>
        <w:t>ЕОК</w:t>
      </w:r>
      <w:r>
        <w:rPr/>
        <w:tab/>
        <w:t>Европейское общество кардиологов </w:t>
      </w:r>
      <w:r>
        <w:rPr>
          <w:spacing w:val="-4"/>
        </w:rPr>
        <w:t>ЕОА</w:t>
      </w:r>
      <w:r>
        <w:rPr/>
        <w:tab/>
        <w:t>Европейское</w:t>
      </w:r>
      <w:r>
        <w:rPr>
          <w:spacing w:val="-15"/>
        </w:rPr>
        <w:t> </w:t>
      </w:r>
      <w:r>
        <w:rPr/>
        <w:t>общество</w:t>
      </w:r>
      <w:r>
        <w:rPr>
          <w:spacing w:val="-15"/>
        </w:rPr>
        <w:t> </w:t>
      </w:r>
      <w:r>
        <w:rPr/>
        <w:t>атеросклероза</w:t>
      </w:r>
    </w:p>
    <w:p>
      <w:pPr>
        <w:pStyle w:val="BodyText"/>
        <w:tabs>
          <w:tab w:pos="2677" w:val="left" w:leader="none"/>
        </w:tabs>
        <w:ind w:left="1261" w:right="2081"/>
      </w:pPr>
      <w:r>
        <w:rPr>
          <w:spacing w:val="-2"/>
        </w:rPr>
        <w:t>ЖНВЛП</w:t>
      </w:r>
      <w:r>
        <w:rPr/>
        <w:tab/>
        <w:t>жизненно-необходимые</w:t>
      </w:r>
      <w:r>
        <w:rPr>
          <w:spacing w:val="-11"/>
        </w:rPr>
        <w:t> </w:t>
      </w:r>
      <w:r>
        <w:rPr/>
        <w:t>важнейшие</w:t>
      </w:r>
      <w:r>
        <w:rPr>
          <w:spacing w:val="-11"/>
        </w:rPr>
        <w:t> </w:t>
      </w:r>
      <w:r>
        <w:rPr/>
        <w:t>лекарственные</w:t>
      </w:r>
      <w:r>
        <w:rPr>
          <w:spacing w:val="-12"/>
        </w:rPr>
        <w:t> </w:t>
      </w:r>
      <w:r>
        <w:rPr/>
        <w:t>препараты </w:t>
      </w:r>
      <w:r>
        <w:rPr>
          <w:spacing w:val="-4"/>
        </w:rPr>
        <w:t>ИБС</w:t>
      </w:r>
      <w:r>
        <w:rPr/>
        <w:tab/>
        <w:t>ишемическая болезнь сердца</w:t>
      </w:r>
    </w:p>
    <w:p>
      <w:pPr>
        <w:pStyle w:val="BodyText"/>
        <w:tabs>
          <w:tab w:pos="2677" w:val="left" w:leader="none"/>
        </w:tabs>
        <w:ind w:left="1261"/>
      </w:pPr>
      <w:r>
        <w:rPr>
          <w:spacing w:val="-5"/>
        </w:rPr>
        <w:t>ИМ</w:t>
      </w:r>
      <w:r>
        <w:rPr/>
        <w:tab/>
        <w:t>инфаркт</w:t>
      </w:r>
      <w:r>
        <w:rPr>
          <w:spacing w:val="1"/>
        </w:rPr>
        <w:t> </w:t>
      </w:r>
      <w:r>
        <w:rPr>
          <w:spacing w:val="-2"/>
        </w:rPr>
        <w:t>миокарда</w:t>
      </w:r>
    </w:p>
    <w:p>
      <w:pPr>
        <w:pStyle w:val="BodyText"/>
        <w:tabs>
          <w:tab w:pos="2677" w:val="left" w:leader="none"/>
        </w:tabs>
        <w:ind w:left="1261"/>
      </w:pPr>
      <w:r>
        <w:rPr>
          <w:spacing w:val="-5"/>
        </w:rPr>
        <w:t>ИМТ</w:t>
      </w:r>
      <w:r>
        <w:rPr/>
        <w:tab/>
        <w:t>индекс</w:t>
      </w:r>
      <w:r>
        <w:rPr>
          <w:spacing w:val="-2"/>
        </w:rPr>
        <w:t> </w:t>
      </w:r>
      <w:r>
        <w:rPr/>
        <w:t>массы</w:t>
      </w:r>
      <w:r>
        <w:rPr>
          <w:spacing w:val="-2"/>
        </w:rPr>
        <w:t> </w:t>
      </w:r>
      <w:r>
        <w:rPr>
          <w:spacing w:val="-4"/>
        </w:rPr>
        <w:t>тела</w:t>
      </w:r>
    </w:p>
    <w:p>
      <w:pPr>
        <w:pStyle w:val="BodyText"/>
        <w:tabs>
          <w:tab w:pos="2677" w:val="left" w:leader="none"/>
        </w:tabs>
        <w:ind w:left="1261"/>
      </w:pPr>
      <w:r>
        <w:rPr>
          <w:spacing w:val="-5"/>
        </w:rPr>
        <w:t>КИ</w:t>
      </w:r>
      <w:r>
        <w:rPr/>
        <w:tab/>
        <w:t>кальциевый</w:t>
      </w:r>
      <w:r>
        <w:rPr>
          <w:spacing w:val="-3"/>
        </w:rPr>
        <w:t> </w:t>
      </w:r>
      <w:r>
        <w:rPr>
          <w:spacing w:val="-2"/>
        </w:rPr>
        <w:t>индекс</w:t>
      </w:r>
    </w:p>
    <w:p>
      <w:pPr>
        <w:pStyle w:val="BodyText"/>
        <w:tabs>
          <w:tab w:pos="2677" w:val="left" w:leader="none"/>
        </w:tabs>
        <w:ind w:left="1261"/>
      </w:pPr>
      <w:r>
        <w:rPr>
          <w:spacing w:val="-5"/>
        </w:rPr>
        <w:t>КТ</w:t>
      </w:r>
      <w:r>
        <w:rPr/>
        <w:tab/>
        <w:t>компьютерная</w:t>
      </w:r>
      <w:r>
        <w:rPr>
          <w:spacing w:val="-2"/>
        </w:rPr>
        <w:t> томография</w:t>
      </w:r>
    </w:p>
    <w:p>
      <w:pPr>
        <w:pStyle w:val="BodyText"/>
        <w:tabs>
          <w:tab w:pos="2677" w:val="left" w:leader="none"/>
        </w:tabs>
        <w:ind w:left="1261"/>
      </w:pPr>
      <w:r>
        <w:rPr>
          <w:spacing w:val="-5"/>
        </w:rPr>
        <w:t>КФК</w:t>
      </w:r>
      <w:r>
        <w:rPr/>
        <w:tab/>
      </w:r>
      <w:r>
        <w:rPr>
          <w:spacing w:val="-2"/>
        </w:rPr>
        <w:t>креатинфосфокиназа</w:t>
      </w:r>
    </w:p>
    <w:p>
      <w:pPr>
        <w:pStyle w:val="BodyText"/>
        <w:tabs>
          <w:tab w:pos="2677" w:val="left" w:leader="none"/>
        </w:tabs>
        <w:ind w:left="1261" w:right="4970"/>
      </w:pPr>
      <w:r>
        <w:rPr>
          <w:spacing w:val="-4"/>
        </w:rPr>
        <w:t>ЛВП</w:t>
      </w:r>
      <w:r>
        <w:rPr/>
        <w:tab/>
        <w:t>липопротеиды</w:t>
      </w:r>
      <w:r>
        <w:rPr>
          <w:spacing w:val="-15"/>
        </w:rPr>
        <w:t> </w:t>
      </w:r>
      <w:r>
        <w:rPr/>
        <w:t>высокой</w:t>
      </w:r>
      <w:r>
        <w:rPr>
          <w:spacing w:val="-15"/>
        </w:rPr>
        <w:t> </w:t>
      </w:r>
      <w:r>
        <w:rPr/>
        <w:t>плотности </w:t>
      </w:r>
      <w:r>
        <w:rPr>
          <w:spacing w:val="-4"/>
        </w:rPr>
        <w:t>ЛНП</w:t>
      </w:r>
      <w:r>
        <w:rPr/>
        <w:tab/>
        <w:t>липопротеиды низкой плотности </w:t>
      </w:r>
      <w:r>
        <w:rPr>
          <w:spacing w:val="-2"/>
        </w:rPr>
        <w:t>Лп(а)</w:t>
      </w:r>
      <w:r>
        <w:rPr/>
        <w:tab/>
      </w:r>
      <w:r>
        <w:rPr>
          <w:spacing w:val="-2"/>
        </w:rPr>
        <w:t>липопротеид(а)</w:t>
      </w:r>
    </w:p>
    <w:p>
      <w:pPr>
        <w:pStyle w:val="BodyText"/>
        <w:tabs>
          <w:tab w:pos="2677" w:val="left" w:leader="none"/>
        </w:tabs>
        <w:ind w:left="1261" w:right="4202"/>
      </w:pPr>
      <w:r>
        <w:rPr>
          <w:spacing w:val="-4"/>
        </w:rPr>
        <w:t>ЛПП</w:t>
      </w:r>
      <w:r>
        <w:rPr/>
        <w:tab/>
        <w:t>липопротеиды</w:t>
      </w:r>
      <w:r>
        <w:rPr>
          <w:spacing w:val="-15"/>
        </w:rPr>
        <w:t> </w:t>
      </w:r>
      <w:r>
        <w:rPr/>
        <w:t>промежуточной</w:t>
      </w:r>
      <w:r>
        <w:rPr>
          <w:spacing w:val="-15"/>
        </w:rPr>
        <w:t> </w:t>
      </w:r>
      <w:r>
        <w:rPr/>
        <w:t>плотности </w:t>
      </w:r>
      <w:r>
        <w:rPr>
          <w:spacing w:val="-4"/>
        </w:rPr>
        <w:t>ЛОНП</w:t>
      </w:r>
      <w:r>
        <w:rPr/>
        <w:tab/>
        <w:t>липопротеиды очень низкой плотности</w:t>
      </w:r>
    </w:p>
    <w:p>
      <w:pPr>
        <w:pStyle w:val="BodyText"/>
        <w:tabs>
          <w:tab w:pos="2677" w:val="left" w:leader="none"/>
        </w:tabs>
        <w:ind w:left="1261" w:right="3218"/>
      </w:pPr>
      <w:r>
        <w:rPr>
          <w:spacing w:val="-2"/>
        </w:rPr>
        <w:t>миРНК</w:t>
      </w:r>
      <w:r>
        <w:rPr/>
        <w:tab/>
        <w:t>малая</w:t>
      </w:r>
      <w:r>
        <w:rPr>
          <w:spacing w:val="-11"/>
        </w:rPr>
        <w:t> </w:t>
      </w:r>
      <w:r>
        <w:rPr/>
        <w:t>интерферирующая</w:t>
      </w:r>
      <w:r>
        <w:rPr>
          <w:spacing w:val="-11"/>
        </w:rPr>
        <w:t> </w:t>
      </w:r>
      <w:r>
        <w:rPr/>
        <w:t>рибонуклеиновая</w:t>
      </w:r>
      <w:r>
        <w:rPr>
          <w:spacing w:val="-11"/>
        </w:rPr>
        <w:t> </w:t>
      </w:r>
      <w:r>
        <w:rPr/>
        <w:t>кислота </w:t>
      </w:r>
      <w:r>
        <w:rPr>
          <w:spacing w:val="-2"/>
        </w:rPr>
        <w:t>неЛВП</w:t>
      </w:r>
      <w:r>
        <w:rPr/>
        <w:tab/>
        <w:t>липопротеиды невысокой плотности</w:t>
      </w:r>
    </w:p>
    <w:p>
      <w:pPr>
        <w:pStyle w:val="BodyText"/>
        <w:tabs>
          <w:tab w:pos="2677" w:val="left" w:leader="none"/>
        </w:tabs>
        <w:ind w:left="1261" w:right="2410"/>
      </w:pPr>
      <w:r>
        <w:rPr/>
        <w:t>омега-3</w:t>
      </w:r>
      <w:r>
        <w:rPr>
          <w:spacing w:val="-3"/>
        </w:rPr>
        <w:t> </w:t>
      </w:r>
      <w:r>
        <w:rPr/>
        <w:t>ПНЖК</w:t>
      </w:r>
      <w:r>
        <w:rPr>
          <w:spacing w:val="-5"/>
        </w:rPr>
        <w:t> </w:t>
      </w:r>
      <w:r>
        <w:rPr/>
        <w:t>омега-3</w:t>
      </w:r>
      <w:r>
        <w:rPr>
          <w:spacing w:val="-3"/>
        </w:rPr>
        <w:t> </w:t>
      </w:r>
      <w:r>
        <w:rPr/>
        <w:t>триглицериды,</w:t>
      </w:r>
      <w:r>
        <w:rPr>
          <w:spacing w:val="-5"/>
        </w:rPr>
        <w:t> </w:t>
      </w:r>
      <w:r>
        <w:rPr/>
        <w:t>включая</w:t>
      </w:r>
      <w:r>
        <w:rPr>
          <w:spacing w:val="-5"/>
        </w:rPr>
        <w:t> </w:t>
      </w:r>
      <w:r>
        <w:rPr/>
        <w:t>другие</w:t>
      </w:r>
      <w:r>
        <w:rPr>
          <w:spacing w:val="-5"/>
        </w:rPr>
        <w:t> </w:t>
      </w:r>
      <w:r>
        <w:rPr/>
        <w:t>эфиры</w:t>
      </w:r>
      <w:r>
        <w:rPr>
          <w:spacing w:val="-5"/>
        </w:rPr>
        <w:t> </w:t>
      </w:r>
      <w:r>
        <w:rPr/>
        <w:t>и</w:t>
      </w:r>
      <w:r>
        <w:rPr>
          <w:spacing w:val="-6"/>
        </w:rPr>
        <w:t> </w:t>
      </w:r>
      <w:r>
        <w:rPr/>
        <w:t>кислоты </w:t>
      </w:r>
      <w:r>
        <w:rPr>
          <w:spacing w:val="-4"/>
        </w:rPr>
        <w:t>ОКС</w:t>
      </w:r>
      <w:r>
        <w:rPr/>
        <w:tab/>
        <w:t>острый коронарный синдром</w:t>
      </w:r>
    </w:p>
    <w:p>
      <w:pPr>
        <w:pStyle w:val="BodyText"/>
        <w:tabs>
          <w:tab w:pos="2677" w:val="left" w:leader="none"/>
        </w:tabs>
        <w:ind w:left="1261"/>
      </w:pPr>
      <w:r>
        <w:rPr>
          <w:spacing w:val="-5"/>
        </w:rPr>
        <w:t>ОР</w:t>
      </w:r>
      <w:r>
        <w:rPr/>
        <w:tab/>
        <w:t>относительный</w:t>
      </w:r>
      <w:r>
        <w:rPr>
          <w:spacing w:val="-2"/>
        </w:rPr>
        <w:t> </w:t>
      </w:r>
      <w:r>
        <w:rPr>
          <w:spacing w:val="-4"/>
        </w:rPr>
        <w:t>риск</w:t>
      </w:r>
    </w:p>
    <w:p>
      <w:pPr>
        <w:pStyle w:val="BodyText"/>
        <w:tabs>
          <w:tab w:pos="2677" w:val="left" w:leader="none"/>
        </w:tabs>
        <w:ind w:left="1261"/>
      </w:pPr>
      <w:r>
        <w:rPr>
          <w:spacing w:val="-5"/>
        </w:rPr>
        <w:t>ОХС</w:t>
      </w:r>
      <w:r>
        <w:rPr/>
        <w:tab/>
        <w:t>общий</w:t>
      </w:r>
      <w:r>
        <w:rPr>
          <w:spacing w:val="2"/>
        </w:rPr>
        <w:t> </w:t>
      </w:r>
      <w:r>
        <w:rPr>
          <w:spacing w:val="-2"/>
        </w:rPr>
        <w:t>холестерин</w:t>
      </w:r>
    </w:p>
    <w:p>
      <w:pPr>
        <w:pStyle w:val="BodyText"/>
        <w:tabs>
          <w:tab w:pos="2677" w:val="left" w:leader="none"/>
        </w:tabs>
        <w:ind w:left="1261" w:right="5259"/>
      </w:pPr>
      <w:r>
        <w:rPr>
          <w:spacing w:val="-4"/>
        </w:rPr>
        <w:t>РНК</w:t>
      </w:r>
      <w:r>
        <w:rPr/>
        <w:tab/>
        <w:t>рибонуклеиновая кислота </w:t>
      </w:r>
      <w:r>
        <w:rPr>
          <w:spacing w:val="-4"/>
        </w:rPr>
        <w:t>СГХС</w:t>
      </w:r>
      <w:r>
        <w:rPr/>
        <w:tab/>
        <w:t>семейная</w:t>
      </w:r>
      <w:r>
        <w:rPr>
          <w:spacing w:val="-15"/>
        </w:rPr>
        <w:t> </w:t>
      </w:r>
      <w:r>
        <w:rPr/>
        <w:t>гиперхолестеринемия </w:t>
      </w:r>
      <w:r>
        <w:rPr>
          <w:spacing w:val="-6"/>
        </w:rPr>
        <w:t>СД</w:t>
      </w:r>
      <w:r>
        <w:rPr/>
        <w:tab/>
        <w:t>сахарный диабет</w:t>
      </w:r>
    </w:p>
    <w:p>
      <w:pPr>
        <w:pStyle w:val="BodyText"/>
        <w:tabs>
          <w:tab w:pos="2677" w:val="left" w:leader="none"/>
        </w:tabs>
        <w:ind w:left="1261" w:right="4934"/>
      </w:pPr>
      <w:r>
        <w:rPr>
          <w:spacing w:val="-4"/>
        </w:rPr>
        <w:t>СКФ</w:t>
      </w:r>
      <w:r>
        <w:rPr/>
        <w:tab/>
        <w:t>скорость</w:t>
      </w:r>
      <w:r>
        <w:rPr>
          <w:spacing w:val="-15"/>
        </w:rPr>
        <w:t> </w:t>
      </w:r>
      <w:r>
        <w:rPr/>
        <w:t>клубочковой</w:t>
      </w:r>
      <w:r>
        <w:rPr>
          <w:spacing w:val="-15"/>
        </w:rPr>
        <w:t> </w:t>
      </w:r>
      <w:r>
        <w:rPr/>
        <w:t>фильтрации </w:t>
      </w:r>
      <w:r>
        <w:rPr>
          <w:spacing w:val="-4"/>
        </w:rPr>
        <w:t>ССЗ</w:t>
      </w:r>
      <w:r>
        <w:rPr/>
        <w:tab/>
        <w:t>сердечно-сосудистые заболевания </w:t>
      </w:r>
      <w:r>
        <w:rPr>
          <w:spacing w:val="-4"/>
        </w:rPr>
        <w:t>ССО</w:t>
      </w:r>
      <w:r>
        <w:rPr/>
        <w:tab/>
        <w:t>сердечно-сосудистые осложнения </w:t>
      </w:r>
      <w:r>
        <w:rPr>
          <w:spacing w:val="-6"/>
        </w:rPr>
        <w:t>ТГ</w:t>
      </w:r>
      <w:r>
        <w:rPr/>
        <w:tab/>
      </w:r>
      <w:r>
        <w:rPr>
          <w:spacing w:val="-2"/>
        </w:rPr>
        <w:t>триглицериды</w:t>
      </w:r>
    </w:p>
    <w:p>
      <w:pPr>
        <w:pStyle w:val="BodyText"/>
        <w:tabs>
          <w:tab w:pos="2677" w:val="left" w:leader="none"/>
        </w:tabs>
        <w:ind w:left="1261" w:right="5104"/>
      </w:pPr>
      <w:r>
        <w:rPr>
          <w:spacing w:val="-4"/>
        </w:rPr>
        <w:t>ТИА</w:t>
      </w:r>
      <w:r>
        <w:rPr/>
        <w:tab/>
        <w:t>транзиторная</w:t>
      </w:r>
      <w:r>
        <w:rPr>
          <w:spacing w:val="-15"/>
        </w:rPr>
        <w:t> </w:t>
      </w:r>
      <w:r>
        <w:rPr/>
        <w:t>ишемическая</w:t>
      </w:r>
      <w:r>
        <w:rPr>
          <w:spacing w:val="-15"/>
        </w:rPr>
        <w:t> </w:t>
      </w:r>
      <w:r>
        <w:rPr/>
        <w:t>атака </w:t>
      </w:r>
      <w:r>
        <w:rPr>
          <w:spacing w:val="-4"/>
        </w:rPr>
        <w:t>УЗИ</w:t>
      </w:r>
      <w:r>
        <w:rPr/>
        <w:tab/>
        <w:t>ультразвуковое исследование</w:t>
      </w:r>
    </w:p>
    <w:p>
      <w:pPr>
        <w:pStyle w:val="BodyText"/>
        <w:tabs>
          <w:tab w:pos="2677" w:val="left" w:leader="none"/>
        </w:tabs>
        <w:ind w:left="1261"/>
      </w:pPr>
      <w:r>
        <w:rPr>
          <w:spacing w:val="-5"/>
        </w:rPr>
        <w:t>ФР</w:t>
      </w:r>
      <w:r>
        <w:rPr/>
        <w:tab/>
        <w:t>факторы</w:t>
      </w:r>
      <w:r>
        <w:rPr>
          <w:spacing w:val="-1"/>
        </w:rPr>
        <w:t> </w:t>
      </w:r>
      <w:r>
        <w:rPr>
          <w:spacing w:val="-2"/>
        </w:rPr>
        <w:t>риска</w:t>
      </w:r>
    </w:p>
    <w:p>
      <w:pPr>
        <w:pStyle w:val="BodyText"/>
        <w:tabs>
          <w:tab w:pos="2677" w:val="left" w:leader="none"/>
        </w:tabs>
        <w:ind w:left="1261"/>
      </w:pPr>
      <w:r>
        <w:rPr>
          <w:spacing w:val="-5"/>
        </w:rPr>
        <w:t>ХБП</w:t>
      </w:r>
      <w:r>
        <w:rPr/>
        <w:tab/>
        <w:t>хроническая болезнь</w:t>
      </w:r>
      <w:r>
        <w:rPr>
          <w:spacing w:val="-2"/>
        </w:rPr>
        <w:t> </w:t>
      </w:r>
      <w:r>
        <w:rPr>
          <w:spacing w:val="-4"/>
        </w:rPr>
        <w:t>почек</w:t>
      </w:r>
    </w:p>
    <w:p>
      <w:pPr>
        <w:pStyle w:val="BodyText"/>
        <w:tabs>
          <w:tab w:pos="2677" w:val="left" w:leader="none"/>
        </w:tabs>
        <w:spacing w:before="1"/>
        <w:ind w:left="1261"/>
      </w:pPr>
      <w:r>
        <w:rPr>
          <w:spacing w:val="-5"/>
        </w:rPr>
        <w:t>ХМ</w:t>
      </w:r>
      <w:r>
        <w:rPr/>
        <w:tab/>
      </w:r>
      <w:r>
        <w:rPr>
          <w:spacing w:val="-2"/>
        </w:rPr>
        <w:t>хиломикроны</w:t>
      </w:r>
    </w:p>
    <w:p>
      <w:pPr>
        <w:pStyle w:val="BodyText"/>
        <w:tabs>
          <w:tab w:pos="2677" w:val="left" w:leader="none"/>
        </w:tabs>
        <w:ind w:left="1261"/>
      </w:pPr>
      <w:r>
        <w:rPr>
          <w:spacing w:val="-5"/>
        </w:rPr>
        <w:t>ХС</w:t>
      </w:r>
      <w:r>
        <w:rPr/>
        <w:tab/>
      </w:r>
      <w:r>
        <w:rPr>
          <w:spacing w:val="-2"/>
        </w:rPr>
        <w:t>холестерин</w:t>
      </w:r>
    </w:p>
    <w:p>
      <w:pPr>
        <w:pStyle w:val="BodyText"/>
        <w:tabs>
          <w:tab w:pos="2677" w:val="left" w:leader="none"/>
        </w:tabs>
        <w:ind w:left="1261"/>
      </w:pPr>
      <w:r>
        <w:rPr>
          <w:spacing w:val="-5"/>
        </w:rPr>
        <w:t>ЦУ</w:t>
      </w:r>
      <w:r>
        <w:rPr/>
        <w:tab/>
        <w:t>целевой</w:t>
      </w:r>
      <w:r>
        <w:rPr>
          <w:spacing w:val="-1"/>
        </w:rPr>
        <w:t> </w:t>
      </w:r>
      <w:r>
        <w:rPr>
          <w:spacing w:val="-2"/>
        </w:rPr>
        <w:t>уровень</w:t>
      </w:r>
    </w:p>
    <w:p>
      <w:pPr>
        <w:pStyle w:val="BodyText"/>
        <w:tabs>
          <w:tab w:pos="2677" w:val="left" w:leader="none"/>
        </w:tabs>
        <w:spacing w:line="275" w:lineRule="exact"/>
        <w:ind w:left="1261"/>
      </w:pPr>
      <w:r>
        <w:rPr>
          <w:spacing w:val="-4"/>
        </w:rPr>
        <w:t>РЛНП</w:t>
      </w:r>
      <w:r>
        <w:rPr/>
        <w:tab/>
        <w:t>рецептор</w:t>
      </w:r>
      <w:r>
        <w:rPr>
          <w:spacing w:val="-5"/>
        </w:rPr>
        <w:t> </w:t>
      </w:r>
      <w:r>
        <w:rPr/>
        <w:t>к</w:t>
      </w:r>
      <w:r>
        <w:rPr>
          <w:spacing w:val="-2"/>
        </w:rPr>
        <w:t> </w:t>
      </w:r>
      <w:r>
        <w:rPr/>
        <w:t>липопротеидам</w:t>
      </w:r>
      <w:r>
        <w:rPr>
          <w:spacing w:val="-3"/>
        </w:rPr>
        <w:t> </w:t>
      </w:r>
      <w:r>
        <w:rPr/>
        <w:t>низкой</w:t>
      </w:r>
      <w:r>
        <w:rPr>
          <w:spacing w:val="-1"/>
        </w:rPr>
        <w:t> </w:t>
      </w:r>
      <w:r>
        <w:rPr>
          <w:spacing w:val="-2"/>
        </w:rPr>
        <w:t>плотности</w:t>
      </w:r>
    </w:p>
    <w:p>
      <w:pPr>
        <w:pStyle w:val="BodyText"/>
        <w:tabs>
          <w:tab w:pos="2677" w:val="left" w:leader="none"/>
        </w:tabs>
        <w:spacing w:line="275" w:lineRule="exact"/>
        <w:ind w:left="1261"/>
      </w:pPr>
      <w:r>
        <w:rPr>
          <w:spacing w:val="-4"/>
        </w:rPr>
        <w:t>APOB</w:t>
      </w:r>
      <w:r>
        <w:rPr/>
        <w:tab/>
        <w:t>ген</w:t>
      </w:r>
      <w:r>
        <w:rPr>
          <w:spacing w:val="-4"/>
        </w:rPr>
        <w:t> </w:t>
      </w:r>
      <w:r>
        <w:rPr/>
        <w:t>аполипопротеина</w:t>
      </w:r>
      <w:r>
        <w:rPr>
          <w:spacing w:val="-2"/>
        </w:rPr>
        <w:t> </w:t>
      </w:r>
      <w:r>
        <w:rPr>
          <w:spacing w:val="-10"/>
        </w:rPr>
        <w:t>В</w:t>
      </w:r>
    </w:p>
    <w:p>
      <w:pPr>
        <w:pStyle w:val="BodyText"/>
        <w:tabs>
          <w:tab w:pos="2677" w:val="left" w:leader="none"/>
        </w:tabs>
        <w:ind w:left="1261"/>
      </w:pPr>
      <w:r>
        <w:rPr>
          <w:spacing w:val="-4"/>
        </w:rPr>
        <w:t>DLCN</w:t>
      </w:r>
      <w:r>
        <w:rPr/>
        <w:tab/>
        <w:t>Dutch</w:t>
      </w:r>
      <w:r>
        <w:rPr>
          <w:spacing w:val="-2"/>
        </w:rPr>
        <w:t> </w:t>
      </w:r>
      <w:r>
        <w:rPr/>
        <w:t>Lipid</w:t>
      </w:r>
      <w:r>
        <w:rPr>
          <w:spacing w:val="-1"/>
        </w:rPr>
        <w:t> </w:t>
      </w:r>
      <w:r>
        <w:rPr/>
        <w:t>Clinic</w:t>
      </w:r>
      <w:r>
        <w:rPr>
          <w:spacing w:val="-2"/>
        </w:rPr>
        <w:t> Network</w:t>
      </w:r>
    </w:p>
    <w:p>
      <w:pPr>
        <w:spacing w:after="0"/>
        <w:sectPr>
          <w:pgSz w:w="11910" w:h="16840"/>
          <w:pgMar w:header="0" w:footer="710" w:top="1040" w:bottom="900" w:left="440" w:right="280"/>
        </w:sectPr>
      </w:pPr>
    </w:p>
    <w:p>
      <w:pPr>
        <w:pStyle w:val="BodyText"/>
        <w:tabs>
          <w:tab w:pos="2677" w:val="left" w:leader="none"/>
        </w:tabs>
        <w:spacing w:before="73"/>
        <w:ind w:left="1261"/>
      </w:pPr>
      <w:r>
        <w:rPr>
          <w:spacing w:val="-4"/>
        </w:rPr>
        <w:t>LDLR</w:t>
      </w:r>
      <w:r>
        <w:rPr/>
        <w:tab/>
        <w:t>ген</w:t>
      </w:r>
      <w:r>
        <w:rPr>
          <w:spacing w:val="-3"/>
        </w:rPr>
        <w:t> </w:t>
      </w:r>
      <w:r>
        <w:rPr/>
        <w:t>рецептора</w:t>
      </w:r>
      <w:r>
        <w:rPr>
          <w:spacing w:val="-3"/>
        </w:rPr>
        <w:t> </w:t>
      </w:r>
      <w:r>
        <w:rPr/>
        <w:t>липопротеидов</w:t>
      </w:r>
      <w:r>
        <w:rPr>
          <w:spacing w:val="-3"/>
        </w:rPr>
        <w:t> </w:t>
      </w:r>
      <w:r>
        <w:rPr/>
        <w:t>низкой </w:t>
      </w:r>
      <w:r>
        <w:rPr>
          <w:spacing w:val="-2"/>
        </w:rPr>
        <w:t>плотности</w:t>
      </w:r>
    </w:p>
    <w:p>
      <w:pPr>
        <w:pStyle w:val="BodyText"/>
        <w:tabs>
          <w:tab w:pos="2677" w:val="left" w:leader="none"/>
        </w:tabs>
        <w:ind w:left="1261" w:right="1925"/>
      </w:pPr>
      <w:r>
        <w:rPr>
          <w:spacing w:val="-2"/>
        </w:rPr>
        <w:t>PCSK9</w:t>
      </w:r>
      <w:r>
        <w:rPr/>
        <w:tab/>
        <w:t>пропротеин-конвертаза</w:t>
      </w:r>
      <w:r>
        <w:rPr>
          <w:spacing w:val="-10"/>
        </w:rPr>
        <w:t> </w:t>
      </w:r>
      <w:r>
        <w:rPr/>
        <w:t>субтилин/кексин</w:t>
      </w:r>
      <w:r>
        <w:rPr>
          <w:spacing w:val="-5"/>
        </w:rPr>
        <w:t> </w:t>
      </w:r>
      <w:r>
        <w:rPr/>
        <w:t>типа</w:t>
      </w:r>
      <w:r>
        <w:rPr>
          <w:spacing w:val="-10"/>
        </w:rPr>
        <w:t> </w:t>
      </w:r>
      <w:r>
        <w:rPr/>
        <w:t>9</w:t>
      </w:r>
      <w:r>
        <w:rPr>
          <w:spacing w:val="-6"/>
        </w:rPr>
        <w:t> </w:t>
      </w:r>
      <w:r>
        <w:rPr/>
        <w:t>(C10AX</w:t>
      </w:r>
      <w:r>
        <w:rPr>
          <w:spacing w:val="-7"/>
        </w:rPr>
        <w:t> </w:t>
      </w:r>
      <w:r>
        <w:rPr/>
        <w:t>Другие гиполипидемические средства)</w:t>
      </w:r>
    </w:p>
    <w:p>
      <w:pPr>
        <w:pStyle w:val="BodyText"/>
        <w:tabs>
          <w:tab w:pos="2677" w:val="left" w:leader="none"/>
        </w:tabs>
        <w:ind w:left="1261"/>
      </w:pPr>
      <w:r>
        <w:rPr>
          <w:spacing w:val="-2"/>
        </w:rPr>
        <w:t>SCORE</w:t>
      </w:r>
      <w:r>
        <w:rPr/>
        <w:tab/>
        <w:t>системная</w:t>
      </w:r>
      <w:r>
        <w:rPr>
          <w:spacing w:val="-4"/>
        </w:rPr>
        <w:t> </w:t>
      </w:r>
      <w:r>
        <w:rPr/>
        <w:t>оценка</w:t>
      </w:r>
      <w:r>
        <w:rPr>
          <w:spacing w:val="-2"/>
        </w:rPr>
        <w:t> </w:t>
      </w:r>
      <w:r>
        <w:rPr/>
        <w:t>коронарного</w:t>
      </w:r>
      <w:r>
        <w:rPr>
          <w:spacing w:val="-1"/>
        </w:rPr>
        <w:t> </w:t>
      </w:r>
      <w:r>
        <w:rPr/>
        <w:t>риска</w:t>
      </w:r>
      <w:r>
        <w:rPr>
          <w:spacing w:val="-2"/>
        </w:rPr>
        <w:t> </w:t>
      </w:r>
      <w:r>
        <w:rPr/>
        <w:t>(Systemic</w:t>
      </w:r>
      <w:r>
        <w:rPr>
          <w:spacing w:val="-2"/>
        </w:rPr>
        <w:t> </w:t>
      </w:r>
      <w:r>
        <w:rPr/>
        <w:t>Coronary</w:t>
      </w:r>
      <w:r>
        <w:rPr>
          <w:spacing w:val="-1"/>
        </w:rPr>
        <w:t> </w:t>
      </w:r>
      <w:r>
        <w:rPr/>
        <w:t>Risk </w:t>
      </w:r>
      <w:r>
        <w:rPr>
          <w:spacing w:val="-2"/>
        </w:rPr>
        <w:t>Evaluation)</w:t>
      </w:r>
    </w:p>
    <w:p>
      <w:pPr>
        <w:pStyle w:val="BodyText"/>
        <w:spacing w:before="1"/>
        <w:ind w:left="0"/>
        <w:rPr>
          <w:sz w:val="36"/>
        </w:rPr>
      </w:pPr>
    </w:p>
    <w:p>
      <w:pPr>
        <w:pStyle w:val="Heading3"/>
        <w:spacing w:before="1"/>
        <w:jc w:val="both"/>
      </w:pPr>
      <w:bookmarkStart w:name="Термины и определения" w:id="3"/>
      <w:bookmarkEnd w:id="3"/>
      <w:r>
        <w:rPr>
          <w:b w:val="0"/>
        </w:rPr>
      </w:r>
      <w:bookmarkStart w:name="_bookmark1" w:id="4"/>
      <w:bookmarkEnd w:id="4"/>
      <w:r>
        <w:rPr>
          <w:b w:val="0"/>
        </w:rPr>
      </w:r>
      <w:r>
        <w:rPr/>
        <w:t>Термины</w:t>
      </w:r>
      <w:r>
        <w:rPr>
          <w:spacing w:val="-2"/>
        </w:rPr>
        <w:t> </w:t>
      </w:r>
      <w:r>
        <w:rPr/>
        <w:t>и</w:t>
      </w:r>
      <w:r>
        <w:rPr>
          <w:spacing w:val="-1"/>
        </w:rPr>
        <w:t> </w:t>
      </w:r>
      <w:r>
        <w:rPr>
          <w:spacing w:val="-2"/>
        </w:rPr>
        <w:t>определения</w:t>
      </w:r>
    </w:p>
    <w:p>
      <w:pPr>
        <w:pStyle w:val="BodyText"/>
        <w:spacing w:line="360" w:lineRule="auto" w:before="136"/>
        <w:ind w:left="1261" w:right="568"/>
        <w:jc w:val="both"/>
      </w:pPr>
      <w:r>
        <w:rPr>
          <w:b/>
        </w:rPr>
        <w:t>Дислипидемии (ДЛП)</w:t>
      </w:r>
      <w:r>
        <w:rPr>
          <w:b/>
          <w:spacing w:val="-7"/>
        </w:rPr>
        <w:t> </w:t>
      </w:r>
      <w:r>
        <w:rPr/>
        <w:t>—</w:t>
      </w:r>
      <w:r>
        <w:rPr>
          <w:spacing w:val="-4"/>
        </w:rPr>
        <w:t> </w:t>
      </w:r>
      <w:r>
        <w:rPr/>
        <w:t>состояния,</w:t>
      </w:r>
      <w:r>
        <w:rPr>
          <w:spacing w:val="-4"/>
        </w:rPr>
        <w:t> </w:t>
      </w:r>
      <w:r>
        <w:rPr/>
        <w:t>когда</w:t>
      </w:r>
      <w:r>
        <w:rPr>
          <w:spacing w:val="-5"/>
        </w:rPr>
        <w:t> </w:t>
      </w:r>
      <w:r>
        <w:rPr/>
        <w:t>концентрации</w:t>
      </w:r>
      <w:r>
        <w:rPr>
          <w:spacing w:val="-3"/>
        </w:rPr>
        <w:t> </w:t>
      </w:r>
      <w:r>
        <w:rPr/>
        <w:t>липидов</w:t>
      </w:r>
      <w:r>
        <w:rPr>
          <w:spacing w:val="-5"/>
        </w:rPr>
        <w:t> </w:t>
      </w:r>
      <w:r>
        <w:rPr/>
        <w:t>и</w:t>
      </w:r>
      <w:r>
        <w:rPr>
          <w:spacing w:val="-3"/>
        </w:rPr>
        <w:t> </w:t>
      </w:r>
      <w:r>
        <w:rPr/>
        <w:t>липопротеидов</w:t>
      </w:r>
      <w:r>
        <w:rPr>
          <w:spacing w:val="-5"/>
        </w:rPr>
        <w:t> </w:t>
      </w:r>
      <w:r>
        <w:rPr/>
        <w:t>крови выходят за пределы нормы.</w:t>
      </w:r>
    </w:p>
    <w:p>
      <w:pPr>
        <w:pStyle w:val="BodyText"/>
        <w:spacing w:line="360" w:lineRule="auto"/>
        <w:ind w:left="1261" w:right="566"/>
        <w:jc w:val="both"/>
      </w:pPr>
      <w:r>
        <w:rPr>
          <w:b/>
        </w:rPr>
        <w:t>Доказательная медицина </w:t>
      </w:r>
      <w:r>
        <w:rPr/>
        <w:t>— надлежащее, последовательное и осмысленное использование современных наилучших доказательств (результатов клинических исследований) в сочетании с индивидуальным клиническим опытом и c учетом ценностей и предпочтений пациента в процессе принятия решений о состоянии здоровья и лечении пациента [</w:t>
      </w:r>
      <w:hyperlink w:history="true" w:anchor="_bookmark47">
        <w:r>
          <w:rPr/>
          <w:t>1</w:t>
        </w:r>
      </w:hyperlink>
      <w:r>
        <w:rPr/>
        <w:t>].</w:t>
      </w:r>
    </w:p>
    <w:p>
      <w:pPr>
        <w:pStyle w:val="BodyText"/>
        <w:spacing w:line="360" w:lineRule="auto" w:before="2"/>
        <w:ind w:left="1261" w:right="567"/>
        <w:jc w:val="both"/>
      </w:pPr>
      <w:r>
        <w:rPr>
          <w:b/>
        </w:rPr>
        <w:t>Заболевание </w:t>
      </w:r>
      <w:r>
        <w:rPr/>
        <w:t>— состояние, возникающее в связи с воздействием патогенных факторов, нарушение деятельности организма, работоспособности, способности адаптироваться к изменяющимся условиям внешней и внутренней среды при одновременном изменении защитно-компенсаторных и защитно-приспособительных реакций и механизмов организма [</w:t>
      </w:r>
      <w:hyperlink w:history="true" w:anchor="_bookmark48">
        <w:r>
          <w:rPr/>
          <w:t>2</w:t>
        </w:r>
      </w:hyperlink>
      <w:r>
        <w:rPr/>
        <w:t>].</w:t>
      </w:r>
    </w:p>
    <w:p>
      <w:pPr>
        <w:pStyle w:val="BodyText"/>
        <w:spacing w:line="360" w:lineRule="auto"/>
        <w:ind w:left="1261" w:right="566"/>
        <w:jc w:val="both"/>
      </w:pPr>
      <w:r>
        <w:rPr>
          <w:b/>
        </w:rPr>
        <w:t>Исход </w:t>
      </w:r>
      <w:r>
        <w:rPr/>
        <w:t>—</w:t>
      </w:r>
      <w:r>
        <w:rPr>
          <w:spacing w:val="-4"/>
        </w:rPr>
        <w:t> </w:t>
      </w:r>
      <w:r>
        <w:rPr/>
        <w:t>любой</w:t>
      </w:r>
      <w:r>
        <w:rPr>
          <w:spacing w:val="-3"/>
        </w:rPr>
        <w:t> </w:t>
      </w:r>
      <w:r>
        <w:rPr/>
        <w:t>возможный</w:t>
      </w:r>
      <w:r>
        <w:rPr>
          <w:spacing w:val="-3"/>
        </w:rPr>
        <w:t> </w:t>
      </w:r>
      <w:r>
        <w:rPr/>
        <w:t>результат,</w:t>
      </w:r>
      <w:r>
        <w:rPr>
          <w:spacing w:val="-4"/>
        </w:rPr>
        <w:t> </w:t>
      </w:r>
      <w:r>
        <w:rPr/>
        <w:t>возникающий</w:t>
      </w:r>
      <w:r>
        <w:rPr>
          <w:spacing w:val="-3"/>
        </w:rPr>
        <w:t> </w:t>
      </w:r>
      <w:r>
        <w:rPr/>
        <w:t>от</w:t>
      </w:r>
      <w:r>
        <w:rPr>
          <w:spacing w:val="-4"/>
        </w:rPr>
        <w:t> </w:t>
      </w:r>
      <w:r>
        <w:rPr/>
        <w:t>воздействия</w:t>
      </w:r>
      <w:r>
        <w:rPr>
          <w:spacing w:val="-7"/>
        </w:rPr>
        <w:t> </w:t>
      </w:r>
      <w:r>
        <w:rPr/>
        <w:t>причинного</w:t>
      </w:r>
      <w:r>
        <w:rPr>
          <w:spacing w:val="-4"/>
        </w:rPr>
        <w:t> </w:t>
      </w:r>
      <w:r>
        <w:rPr/>
        <w:t>фактора, профилактического или терапевтического вмешательства, все установленные изменения состояния здоровья, возникающие как следствие вмешательства [</w:t>
      </w:r>
      <w:hyperlink w:history="true" w:anchor="_bookmark49">
        <w:r>
          <w:rPr/>
          <w:t>3</w:t>
        </w:r>
      </w:hyperlink>
      <w:r>
        <w:rPr/>
        <w:t>].</w:t>
      </w:r>
    </w:p>
    <w:p>
      <w:pPr>
        <w:pStyle w:val="BodyText"/>
        <w:spacing w:line="360" w:lineRule="auto"/>
        <w:ind w:left="1261" w:right="567"/>
        <w:jc w:val="both"/>
      </w:pPr>
      <w:r>
        <w:rPr>
          <w:b/>
        </w:rPr>
        <w:t>Клиническое исследование </w:t>
      </w:r>
      <w:r>
        <w:rPr/>
        <w:t>— любое исследование, проводимое с участием человека в качестве субъекта для выявления или подтверждения клинических и/или фармакологических эффектов исследуемых продуктов и/или выявления нежелательных реакций на исследуемые продукты, и/или изучения их всасывания, распределения, метаболизма и выведения с целью оценить их безопасность и/или эффективность [</w:t>
      </w:r>
      <w:hyperlink w:history="true" w:anchor="_bookmark50">
        <w:r>
          <w:rPr/>
          <w:t>4</w:t>
        </w:r>
      </w:hyperlink>
      <w:r>
        <w:rPr/>
        <w:t>].</w:t>
      </w:r>
    </w:p>
    <w:p>
      <w:pPr>
        <w:pStyle w:val="BodyText"/>
        <w:spacing w:line="360" w:lineRule="auto"/>
        <w:ind w:left="1261" w:right="568"/>
        <w:jc w:val="both"/>
      </w:pPr>
      <w:r>
        <w:rPr>
          <w:b/>
        </w:rPr>
        <w:t>Конфликт интересов </w:t>
      </w:r>
      <w:r>
        <w:rPr/>
        <w:t>— ситуация, при которой у медицинского или фармацевтического работника при осуществлении ими профессиональной деятельности возникает личная заинтересованность в получении лично либо через представителя компании материальной выгоды или иного преимущества, которое влияет или может повлиять на надлежащее исполнение</w:t>
      </w:r>
      <w:r>
        <w:rPr>
          <w:spacing w:val="-3"/>
        </w:rPr>
        <w:t> </w:t>
      </w:r>
      <w:r>
        <w:rPr/>
        <w:t>ими</w:t>
      </w:r>
      <w:r>
        <w:rPr>
          <w:spacing w:val="-1"/>
        </w:rPr>
        <w:t> </w:t>
      </w:r>
      <w:r>
        <w:rPr/>
        <w:t>профессиональных</w:t>
      </w:r>
      <w:r>
        <w:rPr>
          <w:spacing w:val="-2"/>
        </w:rPr>
        <w:t> </w:t>
      </w:r>
      <w:r>
        <w:rPr/>
        <w:t>обязанностей</w:t>
      </w:r>
      <w:r>
        <w:rPr>
          <w:spacing w:val="-1"/>
        </w:rPr>
        <w:t> </w:t>
      </w:r>
      <w:r>
        <w:rPr/>
        <w:t>вследствие</w:t>
      </w:r>
      <w:r>
        <w:rPr>
          <w:spacing w:val="-3"/>
        </w:rPr>
        <w:t> </w:t>
      </w:r>
      <w:r>
        <w:rPr/>
        <w:t>противоречия</w:t>
      </w:r>
      <w:r>
        <w:rPr>
          <w:spacing w:val="-2"/>
        </w:rPr>
        <w:t> </w:t>
      </w:r>
      <w:r>
        <w:rPr/>
        <w:t>между</w:t>
      </w:r>
      <w:r>
        <w:rPr>
          <w:spacing w:val="-2"/>
        </w:rPr>
        <w:t> </w:t>
      </w:r>
      <w:r>
        <w:rPr/>
        <w:t>личной заинтересованностью медицинского работника или фармацевтического работника и интересами пациента [</w:t>
      </w:r>
      <w:hyperlink w:history="true" w:anchor="_bookmark48">
        <w:r>
          <w:rPr/>
          <w:t>2</w:t>
        </w:r>
      </w:hyperlink>
      <w:r>
        <w:rPr/>
        <w:t>].</w:t>
      </w:r>
    </w:p>
    <w:p>
      <w:pPr>
        <w:pStyle w:val="BodyText"/>
        <w:spacing w:line="360" w:lineRule="auto" w:before="1"/>
        <w:ind w:left="1261" w:right="567"/>
        <w:jc w:val="both"/>
      </w:pPr>
      <w:r>
        <w:rPr>
          <w:b/>
        </w:rPr>
        <w:t>Лекарственные препараты </w:t>
      </w:r>
      <w:r>
        <w:rPr/>
        <w:t>— лекарственные средства в виде лекарственных форм, применяемые для профилактики, диагностики, лечения заболевания, реабилитации, для сохранения, предотвращения или прерывания беременности [</w:t>
      </w:r>
      <w:hyperlink w:history="true" w:anchor="_bookmark51">
        <w:r>
          <w:rPr/>
          <w:t>5</w:t>
        </w:r>
      </w:hyperlink>
      <w:r>
        <w:rPr/>
        <w:t>].</w:t>
      </w:r>
    </w:p>
    <w:p>
      <w:pPr>
        <w:spacing w:after="0" w:line="360" w:lineRule="auto"/>
        <w:jc w:val="both"/>
        <w:sectPr>
          <w:pgSz w:w="11910" w:h="16840"/>
          <w:pgMar w:header="0" w:footer="710" w:top="1040" w:bottom="900" w:left="440" w:right="280"/>
        </w:sectPr>
      </w:pPr>
    </w:p>
    <w:p>
      <w:pPr>
        <w:pStyle w:val="BodyText"/>
        <w:spacing w:line="360" w:lineRule="auto" w:before="73"/>
        <w:ind w:left="1261" w:right="566"/>
        <w:jc w:val="both"/>
      </w:pPr>
      <w:r>
        <w:rPr>
          <w:b/>
        </w:rPr>
        <w:t>Медицинское вмешательство </w:t>
      </w:r>
      <w:r>
        <w:rPr/>
        <w:t>— выполняемые медицинским работником и иным работником, имеющим право на осуществление медицинской деятельности, по отношению к пациенту, затрагивающие физическое или психическое состояние человека</w:t>
      </w:r>
      <w:r>
        <w:rPr>
          <w:spacing w:val="40"/>
        </w:rPr>
        <w:t> </w:t>
      </w:r>
      <w:r>
        <w:rPr/>
        <w:t>и имеющие профилактическую, диагностическую, лечебную, реабилитационную или исследовательскую направленность виды медицинских обследований и (или)</w:t>
      </w:r>
      <w:r>
        <w:rPr>
          <w:spacing w:val="40"/>
        </w:rPr>
        <w:t> </w:t>
      </w:r>
      <w:r>
        <w:rPr/>
        <w:t>медицинских манипуляций, а также искусственное прерывание беременности [</w:t>
      </w:r>
      <w:hyperlink w:history="true" w:anchor="_bookmark48">
        <w:r>
          <w:rPr/>
          <w:t>2</w:t>
        </w:r>
      </w:hyperlink>
      <w:r>
        <w:rPr/>
        <w:t>].</w:t>
      </w:r>
    </w:p>
    <w:p>
      <w:pPr>
        <w:pStyle w:val="BodyText"/>
        <w:spacing w:line="360" w:lineRule="auto"/>
        <w:ind w:left="1261" w:right="566"/>
        <w:jc w:val="both"/>
      </w:pPr>
      <w:r>
        <w:rPr>
          <w:b/>
        </w:rPr>
        <w:t>Изменение образа жизни </w:t>
      </w:r>
      <w:r>
        <w:rPr/>
        <w:t>— мероприятия, направленные на нормализацию веса и характера питания, двигательной активности, целью которых является снижение</w:t>
      </w:r>
      <w:r>
        <w:rPr>
          <w:spacing w:val="40"/>
        </w:rPr>
        <w:t> </w:t>
      </w:r>
      <w:r>
        <w:rPr/>
        <w:t>сердечно-сосудистого риска.</w:t>
      </w:r>
    </w:p>
    <w:p>
      <w:pPr>
        <w:pStyle w:val="BodyText"/>
        <w:spacing w:line="360" w:lineRule="auto" w:before="2"/>
        <w:ind w:left="1261" w:right="566"/>
        <w:jc w:val="both"/>
      </w:pPr>
      <w:r>
        <w:rPr>
          <w:b/>
        </w:rPr>
        <w:t>Пациент </w:t>
      </w:r>
      <w:r>
        <w:rPr/>
        <w:t>— физическое лицо, которому оказывается медицинская помощь или которое обратилось за оказанием медицинской помощи независимо от наличия у него заболевания и от его состояния [</w:t>
      </w:r>
      <w:hyperlink w:history="true" w:anchor="_bookmark48">
        <w:r>
          <w:rPr/>
          <w:t>2</w:t>
        </w:r>
      </w:hyperlink>
      <w:r>
        <w:rPr/>
        <w:t>].</w:t>
      </w:r>
    </w:p>
    <w:p>
      <w:pPr>
        <w:spacing w:line="275" w:lineRule="exact" w:before="0"/>
        <w:ind w:left="1261" w:right="0" w:firstLine="0"/>
        <w:jc w:val="both"/>
        <w:rPr>
          <w:sz w:val="24"/>
        </w:rPr>
      </w:pPr>
      <w:r>
        <w:rPr>
          <w:b/>
          <w:sz w:val="24"/>
        </w:rPr>
        <w:t>Пожилые</w:t>
      </w:r>
      <w:r>
        <w:rPr>
          <w:b/>
          <w:spacing w:val="-2"/>
          <w:sz w:val="24"/>
        </w:rPr>
        <w:t> </w:t>
      </w:r>
      <w:r>
        <w:rPr>
          <w:b/>
          <w:sz w:val="24"/>
        </w:rPr>
        <w:t>пациенты</w:t>
      </w:r>
      <w:r>
        <w:rPr>
          <w:b/>
          <w:spacing w:val="-2"/>
          <w:sz w:val="24"/>
        </w:rPr>
        <w:t> </w:t>
      </w:r>
      <w:r>
        <w:rPr>
          <w:sz w:val="24"/>
        </w:rPr>
        <w:t>— пациенты,</w:t>
      </w:r>
      <w:r>
        <w:rPr>
          <w:spacing w:val="-4"/>
          <w:sz w:val="24"/>
        </w:rPr>
        <w:t> </w:t>
      </w:r>
      <w:r>
        <w:rPr>
          <w:sz w:val="24"/>
        </w:rPr>
        <w:t>которым</w:t>
      </w:r>
      <w:r>
        <w:rPr>
          <w:spacing w:val="-2"/>
          <w:sz w:val="24"/>
        </w:rPr>
        <w:t> </w:t>
      </w:r>
      <w:r>
        <w:rPr>
          <w:sz w:val="24"/>
        </w:rPr>
        <w:t>от 60</w:t>
      </w:r>
      <w:r>
        <w:rPr>
          <w:spacing w:val="-1"/>
          <w:sz w:val="24"/>
        </w:rPr>
        <w:t> </w:t>
      </w:r>
      <w:r>
        <w:rPr>
          <w:sz w:val="24"/>
        </w:rPr>
        <w:t>до</w:t>
      </w:r>
      <w:r>
        <w:rPr>
          <w:spacing w:val="-1"/>
          <w:sz w:val="24"/>
        </w:rPr>
        <w:t> </w:t>
      </w:r>
      <w:r>
        <w:rPr>
          <w:sz w:val="24"/>
        </w:rPr>
        <w:t>75 </w:t>
      </w:r>
      <w:r>
        <w:rPr>
          <w:spacing w:val="-4"/>
          <w:sz w:val="24"/>
        </w:rPr>
        <w:t>лет.</w:t>
      </w:r>
    </w:p>
    <w:p>
      <w:pPr>
        <w:spacing w:line="360" w:lineRule="auto" w:before="139"/>
        <w:ind w:left="1261" w:right="567" w:firstLine="0"/>
        <w:jc w:val="both"/>
        <w:rPr>
          <w:sz w:val="24"/>
        </w:rPr>
      </w:pPr>
      <w:r>
        <w:rPr>
          <w:b/>
          <w:sz w:val="24"/>
        </w:rPr>
        <w:t>Рабочая группа по разработке/актуализации клинических рекомендаций </w:t>
      </w:r>
      <w:r>
        <w:rPr>
          <w:sz w:val="24"/>
        </w:rPr>
        <w:t>— коллектив специалистов, работающих совместно и согласованно в целях разработки/актуализации клинических рекомендаций и несущих общую ответственность за результаты данной работы.</w:t>
      </w:r>
    </w:p>
    <w:p>
      <w:pPr>
        <w:pStyle w:val="BodyText"/>
        <w:spacing w:line="360" w:lineRule="auto"/>
        <w:ind w:left="1261" w:right="571"/>
      </w:pPr>
      <w:r>
        <w:rPr>
          <w:b/>
        </w:rPr>
        <w:t>Синдром </w:t>
      </w:r>
      <w:r>
        <w:rPr/>
        <w:t>— устойчивая совокупность ряда симптомов с единым патогенезом [</w:t>
      </w:r>
      <w:hyperlink w:history="true" w:anchor="_bookmark52">
        <w:r>
          <w:rPr/>
          <w:t>6</w:t>
        </w:r>
      </w:hyperlink>
      <w:r>
        <w:rPr/>
        <w:t>]. </w:t>
      </w:r>
      <w:r>
        <w:rPr>
          <w:b/>
        </w:rPr>
        <w:t>Состояние </w:t>
      </w:r>
      <w:r>
        <w:rPr/>
        <w:t>— изменения организма, возникающие в связи с воздействием патогенных и</w:t>
      </w:r>
      <w:r>
        <w:rPr>
          <w:spacing w:val="40"/>
        </w:rPr>
        <w:t> </w:t>
      </w:r>
      <w:r>
        <w:rPr/>
        <w:t>(или) физиологических факторов и требующие оказания медицинской помощи [</w:t>
      </w:r>
      <w:hyperlink w:history="true" w:anchor="_bookmark48">
        <w:r>
          <w:rPr/>
          <w:t>2</w:t>
        </w:r>
      </w:hyperlink>
      <w:r>
        <w:rPr/>
        <w:t>].</w:t>
      </w:r>
    </w:p>
    <w:p>
      <w:pPr>
        <w:spacing w:line="360" w:lineRule="auto" w:before="0"/>
        <w:ind w:left="1261" w:right="571" w:firstLine="0"/>
        <w:jc w:val="left"/>
        <w:rPr>
          <w:sz w:val="24"/>
        </w:rPr>
      </w:pPr>
      <w:r>
        <w:rPr>
          <w:b/>
          <w:sz w:val="24"/>
        </w:rPr>
        <w:t>Уровень</w:t>
      </w:r>
      <w:r>
        <w:rPr>
          <w:b/>
          <w:spacing w:val="33"/>
          <w:sz w:val="24"/>
        </w:rPr>
        <w:t> </w:t>
      </w:r>
      <w:r>
        <w:rPr>
          <w:b/>
          <w:sz w:val="24"/>
        </w:rPr>
        <w:t>достоверности</w:t>
      </w:r>
      <w:r>
        <w:rPr>
          <w:b/>
          <w:spacing w:val="33"/>
          <w:sz w:val="24"/>
        </w:rPr>
        <w:t> </w:t>
      </w:r>
      <w:r>
        <w:rPr>
          <w:b/>
          <w:sz w:val="24"/>
        </w:rPr>
        <w:t>доказательств </w:t>
      </w:r>
      <w:r>
        <w:rPr>
          <w:sz w:val="24"/>
        </w:rPr>
        <w:t>— степень уверенности в том, что полученный эффект от применения медицинского вмешательства является истинным [</w:t>
      </w:r>
      <w:hyperlink w:history="true" w:anchor="_bookmark53">
        <w:r>
          <w:rPr>
            <w:sz w:val="24"/>
          </w:rPr>
          <w:t>7</w:t>
        </w:r>
      </w:hyperlink>
      <w:r>
        <w:rPr>
          <w:sz w:val="24"/>
        </w:rPr>
        <w:t>].</w:t>
      </w:r>
    </w:p>
    <w:p>
      <w:pPr>
        <w:pStyle w:val="BodyText"/>
        <w:spacing w:line="360" w:lineRule="auto"/>
        <w:ind w:left="1261" w:right="567"/>
        <w:jc w:val="both"/>
      </w:pPr>
      <w:r>
        <w:rPr>
          <w:b/>
        </w:rPr>
        <w:t>Уровень убедительности рекомендаций </w:t>
      </w:r>
      <w:r>
        <w:rPr/>
        <w:t>— степень уверенности в достоверности эффекта вмешательства и в том, что следование рекомендациям принесет больше пользы, чем вреда, в конкретной ситуации [</w:t>
      </w:r>
      <w:hyperlink w:history="true" w:anchor="_bookmark53">
        <w:r>
          <w:rPr/>
          <w:t>7</w:t>
        </w:r>
      </w:hyperlink>
      <w:r>
        <w:rPr/>
        <w:t>].</w:t>
      </w:r>
    </w:p>
    <w:p>
      <w:pPr>
        <w:pStyle w:val="BodyText"/>
        <w:spacing w:line="360" w:lineRule="auto"/>
        <w:ind w:left="1261" w:right="567"/>
        <w:jc w:val="both"/>
      </w:pPr>
      <w:r>
        <w:rPr>
          <w:b/>
        </w:rPr>
        <w:t>Хроническая болезнь почек </w:t>
      </w:r>
      <w:r>
        <w:rPr/>
        <w:t>— наднозологическое понятие, объединяющее всех пациентов с признаками повреждения почек и/или снижением функции, оцениваемой по величине скорости клубочковой фильтрации, которые сохраняются в течение 3 и более </w:t>
      </w:r>
      <w:r>
        <w:rPr>
          <w:spacing w:val="-2"/>
        </w:rPr>
        <w:t>месяцев.</w:t>
      </w:r>
    </w:p>
    <w:p>
      <w:pPr>
        <w:pStyle w:val="BodyText"/>
        <w:spacing w:line="360" w:lineRule="auto" w:before="1"/>
        <w:ind w:left="1261" w:right="566"/>
        <w:jc w:val="both"/>
      </w:pPr>
      <w:r>
        <w:rPr>
          <w:b/>
        </w:rPr>
        <w:t>Целевой уровень </w:t>
      </w:r>
      <w:r>
        <w:rPr/>
        <w:t>— уровень того или иного лабораторного, инструментального, клинического показателя, различный для разных групп пациентов с тем или иным заболеванием, достижение которого в процессе лечения позволяет добиться наиболее благоприятного соотношения польза (снижение сердечно-сосудистого риска) — риск (неблагоприятные эффекты).</w:t>
      </w:r>
    </w:p>
    <w:p>
      <w:pPr>
        <w:spacing w:after="0" w:line="360" w:lineRule="auto"/>
        <w:jc w:val="both"/>
        <w:sectPr>
          <w:pgSz w:w="11910" w:h="16840"/>
          <w:pgMar w:header="0" w:footer="710" w:top="1040" w:bottom="900" w:left="440" w:right="280"/>
        </w:sectPr>
      </w:pPr>
    </w:p>
    <w:p>
      <w:pPr>
        <w:pStyle w:val="Heading3"/>
        <w:numPr>
          <w:ilvl w:val="0"/>
          <w:numId w:val="7"/>
        </w:numPr>
        <w:tabs>
          <w:tab w:pos="1946" w:val="left" w:leader="none"/>
        </w:tabs>
        <w:spacing w:line="360" w:lineRule="auto" w:before="73" w:after="0"/>
        <w:ind w:left="5339" w:right="1013" w:hanging="3634"/>
        <w:jc w:val="left"/>
      </w:pPr>
      <w:bookmarkStart w:name="1. Краткая информация по заболеванию или" w:id="5"/>
      <w:bookmarkEnd w:id="5"/>
      <w:r>
        <w:rPr>
          <w:b w:val="0"/>
        </w:rPr>
      </w:r>
      <w:bookmarkStart w:name="_bookmark2" w:id="6"/>
      <w:bookmarkEnd w:id="6"/>
      <w:r>
        <w:rPr/>
        <w:t>К</w:t>
      </w:r>
      <w:r>
        <w:rPr/>
        <w:t>раткая</w:t>
      </w:r>
      <w:r>
        <w:rPr>
          <w:spacing w:val="-6"/>
        </w:rPr>
        <w:t> </w:t>
      </w:r>
      <w:r>
        <w:rPr/>
        <w:t>информация</w:t>
      </w:r>
      <w:r>
        <w:rPr>
          <w:spacing w:val="-6"/>
        </w:rPr>
        <w:t> </w:t>
      </w:r>
      <w:r>
        <w:rPr/>
        <w:t>по</w:t>
      </w:r>
      <w:r>
        <w:rPr>
          <w:spacing w:val="-5"/>
        </w:rPr>
        <w:t> </w:t>
      </w:r>
      <w:r>
        <w:rPr/>
        <w:t>заболеванию</w:t>
      </w:r>
      <w:r>
        <w:rPr>
          <w:spacing w:val="-6"/>
        </w:rPr>
        <w:t> </w:t>
      </w:r>
      <w:r>
        <w:rPr/>
        <w:t>или</w:t>
      </w:r>
      <w:r>
        <w:rPr>
          <w:spacing w:val="-5"/>
        </w:rPr>
        <w:t> </w:t>
      </w:r>
      <w:r>
        <w:rPr/>
        <w:t>состоянию</w:t>
      </w:r>
      <w:r>
        <w:rPr>
          <w:spacing w:val="-6"/>
        </w:rPr>
        <w:t> </w:t>
      </w:r>
      <w:r>
        <w:rPr/>
        <w:t>(группе</w:t>
      </w:r>
      <w:r>
        <w:rPr>
          <w:spacing w:val="-6"/>
        </w:rPr>
        <w:t> </w:t>
      </w:r>
      <w:r>
        <w:rPr/>
        <w:t>заболеваний, </w:t>
      </w:r>
      <w:r>
        <w:rPr>
          <w:spacing w:val="-2"/>
        </w:rPr>
        <w:t>состояний)</w:t>
      </w:r>
    </w:p>
    <w:p>
      <w:pPr>
        <w:pStyle w:val="BodyText"/>
        <w:spacing w:before="10"/>
        <w:ind w:left="0"/>
        <w:rPr>
          <w:b/>
          <w:sz w:val="20"/>
        </w:rPr>
      </w:pPr>
    </w:p>
    <w:p>
      <w:pPr>
        <w:pStyle w:val="Heading3"/>
        <w:numPr>
          <w:ilvl w:val="1"/>
          <w:numId w:val="7"/>
        </w:numPr>
        <w:tabs>
          <w:tab w:pos="2860" w:val="left" w:leader="none"/>
        </w:tabs>
        <w:spacing w:line="360" w:lineRule="auto" w:before="0" w:after="0"/>
        <w:ind w:left="2332" w:right="568" w:firstLine="0"/>
        <w:jc w:val="both"/>
        <w:rPr>
          <w:u w:val="single"/>
        </w:rPr>
      </w:pPr>
      <w:bookmarkStart w:name="1.1 Определение заболевания или состояни" w:id="7"/>
      <w:bookmarkEnd w:id="7"/>
      <w:r>
        <w:rPr>
          <w:b w:val="0"/>
        </w:rPr>
      </w:r>
      <w:bookmarkStart w:name="_bookmark3" w:id="8"/>
      <w:bookmarkEnd w:id="8"/>
      <w:r>
        <w:rPr>
          <w:u w:val="thick"/>
        </w:rPr>
        <w:t>О</w:t>
      </w:r>
      <w:r>
        <w:rPr>
          <w:u w:val="thick"/>
        </w:rPr>
        <w:t>пределение заболевания или состояния (группы заболеваний,</w:t>
      </w:r>
      <w:r>
        <w:rPr/>
        <w:t> </w:t>
      </w:r>
      <w:r>
        <w:rPr>
          <w:spacing w:val="-2"/>
          <w:u w:val="thick"/>
        </w:rPr>
        <w:t>состояний)</w:t>
      </w:r>
    </w:p>
    <w:p>
      <w:pPr>
        <w:pStyle w:val="BodyText"/>
        <w:spacing w:line="360" w:lineRule="auto"/>
        <w:ind w:left="1261" w:right="567" w:firstLine="708"/>
        <w:jc w:val="both"/>
      </w:pPr>
      <w:r>
        <w:rPr/>
        <w:t>Дислипидемии (ДЛП) — состояния, когда концентрации липидов и липопротеидов крови выходят за пределы нормы, могут быть вызваны как приобретенными (вторичными), так и наследственными (первичными) причинами [</w:t>
      </w:r>
      <w:hyperlink w:history="true" w:anchor="_bookmark54">
        <w:r>
          <w:rPr/>
          <w:t>8</w:t>
        </w:r>
      </w:hyperlink>
      <w:r>
        <w:rPr/>
        <w:t>].</w:t>
      </w:r>
    </w:p>
    <w:p>
      <w:pPr>
        <w:pStyle w:val="BodyText"/>
        <w:ind w:left="0"/>
        <w:rPr>
          <w:sz w:val="21"/>
        </w:rPr>
      </w:pPr>
    </w:p>
    <w:p>
      <w:pPr>
        <w:pStyle w:val="Heading3"/>
        <w:numPr>
          <w:ilvl w:val="1"/>
          <w:numId w:val="7"/>
        </w:numPr>
        <w:tabs>
          <w:tab w:pos="2896" w:val="left" w:leader="none"/>
        </w:tabs>
        <w:spacing w:line="360" w:lineRule="auto" w:before="0" w:after="0"/>
        <w:ind w:left="2332" w:right="567" w:firstLine="0"/>
        <w:jc w:val="both"/>
        <w:rPr>
          <w:u w:val="single"/>
        </w:rPr>
      </w:pPr>
      <w:bookmarkStart w:name="1.2 Этиология и патогенез заболевания ил" w:id="9"/>
      <w:bookmarkEnd w:id="9"/>
      <w:r>
        <w:rPr>
          <w:b w:val="0"/>
        </w:rPr>
      </w:r>
      <w:bookmarkStart w:name="_bookmark4" w:id="10"/>
      <w:bookmarkEnd w:id="10"/>
      <w:r>
        <w:rPr>
          <w:u w:val="thick"/>
        </w:rPr>
        <w:t>Э</w:t>
      </w:r>
      <w:r>
        <w:rPr>
          <w:u w:val="thick"/>
        </w:rPr>
        <w:t>тиология и патогенез заболевания или состояния (группы</w:t>
      </w:r>
      <w:r>
        <w:rPr/>
        <w:t> </w:t>
      </w:r>
      <w:r>
        <w:rPr>
          <w:u w:val="thick"/>
        </w:rPr>
        <w:t>заболеваний, состояний)</w:t>
      </w:r>
    </w:p>
    <w:p>
      <w:pPr>
        <w:pStyle w:val="BodyText"/>
        <w:spacing w:line="360" w:lineRule="auto"/>
        <w:ind w:left="1261" w:right="566" w:firstLine="708"/>
        <w:jc w:val="both"/>
      </w:pPr>
      <w:r>
        <w:rPr/>
        <w:t>Первичные дислипидемии имеют генетическую природу, развиваются в результате аномалий генов, которые регулируют функции рецепторов, ферментов или транспортных белков, участвующих в липидном обмене. В этих случаях они проявляются как семейные (наследственные) нарушения липидного метаболизма и относятся к первичным моногенным ДЛП. СГХС – это наследственное аутосомно-доминантное заболевание, обусловленное мутациями генов, кодирующие</w:t>
      </w:r>
      <w:r>
        <w:rPr>
          <w:spacing w:val="-1"/>
        </w:rPr>
        <w:t> </w:t>
      </w:r>
      <w:r>
        <w:rPr/>
        <w:t>рецептор липопротеидов низкой плотности (</w:t>
      </w:r>
      <w:r>
        <w:rPr>
          <w:i/>
        </w:rPr>
        <w:t>LDLR</w:t>
      </w:r>
      <w:r>
        <w:rPr/>
        <w:t>), аполипопротеин В-100 (</w:t>
      </w:r>
      <w:r>
        <w:rPr>
          <w:i/>
        </w:rPr>
        <w:t>APOB</w:t>
      </w:r>
      <w:r>
        <w:rPr/>
        <w:t>) и профермента пропротеин-конвертаза субтилин/кексин типа 9 (</w:t>
      </w:r>
      <w:r>
        <w:rPr>
          <w:i/>
        </w:rPr>
        <w:t>PCSK9</w:t>
      </w:r>
      <w:r>
        <w:rPr/>
        <w:t>), сопровождающееся стойким повышением уровня холестерина (ХС) липопротеидов низкой плотности (ЛНП) и ранним развитием атеросклероза. Заболевание проявляется в виде двух форм: менее тяжелой гетерозиготной и более тяжелой гомозиготной [</w:t>
      </w:r>
      <w:hyperlink w:history="true" w:anchor="_bookmark55">
        <w:r>
          <w:rPr/>
          <w:t>9</w:t>
        </w:r>
      </w:hyperlink>
      <w:r>
        <w:rPr/>
        <w:t>].</w:t>
      </w:r>
      <w:r>
        <w:rPr>
          <w:spacing w:val="40"/>
        </w:rPr>
        <w:t> </w:t>
      </w:r>
      <w:r>
        <w:rPr/>
        <w:t>Но в подавляющем большинстве случаев они развиваются как первичные полигенные ДЛП, т.е. являются следствием сочетания слабых генетических влияний с факторами внешней среды: курением, нарушением диеты, малоподвижным образом жизни. Наиболее атерогенными ДЛП являются изолированная гиперхолестеринемия (ГХС) (фенотип IIа), представленная семейной и полигенной ГХС, комбинированная</w:t>
      </w:r>
      <w:r>
        <w:rPr>
          <w:spacing w:val="-2"/>
        </w:rPr>
        <w:t> </w:t>
      </w:r>
      <w:r>
        <w:rPr/>
        <w:t>гиперлипидемия</w:t>
      </w:r>
      <w:r>
        <w:rPr>
          <w:spacing w:val="-2"/>
        </w:rPr>
        <w:t> </w:t>
      </w:r>
      <w:r>
        <w:rPr/>
        <w:t>(различные</w:t>
      </w:r>
      <w:r>
        <w:rPr>
          <w:spacing w:val="-3"/>
        </w:rPr>
        <w:t> </w:t>
      </w:r>
      <w:r>
        <w:rPr/>
        <w:t>фенотипы</w:t>
      </w:r>
      <w:r>
        <w:rPr>
          <w:spacing w:val="-3"/>
        </w:rPr>
        <w:t> </w:t>
      </w:r>
      <w:r>
        <w:rPr/>
        <w:t>гиперлипидемии</w:t>
      </w:r>
      <w:r>
        <w:rPr>
          <w:spacing w:val="-1"/>
        </w:rPr>
        <w:t> </w:t>
      </w:r>
      <w:r>
        <w:rPr/>
        <w:t>в</w:t>
      </w:r>
      <w:r>
        <w:rPr>
          <w:spacing w:val="-3"/>
        </w:rPr>
        <w:t> </w:t>
      </w:r>
      <w:r>
        <w:rPr/>
        <w:t>одной</w:t>
      </w:r>
      <w:r>
        <w:rPr>
          <w:spacing w:val="-1"/>
        </w:rPr>
        <w:t> </w:t>
      </w:r>
      <w:r>
        <w:rPr/>
        <w:t>семье). Менее атерогенна изолированная гипертриглицеридемия (ГТГ) (фенотип IV или V). ГТГ натощак может быть связана с рядом факторов, внешних и внутренних. К внешним факторам, способствующим развитию ГТГ и, соответственно, высокой ее распространенности в популяции, относятся избыточное питание с преобладанием</w:t>
      </w:r>
      <w:r>
        <w:rPr>
          <w:spacing w:val="40"/>
        </w:rPr>
        <w:t> </w:t>
      </w:r>
      <w:r>
        <w:rPr/>
        <w:t>жирной пищи, простых углеводов с высоким гликемическим индексом (сахар, глюкоза), а также избыточное потребление алкоголя, длительный прием ряда лекарств, в первую очередь глюкокортикоидов, неселективных бета-адреноблокаторов. Вторичная ГТГ встречается значительно чаще первичной и может быть обусловлена, в первую очередь, инсулинорезистентностью</w:t>
      </w:r>
      <w:r>
        <w:rPr>
          <w:spacing w:val="20"/>
        </w:rPr>
        <w:t> </w:t>
      </w:r>
      <w:r>
        <w:rPr/>
        <w:t>и</w:t>
      </w:r>
      <w:r>
        <w:rPr>
          <w:spacing w:val="21"/>
        </w:rPr>
        <w:t> </w:t>
      </w:r>
      <w:r>
        <w:rPr/>
        <w:t>связанными</w:t>
      </w:r>
      <w:r>
        <w:rPr>
          <w:spacing w:val="23"/>
        </w:rPr>
        <w:t> </w:t>
      </w:r>
      <w:r>
        <w:rPr/>
        <w:t>с</w:t>
      </w:r>
      <w:r>
        <w:rPr>
          <w:spacing w:val="19"/>
        </w:rPr>
        <w:t> </w:t>
      </w:r>
      <w:r>
        <w:rPr/>
        <w:t>ней</w:t>
      </w:r>
      <w:r>
        <w:rPr>
          <w:spacing w:val="20"/>
        </w:rPr>
        <w:t> </w:t>
      </w:r>
      <w:r>
        <w:rPr/>
        <w:t>состояниями:</w:t>
      </w:r>
      <w:r>
        <w:rPr>
          <w:spacing w:val="21"/>
        </w:rPr>
        <w:t> </w:t>
      </w:r>
      <w:r>
        <w:rPr/>
        <w:t>СД</w:t>
      </w:r>
      <w:r>
        <w:rPr>
          <w:spacing w:val="21"/>
        </w:rPr>
        <w:t> </w:t>
      </w:r>
      <w:r>
        <w:rPr/>
        <w:t>2</w:t>
      </w:r>
      <w:r>
        <w:rPr>
          <w:spacing w:val="23"/>
        </w:rPr>
        <w:t> </w:t>
      </w:r>
      <w:r>
        <w:rPr/>
        <w:t>типа,</w:t>
      </w:r>
      <w:r>
        <w:rPr>
          <w:spacing w:val="23"/>
        </w:rPr>
        <w:t> </w:t>
      </w:r>
      <w:r>
        <w:rPr>
          <w:spacing w:val="-2"/>
        </w:rPr>
        <w:t>метаболическим</w:t>
      </w:r>
    </w:p>
    <w:p>
      <w:pPr>
        <w:spacing w:after="0" w:line="360" w:lineRule="auto"/>
        <w:jc w:val="both"/>
        <w:sectPr>
          <w:pgSz w:w="11910" w:h="16840"/>
          <w:pgMar w:header="0" w:footer="710" w:top="1040" w:bottom="900" w:left="440" w:right="280"/>
        </w:sectPr>
      </w:pPr>
    </w:p>
    <w:p>
      <w:pPr>
        <w:pStyle w:val="BodyText"/>
        <w:spacing w:line="360" w:lineRule="auto" w:before="73"/>
        <w:ind w:left="1261" w:right="567"/>
        <w:jc w:val="both"/>
      </w:pPr>
      <w:r>
        <w:rPr/>
        <w:t>синдромом и ожирением. К метаболическим факторам, способствующим формированию ГТГ, относится низкая активность липолитических ферментов, в частности, периферической липопротеинлипазы (ЛПЛ), которая определяется или генетическими особенностями фермента, или повышением содержания в липопротеидах ингибиторов ЛПЛ в первую очередь апоCIII [</w:t>
      </w:r>
      <w:hyperlink w:history="true" w:anchor="_bookmark56">
        <w:r>
          <w:rPr/>
          <w:t>10,</w:t>
        </w:r>
      </w:hyperlink>
      <w:r>
        <w:rPr/>
        <w:t> </w:t>
      </w:r>
      <w:hyperlink w:history="true" w:anchor="_bookmark57">
        <w:r>
          <w:rPr/>
          <w:t>11</w:t>
        </w:r>
      </w:hyperlink>
      <w:r>
        <w:rPr/>
        <w:t>]. Среди первичных причин повышения ТГ следует упомянуть наследственные механизмы (гиперпродукция ЛОНП, дефект гидролиза ТГ, дефект клиренса ремнантов ТГ в печени) [</w:t>
      </w:r>
      <w:hyperlink w:history="true" w:anchor="_bookmark58">
        <w:r>
          <w:rPr/>
          <w:t>12</w:t>
        </w:r>
      </w:hyperlink>
      <w:r>
        <w:rPr/>
        <w:t>]. Основными причинами вторичных ДЛП являются сахарный диабет (СД), гипотиреоз, хроническая болезнь почек (ХБП).</w:t>
      </w:r>
    </w:p>
    <w:p>
      <w:pPr>
        <w:pStyle w:val="Heading3"/>
        <w:spacing w:before="1"/>
        <w:ind w:left="1969"/>
        <w:jc w:val="both"/>
      </w:pPr>
      <w:r>
        <w:rPr/>
        <w:t>Патогенез</w:t>
      </w:r>
      <w:r>
        <w:rPr>
          <w:spacing w:val="-4"/>
        </w:rPr>
        <w:t> </w:t>
      </w:r>
      <w:r>
        <w:rPr/>
        <w:t>атеросклероза,</w:t>
      </w:r>
      <w:r>
        <w:rPr>
          <w:spacing w:val="-3"/>
        </w:rPr>
        <w:t> </w:t>
      </w:r>
      <w:r>
        <w:rPr/>
        <w:t>ассоциированного</w:t>
      </w:r>
      <w:r>
        <w:rPr>
          <w:spacing w:val="-5"/>
        </w:rPr>
        <w:t> </w:t>
      </w:r>
      <w:r>
        <w:rPr/>
        <w:t>с</w:t>
      </w:r>
      <w:r>
        <w:rPr>
          <w:spacing w:val="-3"/>
        </w:rPr>
        <w:t> </w:t>
      </w:r>
      <w:r>
        <w:rPr>
          <w:spacing w:val="-5"/>
        </w:rPr>
        <w:t>ДЛП</w:t>
      </w:r>
    </w:p>
    <w:p>
      <w:pPr>
        <w:pStyle w:val="BodyText"/>
        <w:spacing w:line="360" w:lineRule="auto" w:before="139"/>
        <w:ind w:left="1261" w:right="566" w:firstLine="708"/>
        <w:jc w:val="both"/>
      </w:pPr>
      <w:r>
        <w:rPr/>
        <w:t>Атеросклероз проявляется уплотнением сосудистой стенки и образованием атеросклеротических бляшек. Это динамичный процесс, для которого характерно как прогрессирование, так и обратное развитие изменений в стенке артерии. Однако со временем атеросклероз прогрессирует, приводя, в итоге, к клиническим проявлениям заболевания. К настоящему времени сложилось четкое представление об атеросклерозе как мультифакториальном заболевании, в основе которого лежат сложные нарушения в биохимических, иммунологических и молекулярно-генетических процессах. Сегодня доминируют две гипотезы развития и становления атеросклероза: гипотеза «ответ на повреждение» и липидно-инфильтрационная гипотеза. Гипотеза «Ответ на повреждение» ставит во главу угла нарушение целостности эндотелия в качестве инициирующего фактора атеросклеротического процесса. Факторы, вызывающие повреждение эндотелия, весьма многообразны, но наиболее распространены окись углерода, поступающая в кровь при активном и «пассивном» курении, повышение артериального давления,</w:t>
      </w:r>
      <w:r>
        <w:rPr>
          <w:spacing w:val="40"/>
        </w:rPr>
        <w:t> </w:t>
      </w:r>
      <w:r>
        <w:rPr/>
        <w:t>дислипидемия, в особенности ГХС, обусловленная либо семейной</w:t>
      </w:r>
      <w:r>
        <w:rPr>
          <w:spacing w:val="40"/>
        </w:rPr>
        <w:t> </w:t>
      </w:r>
      <w:r>
        <w:rPr/>
        <w:t>предрасположенностью, либо вредными привычками, в первую очередь, диетическими погрешностями. В качестве повреждающих агентов могут выступать модифицированные (окисленные, десиалированные) липопротеиды и целый ряд других, как эндогенных, так</w:t>
      </w:r>
      <w:r>
        <w:rPr>
          <w:spacing w:val="-1"/>
        </w:rPr>
        <w:t> </w:t>
      </w:r>
      <w:r>
        <w:rPr/>
        <w:t>и экзогенных факторов. На месте повреждения эндотелия происходит адгезия моноцитов и тромбоцитов, сопровождающаяся миграцией моноцитов в интиму. Прогрессирующее утолщение интимы ведет к развитию гипоксии внутри бляшки и в близлежащих участках сосуда. Гипоксия является возможной причиной развития некротических изменений в</w:t>
      </w:r>
      <w:r>
        <w:rPr>
          <w:spacing w:val="40"/>
        </w:rPr>
        <w:t> </w:t>
      </w:r>
      <w:r>
        <w:rPr/>
        <w:t>ядре бляшки и усиленной васкуляризации бляшки из системы ваза вазорум адвентиции. Эти сосуды в сердцевине бляшки являются источником микрогеморрагий (апоплексии) в ней, что в свою очередь ведет к усилению ее тромбогенной активности. В результате ослабления мышечно-эластического слоя сосуда в коронарных артериях происходит их ремоделирование</w:t>
      </w:r>
      <w:r>
        <w:rPr>
          <w:spacing w:val="55"/>
        </w:rPr>
        <w:t> </w:t>
      </w:r>
      <w:r>
        <w:rPr/>
        <w:t>с</w:t>
      </w:r>
      <w:r>
        <w:rPr>
          <w:spacing w:val="55"/>
        </w:rPr>
        <w:t> </w:t>
      </w:r>
      <w:r>
        <w:rPr/>
        <w:t>дилатацией,</w:t>
      </w:r>
      <w:r>
        <w:rPr>
          <w:spacing w:val="56"/>
        </w:rPr>
        <w:t> </w:t>
      </w:r>
      <w:r>
        <w:rPr/>
        <w:t>причем</w:t>
      </w:r>
      <w:r>
        <w:rPr>
          <w:spacing w:val="55"/>
        </w:rPr>
        <w:t> </w:t>
      </w:r>
      <w:r>
        <w:rPr/>
        <w:t>внутренний</w:t>
      </w:r>
      <w:r>
        <w:rPr>
          <w:spacing w:val="57"/>
        </w:rPr>
        <w:t> </w:t>
      </w:r>
      <w:r>
        <w:rPr/>
        <w:t>диаметр</w:t>
      </w:r>
      <w:r>
        <w:rPr>
          <w:spacing w:val="56"/>
        </w:rPr>
        <w:t> </w:t>
      </w:r>
      <w:r>
        <w:rPr/>
        <w:t>просвета</w:t>
      </w:r>
      <w:r>
        <w:rPr>
          <w:spacing w:val="55"/>
        </w:rPr>
        <w:t> </w:t>
      </w:r>
      <w:r>
        <w:rPr/>
        <w:t>сосуда</w:t>
      </w:r>
      <w:r>
        <w:rPr>
          <w:spacing w:val="55"/>
        </w:rPr>
        <w:t> </w:t>
      </w:r>
      <w:r>
        <w:rPr/>
        <w:t>какое-</w:t>
      </w:r>
      <w:r>
        <w:rPr>
          <w:spacing w:val="-5"/>
        </w:rPr>
        <w:t>то</w:t>
      </w:r>
    </w:p>
    <w:p>
      <w:pPr>
        <w:spacing w:after="0" w:line="360" w:lineRule="auto"/>
        <w:jc w:val="both"/>
        <w:sectPr>
          <w:pgSz w:w="11910" w:h="16840"/>
          <w:pgMar w:header="0" w:footer="710" w:top="1040" w:bottom="900" w:left="440" w:right="280"/>
        </w:sectPr>
      </w:pPr>
    </w:p>
    <w:p>
      <w:pPr>
        <w:pStyle w:val="BodyText"/>
        <w:spacing w:line="360" w:lineRule="auto" w:before="73"/>
        <w:ind w:left="1261" w:right="566"/>
        <w:jc w:val="both"/>
      </w:pPr>
      <w:r>
        <w:rPr/>
        <w:t>время поддерживается «нормальным», до тех пор, пока прогрессирующий рост бляшки не превысит компенсаторные возможности медиального слоя артерии, и не приведет к прогрессирующему сужению ее просвета. Именно на этом этапе бляшки приобретают характер нестабильных и играют основную роль в развитии осложнений атеросклероза. Кроме того, происходит изменение фенотипа гладклмышечных клеток, который при поврежедении сосудистой стенки, из сократительного переходит в секреторный с высвобождением провоспалительных цитокинов и активацией молекул адгезии.</w:t>
      </w:r>
    </w:p>
    <w:p>
      <w:pPr>
        <w:pStyle w:val="BodyText"/>
        <w:spacing w:line="360" w:lineRule="auto" w:before="2"/>
        <w:ind w:left="1261" w:right="566" w:firstLine="708"/>
        <w:jc w:val="both"/>
      </w:pPr>
      <w:r>
        <w:rPr/>
        <w:t>Липидная теория атеросклероза предполагает пусковым моментом в развитии атеросклероза инфильтрацию интимы и субэндотелия липидами и липопротеидами. По мере накопления липидов в сердцевине бляшки, происходит увеличение ее размеров, в результате чего фиброзная покрышка бляшки под действием специфических энзимов (эластаз, металлопротеиназ) истончается и при определенных условиях (повышение артериального давления, значительная физическая нагрузка) разрывается. Разрыв сопровождается активацией каскада коагуляции крови, агрегации тромбоцитов с образованием тромба, блокирующего просвет сосуда. Клинически этот процесс проявляется, в зависимости от локализации либо нестабильной стенокардией, либо инфарктом миокарда (ИМ), либо ишемическим инсультом.</w:t>
      </w:r>
    </w:p>
    <w:p>
      <w:pPr>
        <w:pStyle w:val="BodyText"/>
        <w:spacing w:before="10"/>
        <w:ind w:left="0"/>
        <w:rPr>
          <w:sz w:val="20"/>
        </w:rPr>
      </w:pPr>
    </w:p>
    <w:p>
      <w:pPr>
        <w:pStyle w:val="Heading3"/>
        <w:numPr>
          <w:ilvl w:val="1"/>
          <w:numId w:val="7"/>
        </w:numPr>
        <w:tabs>
          <w:tab w:pos="2810" w:val="left" w:leader="none"/>
        </w:tabs>
        <w:spacing w:line="360" w:lineRule="auto" w:before="0" w:after="0"/>
        <w:ind w:left="2332" w:right="567" w:firstLine="0"/>
        <w:jc w:val="both"/>
        <w:rPr>
          <w:u w:val="single"/>
        </w:rPr>
      </w:pPr>
      <w:bookmarkStart w:name="1.3 Эпидемиология заболевания или состоя" w:id="11"/>
      <w:bookmarkEnd w:id="11"/>
      <w:r>
        <w:rPr>
          <w:b w:val="0"/>
        </w:rPr>
      </w:r>
      <w:bookmarkStart w:name="_bookmark5" w:id="12"/>
      <w:bookmarkEnd w:id="12"/>
      <w:r>
        <w:rPr>
          <w:u w:val="thick"/>
        </w:rPr>
        <w:t>Э</w:t>
      </w:r>
      <w:r>
        <w:rPr>
          <w:u w:val="thick"/>
        </w:rPr>
        <w:t>пидемиология заболевания или состояния (группы заболеваний,</w:t>
      </w:r>
      <w:r>
        <w:rPr/>
        <w:t> </w:t>
      </w:r>
      <w:r>
        <w:rPr>
          <w:spacing w:val="-2"/>
          <w:u w:val="thick"/>
        </w:rPr>
        <w:t>состояний)</w:t>
      </w:r>
    </w:p>
    <w:p>
      <w:pPr>
        <w:pStyle w:val="BodyText"/>
        <w:spacing w:line="360" w:lineRule="auto"/>
        <w:ind w:left="1261" w:right="566" w:firstLine="708"/>
        <w:jc w:val="both"/>
      </w:pPr>
      <w:r>
        <w:rPr/>
        <w:t>Наиболее актуальные данные о распространенности нарушений липидного обмена в РФ получены в ходе многоцентрового исследования ЭССЕ-РФ, проведенного в 13 регионах РФ с включением 21048 человек [</w:t>
      </w:r>
      <w:hyperlink w:history="true" w:anchor="_bookmark59">
        <w:r>
          <w:rPr/>
          <w:t>13</w:t>
        </w:r>
      </w:hyperlink>
      <w:r>
        <w:rPr/>
        <w:t>]. Распространенность ГХС (уровень общего холестерина (ОХС) ≥5,0 ммоль/л) в среднем составила 58,4±0,34%. Существенных различий уровня ХС у мужчин и женщин не выявлено. С возрастом распространенность ГХС увеличивается практически в 2 раза: от 37,7±0,73% в возрастной группе 25—34 года до 74,5±0,54% среди лиц в возрасте от 55 до 64 лет (p &lt;0,01). Независимо от пола среди жителей сельской местности ГХС встречается чаще, чем среди горожан (63,2±0,82 и 57,4±0,38% соответственно; p &lt;0,001). Атерогенные сдвиги в липидном профиле в виде ГХС обусловлены в основном повышенным (≥3,0 ммоль/л) уровнем ХС ЛНП. Достоверно более высокая распространенность повышенного уровня ХС ЛНП у жителей села по сравнению с горожанами (62,4±0,60% против 59,2±0,38%; p&lt;0,05) обусловлена в</w:t>
      </w:r>
      <w:r>
        <w:rPr>
          <w:spacing w:val="80"/>
        </w:rPr>
        <w:t> </w:t>
      </w:r>
      <w:r>
        <w:rPr/>
        <w:t>основном более высокими значениями этого показателя среди женщин (61,3±1,08%</w:t>
      </w:r>
      <w:r>
        <w:rPr>
          <w:spacing w:val="40"/>
        </w:rPr>
        <w:t> </w:t>
      </w:r>
      <w:r>
        <w:rPr/>
        <w:t>против 56,5±0,48%; p&lt;0,05). Повышенный уровень ТГ обнаружен у 30,2±0,52% мужчин всей</w:t>
      </w:r>
      <w:r>
        <w:rPr>
          <w:spacing w:val="57"/>
        </w:rPr>
        <w:t>  </w:t>
      </w:r>
      <w:r>
        <w:rPr/>
        <w:t>выборки,</w:t>
      </w:r>
      <w:r>
        <w:rPr>
          <w:spacing w:val="56"/>
        </w:rPr>
        <w:t>  </w:t>
      </w:r>
      <w:r>
        <w:rPr/>
        <w:t>что</w:t>
      </w:r>
      <w:r>
        <w:rPr>
          <w:spacing w:val="56"/>
        </w:rPr>
        <w:t>  </w:t>
      </w:r>
      <w:r>
        <w:rPr/>
        <w:t>достоверно</w:t>
      </w:r>
      <w:r>
        <w:rPr>
          <w:spacing w:val="56"/>
        </w:rPr>
        <w:t>  </w:t>
      </w:r>
      <w:r>
        <w:rPr/>
        <w:t>выше,</w:t>
      </w:r>
      <w:r>
        <w:rPr>
          <w:spacing w:val="57"/>
        </w:rPr>
        <w:t>  </w:t>
      </w:r>
      <w:r>
        <w:rPr/>
        <w:t>чем</w:t>
      </w:r>
      <w:r>
        <w:rPr>
          <w:spacing w:val="56"/>
        </w:rPr>
        <w:t>  </w:t>
      </w:r>
      <w:r>
        <w:rPr/>
        <w:t>у</w:t>
      </w:r>
      <w:r>
        <w:rPr>
          <w:spacing w:val="57"/>
        </w:rPr>
        <w:t>  </w:t>
      </w:r>
      <w:r>
        <w:rPr/>
        <w:t>женщин</w:t>
      </w:r>
      <w:r>
        <w:rPr>
          <w:spacing w:val="57"/>
        </w:rPr>
        <w:t>  </w:t>
      </w:r>
      <w:r>
        <w:rPr/>
        <w:t>(20,1±0,34%;</w:t>
      </w:r>
      <w:r>
        <w:rPr>
          <w:spacing w:val="57"/>
        </w:rPr>
        <w:t>  </w:t>
      </w:r>
      <w:r>
        <w:rPr>
          <w:spacing w:val="-2"/>
        </w:rPr>
        <w:t>p&lt;0,0001).</w:t>
      </w:r>
    </w:p>
    <w:p>
      <w:pPr>
        <w:spacing w:after="0" w:line="360" w:lineRule="auto"/>
        <w:jc w:val="both"/>
        <w:sectPr>
          <w:pgSz w:w="11910" w:h="16840"/>
          <w:pgMar w:header="0" w:footer="710" w:top="1040" w:bottom="900" w:left="440" w:right="280"/>
        </w:sectPr>
      </w:pPr>
    </w:p>
    <w:p>
      <w:pPr>
        <w:pStyle w:val="BodyText"/>
        <w:spacing w:line="360" w:lineRule="auto" w:before="73"/>
        <w:ind w:left="1261" w:right="567"/>
        <w:jc w:val="both"/>
      </w:pPr>
      <w:r>
        <w:rPr/>
        <w:t>Распространенность высокого уровня ТГ связана с возрастом, особенно это харакерно для женщин: 8,8±0,59% в младшей возрастной группе (25-34 года) и 34,4±0,71% среди</w:t>
      </w:r>
      <w:r>
        <w:rPr>
          <w:spacing w:val="40"/>
        </w:rPr>
        <w:t> </w:t>
      </w:r>
      <w:r>
        <w:rPr/>
        <w:t>женщин в возрасте 55-64 лет (p&lt;0,0001). В то же время, частота гипертриглицеридемии достоверно выше у мужчин с</w:t>
      </w:r>
      <w:r>
        <w:rPr>
          <w:spacing w:val="-1"/>
        </w:rPr>
        <w:t> </w:t>
      </w:r>
      <w:r>
        <w:rPr/>
        <w:t>низким</w:t>
      </w:r>
      <w:r>
        <w:rPr>
          <w:spacing w:val="-1"/>
        </w:rPr>
        <w:t> </w:t>
      </w:r>
      <w:r>
        <w:rPr/>
        <w:t>уровнем благосостояния по сравнению с</w:t>
      </w:r>
      <w:r>
        <w:rPr>
          <w:spacing w:val="-1"/>
        </w:rPr>
        <w:t> </w:t>
      </w:r>
      <w:r>
        <w:rPr/>
        <w:t>мужчинами с высоким уровнем благосостояния (30,9±0,66% против 23,8±3,41%; p&lt;0,05). У жителей села распространенность ГТГ незначительно, но достоверно выше, чем у горожан (p&lt;0,05 для всех случаев). Низкий уровень ХС ЛВП (меньше 1,0 ммоль/л для мужчин и 1,2 ммоль/л для женщин) обнаружен в 19,5% случаев.</w:t>
      </w:r>
    </w:p>
    <w:p>
      <w:pPr>
        <w:pStyle w:val="BodyText"/>
        <w:spacing w:line="360" w:lineRule="auto" w:before="1"/>
        <w:ind w:left="1261" w:right="568" w:firstLine="708"/>
        <w:jc w:val="both"/>
      </w:pPr>
      <w:r>
        <w:rPr/>
        <w:t>Так же, результаты исследования ЭССЕ-РФ, показали, что 23% лиц из популяции имели выраженное повышение уровня ОХС &gt;6,2 ммоль/л, а выраженное повышение уровня ХС ЛНП &gt;4,2 ммоль/л встречалось в 20,6% [</w:t>
      </w:r>
      <w:hyperlink w:history="true" w:anchor="_bookmark195">
        <w:r>
          <w:rPr/>
          <w:t>150</w:t>
        </w:r>
      </w:hyperlink>
      <w:r>
        <w:rPr/>
        <w:t>].</w:t>
      </w:r>
    </w:p>
    <w:p>
      <w:pPr>
        <w:pStyle w:val="Heading3"/>
        <w:spacing w:before="1"/>
        <w:ind w:left="1969"/>
        <w:jc w:val="both"/>
      </w:pPr>
      <w:r>
        <w:rPr>
          <w:u w:val="thick"/>
        </w:rPr>
        <w:t>Взаимосвязь</w:t>
      </w:r>
      <w:r>
        <w:rPr>
          <w:spacing w:val="-6"/>
          <w:u w:val="thick"/>
        </w:rPr>
        <w:t> </w:t>
      </w:r>
      <w:r>
        <w:rPr>
          <w:u w:val="thick"/>
        </w:rPr>
        <w:t>ДЛП</w:t>
      </w:r>
      <w:r>
        <w:rPr>
          <w:spacing w:val="-3"/>
          <w:u w:val="thick"/>
        </w:rPr>
        <w:t> </w:t>
      </w:r>
      <w:r>
        <w:rPr>
          <w:u w:val="thick"/>
        </w:rPr>
        <w:t>с</w:t>
      </w:r>
      <w:r>
        <w:rPr>
          <w:spacing w:val="-5"/>
          <w:u w:val="thick"/>
        </w:rPr>
        <w:t> </w:t>
      </w:r>
      <w:r>
        <w:rPr>
          <w:u w:val="thick"/>
        </w:rPr>
        <w:t>риском</w:t>
      </w:r>
      <w:r>
        <w:rPr>
          <w:spacing w:val="-4"/>
          <w:u w:val="thick"/>
        </w:rPr>
        <w:t> </w:t>
      </w:r>
      <w:r>
        <w:rPr>
          <w:u w:val="thick"/>
        </w:rPr>
        <w:t>развития</w:t>
      </w:r>
      <w:r>
        <w:rPr>
          <w:spacing w:val="-4"/>
          <w:u w:val="thick"/>
        </w:rPr>
        <w:t> </w:t>
      </w:r>
      <w:r>
        <w:rPr>
          <w:u w:val="thick"/>
        </w:rPr>
        <w:t>сердечно-сосудистых</w:t>
      </w:r>
      <w:r>
        <w:rPr>
          <w:spacing w:val="-3"/>
          <w:u w:val="thick"/>
        </w:rPr>
        <w:t> </w:t>
      </w:r>
      <w:r>
        <w:rPr>
          <w:spacing w:val="-2"/>
          <w:u w:val="thick"/>
        </w:rPr>
        <w:t>осложнений</w:t>
      </w:r>
    </w:p>
    <w:p>
      <w:pPr>
        <w:pStyle w:val="BodyText"/>
        <w:spacing w:line="360" w:lineRule="auto" w:before="137"/>
        <w:ind w:left="1261" w:right="566" w:firstLine="708"/>
        <w:jc w:val="both"/>
      </w:pPr>
      <w:r>
        <w:rPr/>
        <w:t>Крупнейшим проспективным исследованием было исследование MRFIT (Multiple Risk Factor Intervention Trial). У 361662 обследованных мужчин 35-57 лет были определены основные факторы риска ИБС, включая липиды сыворотки крови. Впервые был определен пороговый уровень ОХС (5,2 ммоль⁄л), с которого регистрируется значительный прирост смертности от ИБС. Абсолютный риск ИБС при самых высоких средне-популяционных значениях ОХС был в 20 раз выше, чем при наиболее низких уровнях, равных 4,7 ммоль⁄л [</w:t>
      </w:r>
      <w:hyperlink w:history="true" w:anchor="_bookmark60">
        <w:r>
          <w:rPr/>
          <w:t>14</w:t>
        </w:r>
      </w:hyperlink>
      <w:r>
        <w:rPr/>
        <w:t>].</w:t>
      </w:r>
    </w:p>
    <w:p>
      <w:pPr>
        <w:pStyle w:val="BodyText"/>
        <w:spacing w:line="360" w:lineRule="auto" w:before="1"/>
        <w:ind w:left="1261" w:right="567" w:firstLine="708"/>
        <w:jc w:val="both"/>
      </w:pPr>
      <w:r>
        <w:rPr/>
        <w:t>Мета-анализ 4-х проспективных эпидемиологических исследований (Фремингемское, MRFIT, Coronary Primary Prevention Trial, Lipid Research Clinic) выявил зависимость повышения уровня ХС ЛВП на 1 мг⁄дл и снижением на 2-3% риска ИБС, независимо от других ФР, включая ХС ЛНП [</w:t>
      </w:r>
      <w:hyperlink w:history="true" w:anchor="_bookmark61">
        <w:r>
          <w:rPr/>
          <w:t>15</w:t>
        </w:r>
      </w:hyperlink>
      <w:r>
        <w:rPr/>
        <w:t>].</w:t>
      </w:r>
    </w:p>
    <w:p>
      <w:pPr>
        <w:pStyle w:val="BodyText"/>
        <w:spacing w:line="360" w:lineRule="auto"/>
        <w:ind w:left="1261" w:right="566" w:firstLine="708"/>
        <w:jc w:val="both"/>
      </w:pPr>
      <w:r>
        <w:rPr/>
        <w:t>В мета-анализе 17 проспективных популяционных исследований было показано, что повышение ТГ сыворотки крови на 1 ммоль⁄ л ассоциируется с увеличением новых случаев ИБС на 32% у мужчин и на 76% – у женщин [</w:t>
      </w:r>
      <w:hyperlink w:history="true" w:anchor="_bookmark61">
        <w:r>
          <w:rPr/>
          <w:t>15</w:t>
        </w:r>
      </w:hyperlink>
      <w:r>
        <w:rPr/>
        <w:t>]. По данным крупнейшего эпидемиологического исследования (Framingham Study), уровень ТГ более 1,7 ммоль/л означает достоверно более высокий риск развития ССО [</w:t>
      </w:r>
      <w:hyperlink w:history="true" w:anchor="_bookmark61">
        <w:r>
          <w:rPr/>
          <w:t>15</w:t>
        </w:r>
      </w:hyperlink>
      <w:r>
        <w:rPr/>
        <w:t>]. При достижении целевого уровня (ЦУ)</w:t>
      </w:r>
      <w:r>
        <w:rPr>
          <w:spacing w:val="-1"/>
        </w:rPr>
        <w:t> </w:t>
      </w:r>
      <w:r>
        <w:rPr/>
        <w:t>ХС ЛНП</w:t>
      </w:r>
      <w:r>
        <w:rPr>
          <w:spacing w:val="-1"/>
        </w:rPr>
        <w:t> </w:t>
      </w:r>
      <w:r>
        <w:rPr/>
        <w:t>&lt;1,8 ммоль/л риск</w:t>
      </w:r>
      <w:r>
        <w:rPr>
          <w:spacing w:val="-1"/>
        </w:rPr>
        <w:t> </w:t>
      </w:r>
      <w:r>
        <w:rPr/>
        <w:t>ССО</w:t>
      </w:r>
      <w:r>
        <w:rPr>
          <w:spacing w:val="-3"/>
        </w:rPr>
        <w:t> </w:t>
      </w:r>
      <w:r>
        <w:rPr/>
        <w:t>у пациентов</w:t>
      </w:r>
      <w:r>
        <w:rPr>
          <w:spacing w:val="-1"/>
        </w:rPr>
        <w:t> </w:t>
      </w:r>
      <w:r>
        <w:rPr/>
        <w:t>с</w:t>
      </w:r>
      <w:r>
        <w:rPr>
          <w:spacing w:val="-1"/>
        </w:rPr>
        <w:t> </w:t>
      </w:r>
      <w:r>
        <w:rPr/>
        <w:t>ХС ЛВП</w:t>
      </w:r>
      <w:r>
        <w:rPr>
          <w:spacing w:val="-3"/>
        </w:rPr>
        <w:t> </w:t>
      </w:r>
      <w:r>
        <w:rPr/>
        <w:t>&lt;1,0 ммоль/л на</w:t>
      </w:r>
      <w:r>
        <w:rPr>
          <w:spacing w:val="-1"/>
        </w:rPr>
        <w:t> </w:t>
      </w:r>
      <w:r>
        <w:rPr/>
        <w:t>64% выше, чем пациентов с ХС ЛВП ≥1,4 ммоль/л [</w:t>
      </w:r>
      <w:hyperlink w:history="true" w:anchor="_bookmark62">
        <w:r>
          <w:rPr/>
          <w:t>16</w:t>
        </w:r>
      </w:hyperlink>
      <w:r>
        <w:rPr/>
        <w:t>]. Повышенные уровни ТГ и низкий уровень ХС ЛВП синергично увеличивают риск сердечно-сосудистых событий у пациентов с уже достигнутыми ЦУ ХС ЛНП (&lt;2,1 ммоль/л) [</w:t>
      </w:r>
      <w:hyperlink w:history="true" w:anchor="_bookmark63">
        <w:r>
          <w:rPr/>
          <w:t>17</w:t>
        </w:r>
      </w:hyperlink>
      <w:r>
        <w:rPr/>
        <w:t>]. Показано, что у пациентов с ТГ более 2,3 ммоль/л и одновременно ХС ЛВП менее 0,8 ммоль/л, риск ССО увеличивается в 10 раз по сравнению с пациентами с нормальными значениями ТГ и ХС ЛВП [</w:t>
      </w:r>
      <w:hyperlink w:history="true" w:anchor="_bookmark63">
        <w:r>
          <w:rPr/>
          <w:t>17</w:t>
        </w:r>
      </w:hyperlink>
      <w:r>
        <w:rPr/>
        <w:t>, </w:t>
      </w:r>
      <w:hyperlink w:history="true" w:anchor="_bookmark64">
        <w:r>
          <w:rPr/>
          <w:t>18</w:t>
        </w:r>
      </w:hyperlink>
      <w:r>
        <w:rPr/>
        <w:t>].</w:t>
      </w:r>
    </w:p>
    <w:p>
      <w:pPr>
        <w:spacing w:after="0" w:line="360" w:lineRule="auto"/>
        <w:jc w:val="both"/>
        <w:sectPr>
          <w:pgSz w:w="11910" w:h="16840"/>
          <w:pgMar w:header="0" w:footer="710" w:top="1040" w:bottom="900" w:left="440" w:right="280"/>
        </w:sectPr>
      </w:pPr>
    </w:p>
    <w:p>
      <w:pPr>
        <w:pStyle w:val="Heading3"/>
        <w:numPr>
          <w:ilvl w:val="1"/>
          <w:numId w:val="7"/>
        </w:numPr>
        <w:tabs>
          <w:tab w:pos="2863" w:val="left" w:leader="none"/>
        </w:tabs>
        <w:spacing w:line="360" w:lineRule="auto" w:before="73" w:after="0"/>
        <w:ind w:left="2332" w:right="567" w:firstLine="0"/>
        <w:jc w:val="both"/>
        <w:rPr>
          <w:u w:val="single"/>
        </w:rPr>
      </w:pPr>
      <w:bookmarkStart w:name="1.4 Особенности кодирования заболевания " w:id="13"/>
      <w:bookmarkEnd w:id="13"/>
      <w:r>
        <w:rPr>
          <w:b w:val="0"/>
        </w:rPr>
      </w:r>
      <w:bookmarkStart w:name="_bookmark6" w:id="14"/>
      <w:bookmarkEnd w:id="14"/>
      <w:r>
        <w:rPr>
          <w:u w:val="single"/>
        </w:rPr>
        <w:t>О</w:t>
      </w:r>
      <w:r>
        <w:rPr>
          <w:u w:val="single"/>
        </w:rPr>
        <w:t>собенности кодирования заболевания или состояния (группы</w:t>
      </w:r>
      <w:r>
        <w:rPr/>
        <w:t> </w:t>
      </w:r>
      <w:r>
        <w:rPr>
          <w:u w:val="thick"/>
        </w:rPr>
        <w:t>заболеваний или состояний) по Международной статистической</w:t>
      </w:r>
      <w:r>
        <w:rPr/>
        <w:t> </w:t>
      </w:r>
      <w:r>
        <w:rPr>
          <w:u w:val="thick"/>
        </w:rPr>
        <w:t>классификации болезней и проблем, связанных со здоровьем</w:t>
      </w:r>
    </w:p>
    <w:p>
      <w:pPr>
        <w:pStyle w:val="BodyText"/>
        <w:spacing w:line="360" w:lineRule="auto" w:before="2"/>
        <w:ind w:left="1969" w:right="5914" w:hanging="708"/>
        <w:jc w:val="both"/>
      </w:pPr>
      <w:r>
        <w:rPr/>
        <w:t>E78.0 Чистая гиперхолестеринемия Семейная</w:t>
      </w:r>
      <w:r>
        <w:rPr>
          <w:spacing w:val="-2"/>
        </w:rPr>
        <w:t> </w:t>
      </w:r>
      <w:r>
        <w:rPr>
          <w:spacing w:val="-2"/>
        </w:rPr>
        <w:t>гиперхолестеринемия</w:t>
      </w:r>
    </w:p>
    <w:p>
      <w:pPr>
        <w:pStyle w:val="BodyText"/>
        <w:spacing w:line="360" w:lineRule="auto"/>
        <w:ind w:left="1969" w:right="4538"/>
      </w:pPr>
      <w:r>
        <w:rPr/>
        <w:t>Гиперлипопротеидемия</w:t>
      </w:r>
      <w:r>
        <w:rPr>
          <w:spacing w:val="-15"/>
        </w:rPr>
        <w:t> </w:t>
      </w:r>
      <w:r>
        <w:rPr/>
        <w:t>Фредриксона,</w:t>
      </w:r>
      <w:r>
        <w:rPr>
          <w:spacing w:val="-12"/>
        </w:rPr>
        <w:t> </w:t>
      </w:r>
      <w:r>
        <w:rPr/>
        <w:t>тип</w:t>
      </w:r>
      <w:r>
        <w:rPr>
          <w:spacing w:val="-11"/>
        </w:rPr>
        <w:t> </w:t>
      </w:r>
      <w:r>
        <w:rPr/>
        <w:t>IIa </w:t>
      </w:r>
      <w:r>
        <w:rPr>
          <w:spacing w:val="-2"/>
        </w:rPr>
        <w:t>Гипер-бета-липопротеидемия </w:t>
      </w:r>
      <w:r>
        <w:rPr/>
        <w:t>Гиперлипидемия, группа A</w:t>
      </w:r>
    </w:p>
    <w:p>
      <w:pPr>
        <w:pStyle w:val="BodyText"/>
        <w:spacing w:line="360" w:lineRule="auto"/>
        <w:ind w:left="1261" w:right="2822" w:firstLine="708"/>
      </w:pPr>
      <w:r>
        <w:rPr/>
        <w:t>Гиперлипопротеидемия</w:t>
      </w:r>
      <w:r>
        <w:rPr>
          <w:spacing w:val="-11"/>
        </w:rPr>
        <w:t> </w:t>
      </w:r>
      <w:r>
        <w:rPr/>
        <w:t>с</w:t>
      </w:r>
      <w:r>
        <w:rPr>
          <w:spacing w:val="-9"/>
        </w:rPr>
        <w:t> </w:t>
      </w:r>
      <w:r>
        <w:rPr/>
        <w:t>липопротеидами</w:t>
      </w:r>
      <w:r>
        <w:rPr>
          <w:spacing w:val="-8"/>
        </w:rPr>
        <w:t> </w:t>
      </w:r>
      <w:r>
        <w:rPr/>
        <w:t>низкой</w:t>
      </w:r>
      <w:r>
        <w:rPr>
          <w:spacing w:val="-8"/>
        </w:rPr>
        <w:t> </w:t>
      </w:r>
      <w:r>
        <w:rPr/>
        <w:t>плотности E78.1 Чистая гиперглицеридемия</w:t>
      </w:r>
    </w:p>
    <w:p>
      <w:pPr>
        <w:pStyle w:val="BodyText"/>
        <w:spacing w:line="360" w:lineRule="auto"/>
        <w:ind w:left="1969" w:right="3651"/>
      </w:pPr>
      <w:r>
        <w:rPr/>
        <w:t>Эндогенная гиперглицеридемия Гиперлипопротеидемия</w:t>
      </w:r>
      <w:r>
        <w:rPr>
          <w:spacing w:val="-14"/>
        </w:rPr>
        <w:t> </w:t>
      </w:r>
      <w:r>
        <w:rPr/>
        <w:t>Фредриксона,</w:t>
      </w:r>
      <w:r>
        <w:rPr>
          <w:spacing w:val="-12"/>
        </w:rPr>
        <w:t> </w:t>
      </w:r>
      <w:r>
        <w:rPr/>
        <w:t>тип</w:t>
      </w:r>
      <w:r>
        <w:rPr>
          <w:spacing w:val="-11"/>
        </w:rPr>
        <w:t> </w:t>
      </w:r>
      <w:r>
        <w:rPr/>
        <w:t>IV Гиперлипидемия, группа B</w:t>
      </w:r>
    </w:p>
    <w:p>
      <w:pPr>
        <w:pStyle w:val="BodyText"/>
        <w:ind w:left="1969"/>
      </w:pPr>
      <w:r>
        <w:rPr>
          <w:spacing w:val="-2"/>
        </w:rPr>
        <w:t>Гипер-пре-бета-липопротеидемия</w:t>
      </w:r>
    </w:p>
    <w:p>
      <w:pPr>
        <w:pStyle w:val="BodyText"/>
        <w:spacing w:line="360" w:lineRule="auto" w:before="137"/>
        <w:ind w:left="1261" w:right="2081" w:firstLine="708"/>
      </w:pPr>
      <w:r>
        <w:rPr/>
        <w:t>Гиперлипопротеидемия</w:t>
      </w:r>
      <w:r>
        <w:rPr>
          <w:spacing w:val="-9"/>
        </w:rPr>
        <w:t> </w:t>
      </w:r>
      <w:r>
        <w:rPr/>
        <w:t>с</w:t>
      </w:r>
      <w:r>
        <w:rPr>
          <w:spacing w:val="-7"/>
        </w:rPr>
        <w:t> </w:t>
      </w:r>
      <w:r>
        <w:rPr/>
        <w:t>липопротеидами</w:t>
      </w:r>
      <w:r>
        <w:rPr>
          <w:spacing w:val="-5"/>
        </w:rPr>
        <w:t> </w:t>
      </w:r>
      <w:r>
        <w:rPr/>
        <w:t>очень</w:t>
      </w:r>
      <w:r>
        <w:rPr>
          <w:spacing w:val="-6"/>
        </w:rPr>
        <w:t> </w:t>
      </w:r>
      <w:r>
        <w:rPr/>
        <w:t>низкой</w:t>
      </w:r>
      <w:r>
        <w:rPr>
          <w:spacing w:val="-8"/>
        </w:rPr>
        <w:t> </w:t>
      </w:r>
      <w:r>
        <w:rPr/>
        <w:t>плотности E78.2 Смешанная гиперлипидемия</w:t>
      </w:r>
    </w:p>
    <w:p>
      <w:pPr>
        <w:pStyle w:val="BodyText"/>
        <w:spacing w:line="360" w:lineRule="auto"/>
        <w:ind w:left="1969" w:right="2822"/>
      </w:pPr>
      <w:r>
        <w:rPr/>
        <w:t>Обширная или флотирующая бета-липопротеидемия Гиперлипопортеинемия Фредриксона, типы IIb или III Гипербеталипопротеидемия</w:t>
      </w:r>
      <w:r>
        <w:rPr>
          <w:spacing w:val="-15"/>
        </w:rPr>
        <w:t> </w:t>
      </w:r>
      <w:r>
        <w:rPr/>
        <w:t>с</w:t>
      </w:r>
      <w:r>
        <w:rPr>
          <w:spacing w:val="-15"/>
        </w:rPr>
        <w:t> </w:t>
      </w:r>
      <w:r>
        <w:rPr/>
        <w:t>пре-бета-липопротеидемией Гиперхолестеринемия с эндогенной гиперглицеридемией Гиперлипидемия, группа C</w:t>
      </w:r>
    </w:p>
    <w:p>
      <w:pPr>
        <w:pStyle w:val="BodyText"/>
        <w:spacing w:line="360" w:lineRule="auto" w:before="1"/>
        <w:ind w:left="1969" w:right="5597"/>
      </w:pPr>
      <w:r>
        <w:rPr/>
        <w:t>Тубоэруптивная</w:t>
      </w:r>
      <w:r>
        <w:rPr>
          <w:spacing w:val="-15"/>
        </w:rPr>
        <w:t> </w:t>
      </w:r>
      <w:r>
        <w:rPr/>
        <w:t>ксантома Ксантома туберозная</w:t>
      </w:r>
    </w:p>
    <w:p>
      <w:pPr>
        <w:pStyle w:val="BodyText"/>
        <w:ind w:left="1261"/>
      </w:pPr>
      <w:r>
        <w:rPr/>
        <w:t>E78.3</w:t>
      </w:r>
      <w:r>
        <w:rPr>
          <w:spacing w:val="-1"/>
        </w:rPr>
        <w:t> </w:t>
      </w:r>
      <w:r>
        <w:rPr>
          <w:spacing w:val="-2"/>
        </w:rPr>
        <w:t>Гиперхиломикронемия</w:t>
      </w:r>
    </w:p>
    <w:p>
      <w:pPr>
        <w:pStyle w:val="BodyText"/>
        <w:spacing w:line="360" w:lineRule="auto" w:before="137"/>
        <w:ind w:left="1969" w:right="2822"/>
      </w:pPr>
      <w:r>
        <w:rPr/>
        <w:t>Гиперлипопротеидемия</w:t>
      </w:r>
      <w:r>
        <w:rPr>
          <w:spacing w:val="-9"/>
        </w:rPr>
        <w:t> </w:t>
      </w:r>
      <w:r>
        <w:rPr/>
        <w:t>Фредриксона,</w:t>
      </w:r>
      <w:r>
        <w:rPr>
          <w:spacing w:val="-6"/>
        </w:rPr>
        <w:t> </w:t>
      </w:r>
      <w:r>
        <w:rPr/>
        <w:t>типы</w:t>
      </w:r>
      <w:r>
        <w:rPr>
          <w:spacing w:val="-7"/>
        </w:rPr>
        <w:t> </w:t>
      </w:r>
      <w:r>
        <w:rPr/>
        <w:t>I</w:t>
      </w:r>
      <w:r>
        <w:rPr>
          <w:spacing w:val="-10"/>
        </w:rPr>
        <w:t> </w:t>
      </w:r>
      <w:r>
        <w:rPr/>
        <w:t>или</w:t>
      </w:r>
      <w:r>
        <w:rPr>
          <w:spacing w:val="-5"/>
        </w:rPr>
        <w:t> </w:t>
      </w:r>
      <w:r>
        <w:rPr/>
        <w:t>V Гиперлипидемия, группа D</w:t>
      </w:r>
    </w:p>
    <w:p>
      <w:pPr>
        <w:pStyle w:val="BodyText"/>
        <w:spacing w:line="360" w:lineRule="auto"/>
        <w:ind w:left="1261" w:right="5597" w:firstLine="708"/>
      </w:pPr>
      <w:r>
        <w:rPr/>
        <w:t>Смешанная</w:t>
      </w:r>
      <w:r>
        <w:rPr>
          <w:spacing w:val="-15"/>
        </w:rPr>
        <w:t> </w:t>
      </w:r>
      <w:r>
        <w:rPr/>
        <w:t>гиперглицеридемия E78.4 Другие гиперлипидемии</w:t>
      </w:r>
    </w:p>
    <w:p>
      <w:pPr>
        <w:pStyle w:val="BodyText"/>
        <w:ind w:left="1969"/>
      </w:pPr>
      <w:r>
        <w:rPr/>
        <w:t>Семейная</w:t>
      </w:r>
      <w:r>
        <w:rPr>
          <w:spacing w:val="-2"/>
        </w:rPr>
        <w:t> </w:t>
      </w:r>
      <w:r>
        <w:rPr/>
        <w:t>комбинированная</w:t>
      </w:r>
      <w:r>
        <w:rPr>
          <w:spacing w:val="-2"/>
        </w:rPr>
        <w:t> гиперлипидемия</w:t>
      </w:r>
    </w:p>
    <w:p>
      <w:pPr>
        <w:pStyle w:val="BodyText"/>
        <w:ind w:left="0"/>
        <w:rPr>
          <w:sz w:val="33"/>
        </w:rPr>
      </w:pPr>
    </w:p>
    <w:p>
      <w:pPr>
        <w:pStyle w:val="Heading3"/>
        <w:numPr>
          <w:ilvl w:val="0"/>
          <w:numId w:val="8"/>
        </w:numPr>
        <w:tabs>
          <w:tab w:pos="2652" w:val="left" w:leader="none"/>
        </w:tabs>
        <w:spacing w:line="360" w:lineRule="auto" w:before="0" w:after="0"/>
        <w:ind w:left="2332" w:right="567" w:firstLine="0"/>
        <w:jc w:val="both"/>
      </w:pPr>
      <w:bookmarkStart w:name="1. .5 Классификация заболевания или сост" w:id="15"/>
      <w:bookmarkEnd w:id="15"/>
      <w:r>
        <w:rPr>
          <w:b w:val="0"/>
        </w:rPr>
      </w:r>
      <w:bookmarkStart w:name="_bookmark7" w:id="16"/>
      <w:bookmarkEnd w:id="16"/>
      <w:r>
        <w:rPr>
          <w:u w:val="single"/>
        </w:rPr>
        <w:t>.</w:t>
      </w:r>
      <w:r>
        <w:rPr>
          <w:u w:val="single"/>
        </w:rPr>
        <w:t>5 Классификация заболевания или состояния (группы заболеваний,</w:t>
      </w:r>
      <w:r>
        <w:rPr/>
        <w:t> </w:t>
      </w:r>
      <w:r>
        <w:rPr>
          <w:spacing w:val="-2"/>
          <w:u w:val="thick"/>
        </w:rPr>
        <w:t>состояний)</w:t>
      </w:r>
    </w:p>
    <w:p>
      <w:pPr>
        <w:pStyle w:val="BodyText"/>
        <w:spacing w:line="360" w:lineRule="auto"/>
        <w:ind w:left="1261" w:right="567" w:firstLine="708"/>
        <w:jc w:val="both"/>
      </w:pPr>
      <w:r>
        <w:rPr/>
        <w:t>ДЛП классифицируют в зависимости от того, уровень каких именно липидов и липопротеидов выходит за пределы нормы. Крайне важно дифференцировать первичные</w:t>
      </w:r>
      <w:r>
        <w:rPr>
          <w:spacing w:val="80"/>
        </w:rPr>
        <w:t> </w:t>
      </w:r>
      <w:r>
        <w:rPr/>
        <w:t>и</w:t>
      </w:r>
      <w:r>
        <w:rPr>
          <w:spacing w:val="37"/>
        </w:rPr>
        <w:t> </w:t>
      </w:r>
      <w:r>
        <w:rPr/>
        <w:t>вторичные</w:t>
      </w:r>
      <w:r>
        <w:rPr>
          <w:spacing w:val="37"/>
        </w:rPr>
        <w:t> </w:t>
      </w:r>
      <w:r>
        <w:rPr/>
        <w:t>дислипидемии,</w:t>
      </w:r>
      <w:r>
        <w:rPr>
          <w:spacing w:val="38"/>
        </w:rPr>
        <w:t> </w:t>
      </w:r>
      <w:r>
        <w:rPr/>
        <w:t>так</w:t>
      </w:r>
      <w:r>
        <w:rPr>
          <w:spacing w:val="39"/>
        </w:rPr>
        <w:t> </w:t>
      </w:r>
      <w:r>
        <w:rPr/>
        <w:t>как</w:t>
      </w:r>
      <w:r>
        <w:rPr>
          <w:spacing w:val="39"/>
        </w:rPr>
        <w:t> </w:t>
      </w:r>
      <w:r>
        <w:rPr/>
        <w:t>в</w:t>
      </w:r>
      <w:r>
        <w:rPr>
          <w:spacing w:val="38"/>
        </w:rPr>
        <w:t> </w:t>
      </w:r>
      <w:r>
        <w:rPr/>
        <w:t>этих</w:t>
      </w:r>
      <w:r>
        <w:rPr>
          <w:spacing w:val="38"/>
        </w:rPr>
        <w:t> </w:t>
      </w:r>
      <w:r>
        <w:rPr/>
        <w:t>случаях</w:t>
      </w:r>
      <w:r>
        <w:rPr>
          <w:spacing w:val="38"/>
        </w:rPr>
        <w:t> </w:t>
      </w:r>
      <w:r>
        <w:rPr/>
        <w:t>принципиально</w:t>
      </w:r>
      <w:r>
        <w:rPr>
          <w:spacing w:val="36"/>
        </w:rPr>
        <w:t> </w:t>
      </w:r>
      <w:r>
        <w:rPr/>
        <w:t>отличается</w:t>
      </w:r>
      <w:r>
        <w:rPr>
          <w:spacing w:val="39"/>
        </w:rPr>
        <w:t> </w:t>
      </w:r>
      <w:r>
        <w:rPr>
          <w:spacing w:val="-2"/>
        </w:rPr>
        <w:t>тактика</w:t>
      </w:r>
    </w:p>
    <w:p>
      <w:pPr>
        <w:spacing w:after="0" w:line="360" w:lineRule="auto"/>
        <w:jc w:val="both"/>
        <w:sectPr>
          <w:pgSz w:w="11910" w:h="16840"/>
          <w:pgMar w:header="0" w:footer="710" w:top="1040" w:bottom="900" w:left="440" w:right="280"/>
        </w:sectPr>
      </w:pPr>
    </w:p>
    <w:p>
      <w:pPr>
        <w:pStyle w:val="BodyText"/>
        <w:spacing w:line="360" w:lineRule="auto" w:before="73"/>
        <w:ind w:left="1261" w:right="566"/>
        <w:jc w:val="both"/>
      </w:pPr>
      <w:r>
        <w:rPr/>
        <w:t>лечения. В настоящее время ВОЗ принята классификация Fredrickson (1976), согласно которой выделяют несколько ее фенотипов (Таблица 1, Приложение А3). Следует подчеркнуть, что данная классификация не устанавливает диагноз, а лишь фиксирует тип ДЛП, вне зависимости от того, является ли она приобретенной или наследственной. Класификация также позволяет определить риск развития атеросклероза в зависимости от типа</w:t>
      </w:r>
      <w:r>
        <w:rPr>
          <w:spacing w:val="7"/>
        </w:rPr>
        <w:t> </w:t>
      </w:r>
      <w:r>
        <w:rPr/>
        <w:t>ДЛП.</w:t>
      </w:r>
      <w:r>
        <w:rPr>
          <w:spacing w:val="8"/>
        </w:rPr>
        <w:t> </w:t>
      </w:r>
      <w:r>
        <w:rPr/>
        <w:t>Так,</w:t>
      </w:r>
      <w:r>
        <w:rPr>
          <w:spacing w:val="11"/>
        </w:rPr>
        <w:t> </w:t>
      </w:r>
      <w:r>
        <w:rPr/>
        <w:t>IIа,</w:t>
      </w:r>
      <w:r>
        <w:rPr>
          <w:spacing w:val="11"/>
        </w:rPr>
        <w:t> </w:t>
      </w:r>
      <w:r>
        <w:rPr/>
        <w:t>IIb</w:t>
      </w:r>
      <w:r>
        <w:rPr>
          <w:spacing w:val="14"/>
        </w:rPr>
        <w:t> </w:t>
      </w:r>
      <w:r>
        <w:rPr/>
        <w:t>и</w:t>
      </w:r>
      <w:r>
        <w:rPr>
          <w:spacing w:val="9"/>
        </w:rPr>
        <w:t> </w:t>
      </w:r>
      <w:r>
        <w:rPr/>
        <w:t>III</w:t>
      </w:r>
      <w:r>
        <w:rPr>
          <w:spacing w:val="7"/>
        </w:rPr>
        <w:t> </w:t>
      </w:r>
      <w:r>
        <w:rPr/>
        <w:t>типы</w:t>
      </w:r>
      <w:r>
        <w:rPr>
          <w:spacing w:val="8"/>
        </w:rPr>
        <w:t> </w:t>
      </w:r>
      <w:r>
        <w:rPr/>
        <w:t>являются</w:t>
      </w:r>
      <w:r>
        <w:rPr>
          <w:spacing w:val="11"/>
        </w:rPr>
        <w:t> </w:t>
      </w:r>
      <w:r>
        <w:rPr/>
        <w:t>атерогенными,</w:t>
      </w:r>
      <w:r>
        <w:rPr>
          <w:spacing w:val="9"/>
        </w:rPr>
        <w:t> </w:t>
      </w:r>
      <w:r>
        <w:rPr/>
        <w:t>в</w:t>
      </w:r>
      <w:r>
        <w:rPr>
          <w:spacing w:val="8"/>
        </w:rPr>
        <w:t> </w:t>
      </w:r>
      <w:r>
        <w:rPr/>
        <w:t>то</w:t>
      </w:r>
      <w:r>
        <w:rPr>
          <w:spacing w:val="8"/>
        </w:rPr>
        <w:t> </w:t>
      </w:r>
      <w:r>
        <w:rPr/>
        <w:t>время</w:t>
      </w:r>
      <w:r>
        <w:rPr>
          <w:spacing w:val="11"/>
        </w:rPr>
        <w:t> </w:t>
      </w:r>
      <w:r>
        <w:rPr/>
        <w:t>как</w:t>
      </w:r>
      <w:r>
        <w:rPr>
          <w:spacing w:val="9"/>
        </w:rPr>
        <w:t> </w:t>
      </w:r>
      <w:r>
        <w:rPr/>
        <w:t>I,</w:t>
      </w:r>
      <w:r>
        <w:rPr>
          <w:spacing w:val="14"/>
        </w:rPr>
        <w:t> </w:t>
      </w:r>
      <w:r>
        <w:rPr/>
        <w:t>IV</w:t>
      </w:r>
      <w:r>
        <w:rPr>
          <w:spacing w:val="10"/>
        </w:rPr>
        <w:t> </w:t>
      </w:r>
      <w:r>
        <w:rPr/>
        <w:t>и</w:t>
      </w:r>
      <w:r>
        <w:rPr>
          <w:spacing w:val="9"/>
        </w:rPr>
        <w:t> </w:t>
      </w:r>
      <w:r>
        <w:rPr/>
        <w:t>V</w:t>
      </w:r>
      <w:r>
        <w:rPr>
          <w:spacing w:val="10"/>
        </w:rPr>
        <w:t> </w:t>
      </w:r>
      <w:r>
        <w:rPr/>
        <w:t>типы</w:t>
      </w:r>
      <w:r>
        <w:rPr>
          <w:spacing w:val="9"/>
        </w:rPr>
        <w:t> </w:t>
      </w:r>
      <w:r>
        <w:rPr>
          <w:spacing w:val="-10"/>
        </w:rPr>
        <w:t>-</w:t>
      </w:r>
    </w:p>
    <w:p>
      <w:pPr>
        <w:pStyle w:val="BodyText"/>
        <w:spacing w:line="360" w:lineRule="auto"/>
        <w:ind w:left="1261" w:right="566"/>
        <w:jc w:val="both"/>
      </w:pPr>
      <w:r>
        <w:rPr/>
        <w:t>«относительно» атерогенными. Классификация наследственных (семейных)</w:t>
      </w:r>
      <w:r>
        <w:rPr>
          <w:spacing w:val="40"/>
        </w:rPr>
        <w:t> </w:t>
      </w:r>
      <w:r>
        <w:rPr/>
        <w:t>дислипидемий приведена в таблице 2, приложение А3.</w:t>
      </w:r>
    </w:p>
    <w:p>
      <w:pPr>
        <w:pStyle w:val="BodyText"/>
        <w:spacing w:before="10"/>
        <w:ind w:left="0"/>
        <w:rPr>
          <w:sz w:val="20"/>
        </w:rPr>
      </w:pPr>
    </w:p>
    <w:p>
      <w:pPr>
        <w:pStyle w:val="Heading3"/>
        <w:spacing w:before="1"/>
        <w:ind w:left="2332"/>
      </w:pPr>
      <w:bookmarkStart w:name="Принципы формулировки диагноза" w:id="17"/>
      <w:bookmarkEnd w:id="17"/>
      <w:r>
        <w:rPr>
          <w:b w:val="0"/>
        </w:rPr>
      </w:r>
      <w:bookmarkStart w:name="_bookmark8" w:id="18"/>
      <w:bookmarkEnd w:id="18"/>
      <w:r>
        <w:rPr>
          <w:b w:val="0"/>
        </w:rPr>
      </w:r>
      <w:r>
        <w:rPr>
          <w:u w:val="thick"/>
        </w:rPr>
        <w:t>Принципы</w:t>
      </w:r>
      <w:r>
        <w:rPr>
          <w:spacing w:val="-6"/>
          <w:u w:val="thick"/>
        </w:rPr>
        <w:t> </w:t>
      </w:r>
      <w:r>
        <w:rPr>
          <w:u w:val="thick"/>
        </w:rPr>
        <w:t>формулировки</w:t>
      </w:r>
      <w:r>
        <w:rPr>
          <w:spacing w:val="-5"/>
          <w:u w:val="thick"/>
        </w:rPr>
        <w:t> </w:t>
      </w:r>
      <w:r>
        <w:rPr>
          <w:spacing w:val="-2"/>
          <w:u w:val="thick"/>
        </w:rPr>
        <w:t>диагноза</w:t>
      </w:r>
    </w:p>
    <w:p>
      <w:pPr>
        <w:pStyle w:val="Heading4"/>
        <w:spacing w:before="139"/>
      </w:pPr>
      <w:r>
        <w:rPr>
          <w:u w:val="thick"/>
        </w:rPr>
        <w:t>Примеры</w:t>
      </w:r>
      <w:r>
        <w:rPr>
          <w:spacing w:val="-2"/>
          <w:u w:val="thick"/>
        </w:rPr>
        <w:t> </w:t>
      </w:r>
      <w:r>
        <w:rPr>
          <w:u w:val="thick"/>
        </w:rPr>
        <w:t>формулировки</w:t>
      </w:r>
      <w:r>
        <w:rPr>
          <w:spacing w:val="-1"/>
          <w:u w:val="thick"/>
        </w:rPr>
        <w:t> </w:t>
      </w:r>
      <w:r>
        <w:rPr>
          <w:spacing w:val="-2"/>
          <w:u w:val="thick"/>
        </w:rPr>
        <w:t>диагноза</w:t>
      </w:r>
    </w:p>
    <w:p>
      <w:pPr>
        <w:spacing w:line="360" w:lineRule="auto" w:before="137"/>
        <w:ind w:left="1261" w:right="0" w:firstLine="0"/>
        <w:jc w:val="left"/>
        <w:rPr>
          <w:i/>
          <w:sz w:val="24"/>
        </w:rPr>
      </w:pPr>
      <w:r>
        <w:rPr>
          <w:i/>
          <w:sz w:val="24"/>
        </w:rPr>
        <w:t>Гиперлипидемия</w:t>
      </w:r>
      <w:r>
        <w:rPr>
          <w:i/>
          <w:spacing w:val="-5"/>
          <w:sz w:val="24"/>
        </w:rPr>
        <w:t> </w:t>
      </w:r>
      <w:r>
        <w:rPr>
          <w:i/>
          <w:sz w:val="24"/>
        </w:rPr>
        <w:t>(Гиперлипопротеидемия</w:t>
      </w:r>
      <w:r>
        <w:rPr>
          <w:i/>
          <w:spacing w:val="-5"/>
          <w:sz w:val="24"/>
        </w:rPr>
        <w:t> </w:t>
      </w:r>
      <w:r>
        <w:rPr>
          <w:i/>
          <w:sz w:val="24"/>
        </w:rPr>
        <w:t>-</w:t>
      </w:r>
      <w:r>
        <w:rPr>
          <w:i/>
          <w:spacing w:val="-7"/>
          <w:sz w:val="24"/>
        </w:rPr>
        <w:t> </w:t>
      </w:r>
      <w:r>
        <w:rPr>
          <w:i/>
          <w:sz w:val="24"/>
        </w:rPr>
        <w:t>ГЛП)</w:t>
      </w:r>
      <w:r>
        <w:rPr>
          <w:i/>
          <w:spacing w:val="-7"/>
          <w:sz w:val="24"/>
        </w:rPr>
        <w:t> </w:t>
      </w:r>
      <w:r>
        <w:rPr>
          <w:i/>
          <w:sz w:val="24"/>
        </w:rPr>
        <w:t>IIa</w:t>
      </w:r>
      <w:r>
        <w:rPr>
          <w:i/>
          <w:spacing w:val="-6"/>
          <w:sz w:val="24"/>
        </w:rPr>
        <w:t> </w:t>
      </w:r>
      <w:r>
        <w:rPr>
          <w:i/>
          <w:sz w:val="24"/>
        </w:rPr>
        <w:t>типа.</w:t>
      </w:r>
      <w:r>
        <w:rPr>
          <w:i/>
          <w:spacing w:val="-6"/>
          <w:sz w:val="24"/>
        </w:rPr>
        <w:t> </w:t>
      </w:r>
      <w:r>
        <w:rPr>
          <w:i/>
          <w:sz w:val="24"/>
        </w:rPr>
        <w:t>Гиперлипопротеидемия(а). Смешанная гиперлипидемия.</w:t>
      </w:r>
    </w:p>
    <w:p>
      <w:pPr>
        <w:pStyle w:val="BodyText"/>
        <w:ind w:left="0"/>
        <w:rPr>
          <w:i/>
          <w:sz w:val="26"/>
        </w:rPr>
      </w:pPr>
    </w:p>
    <w:p>
      <w:pPr>
        <w:pStyle w:val="BodyText"/>
        <w:spacing w:before="11"/>
        <w:ind w:left="0"/>
        <w:rPr>
          <w:i/>
          <w:sz w:val="30"/>
        </w:rPr>
      </w:pPr>
    </w:p>
    <w:p>
      <w:pPr>
        <w:pStyle w:val="Heading3"/>
        <w:spacing w:line="360" w:lineRule="auto"/>
        <w:ind w:left="2332" w:right="566"/>
        <w:jc w:val="both"/>
      </w:pPr>
      <w:bookmarkStart w:name="1.6 Клиническая картина заболевания или " w:id="19"/>
      <w:bookmarkEnd w:id="19"/>
      <w:r>
        <w:rPr>
          <w:b w:val="0"/>
        </w:rPr>
      </w:r>
      <w:bookmarkStart w:name="_bookmark9" w:id="20"/>
      <w:bookmarkEnd w:id="20"/>
      <w:r>
        <w:rPr>
          <w:b w:val="0"/>
        </w:rPr>
      </w:r>
      <w:r>
        <w:rPr>
          <w:u w:val="thick"/>
        </w:rPr>
        <w:t>1.6 Клиническая картина заболевания или состояния (группы</w:t>
      </w:r>
      <w:r>
        <w:rPr>
          <w:spacing w:val="80"/>
        </w:rPr>
        <w:t> </w:t>
      </w:r>
      <w:r>
        <w:rPr>
          <w:u w:val="thick"/>
        </w:rPr>
        <w:t>заболеваний, состояний)</w:t>
      </w:r>
    </w:p>
    <w:p>
      <w:pPr>
        <w:pStyle w:val="BodyText"/>
        <w:spacing w:line="360" w:lineRule="auto"/>
        <w:ind w:left="1261" w:right="567" w:firstLine="708"/>
        <w:jc w:val="both"/>
      </w:pPr>
      <w:r>
        <w:rPr/>
        <w:t>К клиническим проявлениям заболевания приводят прогрессия атеросклеротического процесса, вызванного ДЛП. В зависимости от преимущественно пораженного сосудистого бассейна комплекс симптомов и синдромов широко варьирует. Основным осложнением атеросклероза коронарных артерий является ИБС, которая клинически проявляется стенокардией, ИМ, с частым исходом в хроническую сердечную недостаточность. Поражение магистральных артерий головного мозга проявляется симптомами его хронической ишемии с последующим развитием атеросклеротической энцефалопатии и/или инсульта. Атеросклероз артерий нижних конечностей сопровождается клинической картиной перемежающей хромоты. При отсутствии соответствующего лечения заболевание прогрессирует и может закончиться развитием гангрены нижних конечностей.</w:t>
      </w:r>
    </w:p>
    <w:p>
      <w:pPr>
        <w:pStyle w:val="Heading1"/>
        <w:numPr>
          <w:ilvl w:val="0"/>
          <w:numId w:val="7"/>
        </w:numPr>
        <w:tabs>
          <w:tab w:pos="1804" w:val="left" w:leader="none"/>
        </w:tabs>
        <w:spacing w:line="360" w:lineRule="auto" w:before="0" w:after="0"/>
        <w:ind w:left="1338" w:right="645" w:firstLine="184"/>
        <w:jc w:val="both"/>
      </w:pPr>
      <w:bookmarkStart w:name="2. Диагностика заболевания или состояния" w:id="21"/>
      <w:bookmarkEnd w:id="21"/>
      <w:r>
        <w:rPr>
          <w:b w:val="0"/>
        </w:rPr>
      </w:r>
      <w:bookmarkStart w:name="_bookmark10" w:id="22"/>
      <w:bookmarkEnd w:id="22"/>
      <w:r>
        <w:rPr/>
        <w:t>Д</w:t>
      </w:r>
      <w:r>
        <w:rPr/>
        <w:t>иагностика заболевания или состояния (группы заболеваний или состояний),</w:t>
      </w:r>
      <w:r>
        <w:rPr>
          <w:spacing w:val="-6"/>
        </w:rPr>
        <w:t> </w:t>
      </w:r>
      <w:r>
        <w:rPr/>
        <w:t>медицинские</w:t>
      </w:r>
      <w:r>
        <w:rPr>
          <w:spacing w:val="-6"/>
        </w:rPr>
        <w:t> </w:t>
      </w:r>
      <w:r>
        <w:rPr/>
        <w:t>показания</w:t>
      </w:r>
      <w:r>
        <w:rPr>
          <w:spacing w:val="-6"/>
        </w:rPr>
        <w:t> </w:t>
      </w:r>
      <w:r>
        <w:rPr/>
        <w:t>и</w:t>
      </w:r>
      <w:r>
        <w:rPr>
          <w:spacing w:val="-7"/>
        </w:rPr>
        <w:t> </w:t>
      </w:r>
      <w:r>
        <w:rPr/>
        <w:t>противопоказания</w:t>
      </w:r>
      <w:r>
        <w:rPr>
          <w:spacing w:val="-6"/>
        </w:rPr>
        <w:t> </w:t>
      </w:r>
      <w:r>
        <w:rPr/>
        <w:t>к</w:t>
      </w:r>
      <w:r>
        <w:rPr>
          <w:spacing w:val="-6"/>
        </w:rPr>
        <w:t> </w:t>
      </w:r>
      <w:r>
        <w:rPr>
          <w:spacing w:val="-2"/>
        </w:rPr>
        <w:t>применению</w:t>
      </w:r>
    </w:p>
    <w:p>
      <w:pPr>
        <w:spacing w:before="1"/>
        <w:ind w:left="4580" w:right="0" w:firstLine="0"/>
        <w:jc w:val="both"/>
        <w:rPr>
          <w:b/>
          <w:sz w:val="28"/>
        </w:rPr>
      </w:pPr>
      <w:r>
        <w:rPr>
          <w:b/>
          <w:sz w:val="28"/>
        </w:rPr>
        <w:t>методов</w:t>
      </w:r>
      <w:r>
        <w:rPr>
          <w:b/>
          <w:spacing w:val="-4"/>
          <w:sz w:val="28"/>
        </w:rPr>
        <w:t> </w:t>
      </w:r>
      <w:r>
        <w:rPr>
          <w:b/>
          <w:spacing w:val="-2"/>
          <w:sz w:val="28"/>
        </w:rPr>
        <w:t>диагностики</w:t>
      </w:r>
    </w:p>
    <w:p>
      <w:pPr>
        <w:pStyle w:val="BodyText"/>
        <w:spacing w:before="9"/>
        <w:ind w:left="0"/>
        <w:rPr>
          <w:b/>
          <w:sz w:val="34"/>
        </w:rPr>
      </w:pPr>
    </w:p>
    <w:p>
      <w:pPr>
        <w:pStyle w:val="Heading3"/>
        <w:numPr>
          <w:ilvl w:val="1"/>
          <w:numId w:val="9"/>
        </w:numPr>
        <w:tabs>
          <w:tab w:pos="2752" w:val="left" w:leader="none"/>
        </w:tabs>
        <w:spacing w:line="240" w:lineRule="auto" w:before="0" w:after="0"/>
        <w:ind w:left="2752" w:right="0" w:hanging="420"/>
        <w:jc w:val="left"/>
      </w:pPr>
      <w:bookmarkStart w:name="2.1. 2. Критерии установления диагноза:" w:id="23"/>
      <w:bookmarkEnd w:id="23"/>
      <w:r>
        <w:rPr>
          <w:b w:val="0"/>
        </w:rPr>
      </w:r>
      <w:bookmarkStart w:name="_bookmark11" w:id="24"/>
      <w:bookmarkEnd w:id="24"/>
      <w:r>
        <w:rPr>
          <w:u w:val="thick"/>
        </w:rPr>
        <w:t>2</w:t>
      </w:r>
      <w:r>
        <w:rPr>
          <w:u w:val="thick"/>
        </w:rPr>
        <w:t>.</w:t>
      </w:r>
      <w:r>
        <w:rPr>
          <w:spacing w:val="-4"/>
          <w:u w:val="thick"/>
        </w:rPr>
        <w:t> </w:t>
      </w:r>
      <w:r>
        <w:rPr>
          <w:u w:val="thick"/>
        </w:rPr>
        <w:t>Критерии</w:t>
      </w:r>
      <w:r>
        <w:rPr>
          <w:spacing w:val="-3"/>
          <w:u w:val="thick"/>
        </w:rPr>
        <w:t> </w:t>
      </w:r>
      <w:r>
        <w:rPr>
          <w:u w:val="thick"/>
        </w:rPr>
        <w:t>установления</w:t>
      </w:r>
      <w:r>
        <w:rPr>
          <w:spacing w:val="-3"/>
          <w:u w:val="thick"/>
        </w:rPr>
        <w:t> </w:t>
      </w:r>
      <w:r>
        <w:rPr>
          <w:spacing w:val="-2"/>
          <w:u w:val="thick"/>
        </w:rPr>
        <w:t>диагноза:</w:t>
      </w:r>
    </w:p>
    <w:p>
      <w:pPr>
        <w:pStyle w:val="BodyText"/>
        <w:spacing w:line="360" w:lineRule="auto" w:before="137"/>
        <w:ind w:left="1261" w:firstLine="708"/>
      </w:pPr>
      <w:r>
        <w:rPr/>
        <w:t>Диагноз</w:t>
      </w:r>
      <w:r>
        <w:rPr>
          <w:spacing w:val="40"/>
        </w:rPr>
        <w:t> </w:t>
      </w:r>
      <w:r>
        <w:rPr/>
        <w:t>ДЛП</w:t>
      </w:r>
      <w:r>
        <w:rPr>
          <w:spacing w:val="40"/>
        </w:rPr>
        <w:t> </w:t>
      </w:r>
      <w:r>
        <w:rPr/>
        <w:t>на</w:t>
      </w:r>
      <w:r>
        <w:rPr>
          <w:spacing w:val="40"/>
        </w:rPr>
        <w:t> </w:t>
      </w:r>
      <w:r>
        <w:rPr/>
        <w:t>основании</w:t>
      </w:r>
      <w:r>
        <w:rPr>
          <w:spacing w:val="40"/>
        </w:rPr>
        <w:t> </w:t>
      </w:r>
      <w:r>
        <w:rPr/>
        <w:t>значения</w:t>
      </w:r>
      <w:r>
        <w:rPr>
          <w:spacing w:val="40"/>
        </w:rPr>
        <w:t> </w:t>
      </w:r>
      <w:r>
        <w:rPr/>
        <w:t>липидных</w:t>
      </w:r>
      <w:r>
        <w:rPr>
          <w:spacing w:val="40"/>
        </w:rPr>
        <w:t> </w:t>
      </w:r>
      <w:r>
        <w:rPr/>
        <w:t>параметров</w:t>
      </w:r>
      <w:r>
        <w:rPr>
          <w:spacing w:val="40"/>
        </w:rPr>
        <w:t> </w:t>
      </w:r>
      <w:r>
        <w:rPr/>
        <w:t>устанавливается</w:t>
      </w:r>
      <w:r>
        <w:rPr>
          <w:spacing w:val="40"/>
        </w:rPr>
        <w:t> </w:t>
      </w:r>
      <w:r>
        <w:rPr/>
        <w:t>в</w:t>
      </w:r>
      <w:r>
        <w:rPr>
          <w:spacing w:val="40"/>
        </w:rPr>
        <w:t> </w:t>
      </w:r>
      <w:r>
        <w:rPr/>
        <w:t>соответствии с пороговыми значениями, указанными в таблице 2, Приложение А3.</w:t>
      </w:r>
    </w:p>
    <w:p>
      <w:pPr>
        <w:pStyle w:val="BodyText"/>
        <w:ind w:left="1969"/>
      </w:pPr>
      <w:r>
        <w:rPr/>
        <w:t>Современный</w:t>
      </w:r>
      <w:r>
        <w:rPr>
          <w:spacing w:val="-3"/>
        </w:rPr>
        <w:t> </w:t>
      </w:r>
      <w:r>
        <w:rPr/>
        <w:t>алгоритм</w:t>
      </w:r>
      <w:r>
        <w:rPr>
          <w:spacing w:val="-3"/>
        </w:rPr>
        <w:t> </w:t>
      </w:r>
      <w:r>
        <w:rPr/>
        <w:t>обследования</w:t>
      </w:r>
      <w:r>
        <w:rPr>
          <w:spacing w:val="-2"/>
        </w:rPr>
        <w:t> </w:t>
      </w:r>
      <w:r>
        <w:rPr/>
        <w:t>состоит</w:t>
      </w:r>
      <w:r>
        <w:rPr>
          <w:spacing w:val="-1"/>
        </w:rPr>
        <w:t> </w:t>
      </w:r>
      <w:r>
        <w:rPr/>
        <w:t>из</w:t>
      </w:r>
      <w:r>
        <w:rPr>
          <w:spacing w:val="-1"/>
        </w:rPr>
        <w:t> </w:t>
      </w:r>
      <w:r>
        <w:rPr/>
        <w:t>следующих</w:t>
      </w:r>
      <w:r>
        <w:rPr>
          <w:spacing w:val="-2"/>
        </w:rPr>
        <w:t> </w:t>
      </w:r>
      <w:r>
        <w:rPr/>
        <w:t>основных</w:t>
      </w:r>
      <w:r>
        <w:rPr>
          <w:spacing w:val="-1"/>
        </w:rPr>
        <w:t> </w:t>
      </w:r>
      <w:r>
        <w:rPr>
          <w:spacing w:val="-2"/>
        </w:rPr>
        <w:t>этапов:</w:t>
      </w:r>
    </w:p>
    <w:p>
      <w:pPr>
        <w:spacing w:after="0"/>
        <w:sectPr>
          <w:pgSz w:w="11910" w:h="16840"/>
          <w:pgMar w:header="0" w:footer="710" w:top="1040" w:bottom="900" w:left="440" w:right="280"/>
        </w:sectPr>
      </w:pPr>
    </w:p>
    <w:p>
      <w:pPr>
        <w:pStyle w:val="ListParagraph"/>
        <w:numPr>
          <w:ilvl w:val="0"/>
          <w:numId w:val="10"/>
        </w:numPr>
        <w:tabs>
          <w:tab w:pos="1981" w:val="left" w:leader="none"/>
          <w:tab w:pos="1982" w:val="left" w:leader="none"/>
        </w:tabs>
        <w:spacing w:line="240" w:lineRule="auto" w:before="75" w:after="0"/>
        <w:ind w:left="1981" w:right="0" w:hanging="361"/>
        <w:jc w:val="left"/>
        <w:rPr>
          <w:sz w:val="24"/>
        </w:rPr>
      </w:pPr>
      <w:r>
        <w:rPr>
          <w:sz w:val="24"/>
        </w:rPr>
        <w:t>выявление</w:t>
      </w:r>
      <w:r>
        <w:rPr>
          <w:spacing w:val="-2"/>
          <w:sz w:val="24"/>
        </w:rPr>
        <w:t> </w:t>
      </w:r>
      <w:r>
        <w:rPr>
          <w:sz w:val="24"/>
        </w:rPr>
        <w:t>основных факторов</w:t>
      </w:r>
      <w:r>
        <w:rPr>
          <w:spacing w:val="-2"/>
          <w:sz w:val="24"/>
        </w:rPr>
        <w:t> </w:t>
      </w:r>
      <w:r>
        <w:rPr>
          <w:sz w:val="24"/>
        </w:rPr>
        <w:t>риска</w:t>
      </w:r>
      <w:r>
        <w:rPr>
          <w:spacing w:val="-1"/>
          <w:sz w:val="24"/>
        </w:rPr>
        <w:t> </w:t>
      </w:r>
      <w:r>
        <w:rPr>
          <w:sz w:val="24"/>
        </w:rPr>
        <w:t>(ФР)</w:t>
      </w:r>
      <w:r>
        <w:rPr>
          <w:spacing w:val="-1"/>
          <w:sz w:val="24"/>
        </w:rPr>
        <w:t> </w:t>
      </w:r>
      <w:r>
        <w:rPr>
          <w:sz w:val="24"/>
        </w:rPr>
        <w:t>(таблица</w:t>
      </w:r>
      <w:r>
        <w:rPr>
          <w:spacing w:val="-2"/>
          <w:sz w:val="24"/>
        </w:rPr>
        <w:t> </w:t>
      </w:r>
      <w:r>
        <w:rPr>
          <w:sz w:val="24"/>
        </w:rPr>
        <w:t>3, Приложение</w:t>
      </w:r>
      <w:r>
        <w:rPr>
          <w:spacing w:val="-1"/>
          <w:sz w:val="24"/>
        </w:rPr>
        <w:t> </w:t>
      </w:r>
      <w:r>
        <w:rPr>
          <w:spacing w:val="-5"/>
          <w:sz w:val="24"/>
        </w:rPr>
        <w:t>А3)</w:t>
      </w:r>
    </w:p>
    <w:p>
      <w:pPr>
        <w:pStyle w:val="ListParagraph"/>
        <w:numPr>
          <w:ilvl w:val="0"/>
          <w:numId w:val="10"/>
        </w:numPr>
        <w:tabs>
          <w:tab w:pos="1981" w:val="left" w:leader="none"/>
          <w:tab w:pos="1982" w:val="left" w:leader="none"/>
        </w:tabs>
        <w:spacing w:line="240" w:lineRule="auto" w:before="138" w:after="0"/>
        <w:ind w:left="1981" w:right="0" w:hanging="361"/>
        <w:jc w:val="left"/>
        <w:rPr>
          <w:sz w:val="24"/>
        </w:rPr>
      </w:pPr>
      <w:r>
        <w:rPr>
          <w:sz w:val="24"/>
        </w:rPr>
        <w:t>выявление</w:t>
      </w:r>
      <w:r>
        <w:rPr>
          <w:spacing w:val="-4"/>
          <w:sz w:val="24"/>
        </w:rPr>
        <w:t> </w:t>
      </w:r>
      <w:r>
        <w:rPr>
          <w:sz w:val="24"/>
        </w:rPr>
        <w:t>клинических</w:t>
      </w:r>
      <w:r>
        <w:rPr>
          <w:spacing w:val="-1"/>
          <w:sz w:val="24"/>
        </w:rPr>
        <w:t> </w:t>
      </w:r>
      <w:r>
        <w:rPr>
          <w:sz w:val="24"/>
        </w:rPr>
        <w:t>симптомов</w:t>
      </w:r>
      <w:r>
        <w:rPr>
          <w:spacing w:val="-1"/>
          <w:sz w:val="24"/>
        </w:rPr>
        <w:t> </w:t>
      </w:r>
      <w:r>
        <w:rPr>
          <w:sz w:val="24"/>
        </w:rPr>
        <w:t>атеросклероза</w:t>
      </w:r>
      <w:r>
        <w:rPr>
          <w:spacing w:val="-2"/>
          <w:sz w:val="24"/>
        </w:rPr>
        <w:t> </w:t>
      </w:r>
      <w:r>
        <w:rPr>
          <w:sz w:val="24"/>
        </w:rPr>
        <w:t>(данные</w:t>
      </w:r>
      <w:r>
        <w:rPr>
          <w:spacing w:val="-1"/>
          <w:sz w:val="24"/>
        </w:rPr>
        <w:t> </w:t>
      </w:r>
      <w:r>
        <w:rPr>
          <w:sz w:val="24"/>
        </w:rPr>
        <w:t>опроса</w:t>
      </w:r>
      <w:r>
        <w:rPr>
          <w:spacing w:val="-2"/>
          <w:sz w:val="24"/>
        </w:rPr>
        <w:t> </w:t>
      </w:r>
      <w:r>
        <w:rPr>
          <w:sz w:val="24"/>
        </w:rPr>
        <w:t>и</w:t>
      </w:r>
      <w:r>
        <w:rPr>
          <w:spacing w:val="1"/>
          <w:sz w:val="24"/>
        </w:rPr>
        <w:t> </w:t>
      </w:r>
      <w:r>
        <w:rPr>
          <w:spacing w:val="-2"/>
          <w:sz w:val="24"/>
        </w:rPr>
        <w:t>осмотра);</w:t>
      </w:r>
    </w:p>
    <w:p>
      <w:pPr>
        <w:pStyle w:val="ListParagraph"/>
        <w:numPr>
          <w:ilvl w:val="0"/>
          <w:numId w:val="10"/>
        </w:numPr>
        <w:tabs>
          <w:tab w:pos="1981" w:val="left" w:leader="none"/>
          <w:tab w:pos="1982" w:val="left" w:leader="none"/>
        </w:tabs>
        <w:spacing w:line="240" w:lineRule="auto" w:before="138" w:after="0"/>
        <w:ind w:left="1981" w:right="0" w:hanging="361"/>
        <w:jc w:val="left"/>
        <w:rPr>
          <w:sz w:val="24"/>
        </w:rPr>
      </w:pPr>
      <w:r>
        <w:rPr>
          <w:sz w:val="24"/>
        </w:rPr>
        <w:t>определение</w:t>
      </w:r>
      <w:r>
        <w:rPr>
          <w:spacing w:val="-2"/>
          <w:sz w:val="24"/>
        </w:rPr>
        <w:t> </w:t>
      </w:r>
      <w:r>
        <w:rPr>
          <w:sz w:val="24"/>
        </w:rPr>
        <w:t>липидного</w:t>
      </w:r>
      <w:r>
        <w:rPr>
          <w:spacing w:val="-4"/>
          <w:sz w:val="24"/>
        </w:rPr>
        <w:t> </w:t>
      </w:r>
      <w:r>
        <w:rPr>
          <w:sz w:val="24"/>
        </w:rPr>
        <w:t>профиля</w:t>
      </w:r>
      <w:r>
        <w:rPr>
          <w:spacing w:val="-1"/>
          <w:sz w:val="24"/>
        </w:rPr>
        <w:t> </w:t>
      </w:r>
      <w:r>
        <w:rPr>
          <w:sz w:val="24"/>
        </w:rPr>
        <w:t>(венозная</w:t>
      </w:r>
      <w:r>
        <w:rPr>
          <w:spacing w:val="-1"/>
          <w:sz w:val="24"/>
        </w:rPr>
        <w:t> </w:t>
      </w:r>
      <w:r>
        <w:rPr>
          <w:sz w:val="24"/>
        </w:rPr>
        <w:t>кровь)</w:t>
      </w:r>
      <w:r>
        <w:rPr>
          <w:spacing w:val="-1"/>
          <w:sz w:val="24"/>
        </w:rPr>
        <w:t> </w:t>
      </w:r>
      <w:r>
        <w:rPr>
          <w:sz w:val="24"/>
        </w:rPr>
        <w:t>с</w:t>
      </w:r>
      <w:r>
        <w:rPr>
          <w:spacing w:val="-2"/>
          <w:sz w:val="24"/>
        </w:rPr>
        <w:t> </w:t>
      </w:r>
      <w:r>
        <w:rPr>
          <w:sz w:val="24"/>
        </w:rPr>
        <w:t>расчетом</w:t>
      </w:r>
      <w:r>
        <w:rPr>
          <w:spacing w:val="-2"/>
          <w:sz w:val="24"/>
        </w:rPr>
        <w:t> </w:t>
      </w:r>
      <w:r>
        <w:rPr>
          <w:sz w:val="24"/>
        </w:rPr>
        <w:t>ХС</w:t>
      </w:r>
      <w:r>
        <w:rPr>
          <w:spacing w:val="-1"/>
          <w:sz w:val="24"/>
        </w:rPr>
        <w:t> </w:t>
      </w:r>
      <w:r>
        <w:rPr>
          <w:sz w:val="24"/>
        </w:rPr>
        <w:t>ЛНП,</w:t>
      </w:r>
      <w:r>
        <w:rPr>
          <w:spacing w:val="-1"/>
          <w:sz w:val="24"/>
        </w:rPr>
        <w:t> </w:t>
      </w:r>
      <w:r>
        <w:rPr>
          <w:sz w:val="24"/>
        </w:rPr>
        <w:t>ХС </w:t>
      </w:r>
      <w:r>
        <w:rPr>
          <w:spacing w:val="-2"/>
          <w:sz w:val="24"/>
        </w:rPr>
        <w:t>неЛВП;</w:t>
      </w:r>
    </w:p>
    <w:p>
      <w:pPr>
        <w:pStyle w:val="ListParagraph"/>
        <w:numPr>
          <w:ilvl w:val="0"/>
          <w:numId w:val="10"/>
        </w:numPr>
        <w:tabs>
          <w:tab w:pos="1981" w:val="left" w:leader="none"/>
          <w:tab w:pos="1982" w:val="left" w:leader="none"/>
        </w:tabs>
        <w:spacing w:line="240" w:lineRule="auto" w:before="136" w:after="0"/>
        <w:ind w:left="1981" w:right="0" w:hanging="361"/>
        <w:jc w:val="left"/>
        <w:rPr>
          <w:sz w:val="24"/>
        </w:rPr>
      </w:pPr>
      <w:r>
        <w:rPr>
          <w:sz w:val="24"/>
        </w:rPr>
        <w:t>оценка</w:t>
      </w:r>
      <w:r>
        <w:rPr>
          <w:spacing w:val="-2"/>
          <w:sz w:val="24"/>
        </w:rPr>
        <w:t> </w:t>
      </w:r>
      <w:r>
        <w:rPr>
          <w:sz w:val="24"/>
        </w:rPr>
        <w:t>сердечно-сосудистого риска</w:t>
      </w:r>
      <w:r>
        <w:rPr>
          <w:spacing w:val="-1"/>
          <w:sz w:val="24"/>
        </w:rPr>
        <w:t> </w:t>
      </w:r>
      <w:r>
        <w:rPr>
          <w:sz w:val="24"/>
        </w:rPr>
        <w:t>по шкале</w:t>
      </w:r>
      <w:r>
        <w:rPr>
          <w:spacing w:val="-4"/>
          <w:sz w:val="24"/>
        </w:rPr>
        <w:t> </w:t>
      </w:r>
      <w:r>
        <w:rPr>
          <w:spacing w:val="-2"/>
          <w:sz w:val="24"/>
        </w:rPr>
        <w:t>SCORE2;</w:t>
      </w:r>
    </w:p>
    <w:p>
      <w:pPr>
        <w:pStyle w:val="ListParagraph"/>
        <w:numPr>
          <w:ilvl w:val="0"/>
          <w:numId w:val="10"/>
        </w:numPr>
        <w:tabs>
          <w:tab w:pos="1981" w:val="left" w:leader="none"/>
          <w:tab w:pos="1982" w:val="left" w:leader="none"/>
        </w:tabs>
        <w:spacing w:line="350" w:lineRule="auto" w:before="138" w:after="0"/>
        <w:ind w:left="1981" w:right="568" w:hanging="360"/>
        <w:jc w:val="left"/>
        <w:rPr>
          <w:sz w:val="24"/>
        </w:rPr>
      </w:pPr>
      <w:r>
        <w:rPr>
          <w:sz w:val="24"/>
        </w:rPr>
        <w:t>исключение/верификация субклинического и клинически значимого атеросклероза (инструментальные методы обследования).</w:t>
      </w:r>
    </w:p>
    <w:p>
      <w:pPr>
        <w:pStyle w:val="BodyText"/>
        <w:ind w:left="0"/>
        <w:rPr>
          <w:sz w:val="26"/>
        </w:rPr>
      </w:pPr>
    </w:p>
    <w:p>
      <w:pPr>
        <w:pStyle w:val="BodyText"/>
        <w:spacing w:before="6"/>
        <w:ind w:left="0"/>
        <w:rPr>
          <w:sz w:val="23"/>
        </w:rPr>
      </w:pPr>
    </w:p>
    <w:p>
      <w:pPr>
        <w:pStyle w:val="Heading3"/>
        <w:numPr>
          <w:ilvl w:val="1"/>
          <w:numId w:val="9"/>
        </w:numPr>
        <w:tabs>
          <w:tab w:pos="2752" w:val="left" w:leader="none"/>
        </w:tabs>
        <w:spacing w:line="240" w:lineRule="auto" w:before="0" w:after="0"/>
        <w:ind w:left="2752" w:right="0" w:hanging="420"/>
        <w:jc w:val="both"/>
      </w:pPr>
      <w:bookmarkStart w:name="2.2. Жалобы и анамнез" w:id="25"/>
      <w:bookmarkEnd w:id="25"/>
      <w:r>
        <w:rPr>
          <w:b w:val="0"/>
        </w:rPr>
      </w:r>
      <w:bookmarkStart w:name="_bookmark12" w:id="26"/>
      <w:bookmarkEnd w:id="26"/>
      <w:r>
        <w:rPr>
          <w:u w:val="thick"/>
        </w:rPr>
        <w:t>Ж</w:t>
      </w:r>
      <w:r>
        <w:rPr>
          <w:u w:val="thick"/>
        </w:rPr>
        <w:t>алобы</w:t>
      </w:r>
      <w:r>
        <w:rPr>
          <w:spacing w:val="-2"/>
          <w:u w:val="thick"/>
        </w:rPr>
        <w:t> </w:t>
      </w:r>
      <w:r>
        <w:rPr>
          <w:u w:val="thick"/>
        </w:rPr>
        <w:t>и </w:t>
      </w:r>
      <w:r>
        <w:rPr>
          <w:spacing w:val="-2"/>
          <w:u w:val="thick"/>
        </w:rPr>
        <w:t>анамнез</w:t>
      </w:r>
    </w:p>
    <w:p>
      <w:pPr>
        <w:pStyle w:val="BodyText"/>
        <w:spacing w:line="360" w:lineRule="auto" w:before="137"/>
        <w:ind w:left="1261" w:right="566" w:firstLine="708"/>
        <w:jc w:val="both"/>
      </w:pPr>
      <w:r>
        <w:rPr/>
        <w:t>Многие пациенты с повышенным уровнем липидов сыворотки крови могут не иметь</w:t>
      </w:r>
      <w:r>
        <w:rPr>
          <w:spacing w:val="-3"/>
        </w:rPr>
        <w:t> </w:t>
      </w:r>
      <w:r>
        <w:rPr/>
        <w:t>никаких</w:t>
      </w:r>
      <w:r>
        <w:rPr>
          <w:spacing w:val="-3"/>
        </w:rPr>
        <w:t> </w:t>
      </w:r>
      <w:r>
        <w:rPr/>
        <w:t>жалоб.</w:t>
      </w:r>
      <w:r>
        <w:rPr>
          <w:spacing w:val="-3"/>
        </w:rPr>
        <w:t> </w:t>
      </w:r>
      <w:r>
        <w:rPr/>
        <w:t>Симптомы</w:t>
      </w:r>
      <w:r>
        <w:rPr>
          <w:spacing w:val="-4"/>
        </w:rPr>
        <w:t> </w:t>
      </w:r>
      <w:r>
        <w:rPr/>
        <w:t>зависят</w:t>
      </w:r>
      <w:r>
        <w:rPr>
          <w:spacing w:val="-3"/>
        </w:rPr>
        <w:t> </w:t>
      </w:r>
      <w:r>
        <w:rPr/>
        <w:t>от</w:t>
      </w:r>
      <w:r>
        <w:rPr>
          <w:spacing w:val="-3"/>
        </w:rPr>
        <w:t> </w:t>
      </w:r>
      <w:r>
        <w:rPr/>
        <w:t>локализации</w:t>
      </w:r>
      <w:r>
        <w:rPr>
          <w:spacing w:val="-2"/>
        </w:rPr>
        <w:t> </w:t>
      </w:r>
      <w:r>
        <w:rPr/>
        <w:t>атеросклеротического</w:t>
      </w:r>
      <w:r>
        <w:rPr>
          <w:spacing w:val="-3"/>
        </w:rPr>
        <w:t> </w:t>
      </w:r>
      <w:r>
        <w:rPr/>
        <w:t>процесса</w:t>
      </w:r>
      <w:r>
        <w:rPr>
          <w:spacing w:val="-4"/>
        </w:rPr>
        <w:t> </w:t>
      </w:r>
      <w:r>
        <w:rPr/>
        <w:t>- сосудистого бассейна, который преимущественно вовлечен в процесс. Поражение коронарного русла приводит к появлению болей в левой половине грудной клетки, загрудинной области при физической нагрузке или в покое, нарушениям сердечного</w:t>
      </w:r>
      <w:r>
        <w:rPr>
          <w:spacing w:val="40"/>
        </w:rPr>
        <w:t> </w:t>
      </w:r>
      <w:r>
        <w:rPr/>
        <w:t>ритма</w:t>
      </w:r>
      <w:r>
        <w:rPr>
          <w:spacing w:val="44"/>
        </w:rPr>
        <w:t>  </w:t>
      </w:r>
      <w:r>
        <w:rPr/>
        <w:t>(жалобы</w:t>
      </w:r>
      <w:r>
        <w:rPr>
          <w:spacing w:val="45"/>
        </w:rPr>
        <w:t>  </w:t>
      </w:r>
      <w:r>
        <w:rPr/>
        <w:t>на</w:t>
      </w:r>
      <w:r>
        <w:rPr>
          <w:spacing w:val="43"/>
        </w:rPr>
        <w:t>  </w:t>
      </w:r>
      <w:r>
        <w:rPr/>
        <w:t>неритмичное,</w:t>
      </w:r>
      <w:r>
        <w:rPr>
          <w:spacing w:val="45"/>
        </w:rPr>
        <w:t>  </w:t>
      </w:r>
      <w:r>
        <w:rPr/>
        <w:t>резко</w:t>
      </w:r>
      <w:r>
        <w:rPr>
          <w:spacing w:val="43"/>
        </w:rPr>
        <w:t>  </w:t>
      </w:r>
      <w:r>
        <w:rPr/>
        <w:t>учащенное</w:t>
      </w:r>
      <w:r>
        <w:rPr>
          <w:spacing w:val="45"/>
        </w:rPr>
        <w:t>  </w:t>
      </w:r>
      <w:r>
        <w:rPr/>
        <w:t>сердцебиение</w:t>
      </w:r>
      <w:r>
        <w:rPr>
          <w:spacing w:val="44"/>
        </w:rPr>
        <w:t>  </w:t>
      </w:r>
      <w:r>
        <w:rPr/>
        <w:t>или</w:t>
      </w:r>
      <w:r>
        <w:rPr>
          <w:spacing w:val="45"/>
        </w:rPr>
        <w:t>  </w:t>
      </w:r>
      <w:r>
        <w:rPr>
          <w:spacing w:val="-2"/>
        </w:rPr>
        <w:t>ощущение</w:t>
      </w:r>
    </w:p>
    <w:p>
      <w:pPr>
        <w:pStyle w:val="BodyText"/>
        <w:spacing w:line="360" w:lineRule="auto"/>
        <w:ind w:left="1261" w:right="566"/>
        <w:jc w:val="both"/>
      </w:pPr>
      <w:r>
        <w:rPr/>
        <w:t>«замирания», «перебоев в работе сердца»), одышки, отеков нижних конечностей. При локализации атеросклеротического процесса преимущественно в цереброваскулярном бассейне превалируют жалобы на головную боль, субъективное чувство головокружения, снижение памяти, внимания, работоспособности, появление «шума в ушах», «шума в голове». Развитие облитерирующего атеросклероза артерий нижних конечностей</w:t>
      </w:r>
      <w:r>
        <w:rPr>
          <w:spacing w:val="40"/>
        </w:rPr>
        <w:t> </w:t>
      </w:r>
      <w:r>
        <w:rPr/>
        <w:t>приводит к перемежающей хромоте, в тяжелых случаях – появлению интенсивных болей</w:t>
      </w:r>
      <w:r>
        <w:rPr>
          <w:spacing w:val="80"/>
        </w:rPr>
        <w:t> </w:t>
      </w:r>
      <w:r>
        <w:rPr/>
        <w:t>в нижних конечностях в покое, больше в ночное время, в горизонтальном положении пациента (интенсивность болевого синдрома может снижаться после пациента перехода в положение сидя/стоя).</w:t>
      </w:r>
    </w:p>
    <w:p>
      <w:pPr>
        <w:pStyle w:val="BodyText"/>
        <w:spacing w:line="360" w:lineRule="auto"/>
        <w:ind w:left="1261" w:right="567" w:firstLine="708"/>
        <w:jc w:val="both"/>
      </w:pPr>
      <w:r>
        <w:rPr/>
        <w:t>На первом этапе обследования собирается анамнез, во время которого выясняется наличие у пациента ИБС, АГ, СД, атеросклероза периферических артерий, семейной гиперхолестеринемии (СГХС), метаболического синдрома, ожирения, ХБП. При сборе семейного анамнеза, особое внимание должно уделяться раннему проявлению ССЗ у родственников пациента 1-й линии родства.</w:t>
      </w:r>
    </w:p>
    <w:p>
      <w:pPr>
        <w:pStyle w:val="BodyText"/>
        <w:spacing w:before="10"/>
        <w:ind w:left="0"/>
        <w:rPr>
          <w:sz w:val="20"/>
        </w:rPr>
      </w:pPr>
    </w:p>
    <w:p>
      <w:pPr>
        <w:pStyle w:val="Heading3"/>
        <w:numPr>
          <w:ilvl w:val="1"/>
          <w:numId w:val="9"/>
        </w:numPr>
        <w:tabs>
          <w:tab w:pos="2752" w:val="left" w:leader="none"/>
        </w:tabs>
        <w:spacing w:line="240" w:lineRule="auto" w:before="1" w:after="0"/>
        <w:ind w:left="2752" w:right="0" w:hanging="420"/>
        <w:jc w:val="both"/>
      </w:pPr>
      <w:bookmarkStart w:name="2.3. Физикальное обследование" w:id="27"/>
      <w:bookmarkEnd w:id="27"/>
      <w:r>
        <w:rPr>
          <w:b w:val="0"/>
        </w:rPr>
      </w:r>
      <w:bookmarkStart w:name="_bookmark13" w:id="28"/>
      <w:bookmarkEnd w:id="28"/>
      <w:r>
        <w:rPr>
          <w:u w:val="thick"/>
        </w:rPr>
        <w:t>Ф</w:t>
      </w:r>
      <w:r>
        <w:rPr>
          <w:u w:val="thick"/>
        </w:rPr>
        <w:t>изикальное</w:t>
      </w:r>
      <w:r>
        <w:rPr>
          <w:spacing w:val="-3"/>
          <w:u w:val="thick"/>
        </w:rPr>
        <w:t> </w:t>
      </w:r>
      <w:r>
        <w:rPr>
          <w:spacing w:val="-2"/>
          <w:u w:val="thick"/>
        </w:rPr>
        <w:t>обследование</w:t>
      </w:r>
    </w:p>
    <w:p>
      <w:pPr>
        <w:pStyle w:val="BodyText"/>
        <w:spacing w:line="360" w:lineRule="auto" w:before="136"/>
        <w:ind w:left="1261" w:right="567" w:firstLine="708"/>
        <w:jc w:val="both"/>
      </w:pPr>
      <w:r>
        <w:rPr/>
        <w:t>Всем пациентам для выявления клинических признаков нарушений липидного обмена и признаков состояний/заболеваний, обусловленных нарушениями липидного обмена, рекомендовано проводить физикальное обследование в объеме: осмотр (липоидная дуга роговицы у лиц моложе 45 лет, ксантелазмы, ксантомы); пальпация основных</w:t>
      </w:r>
      <w:r>
        <w:rPr>
          <w:spacing w:val="59"/>
          <w:w w:val="150"/>
        </w:rPr>
        <w:t> </w:t>
      </w:r>
      <w:r>
        <w:rPr/>
        <w:t>магистральных</w:t>
      </w:r>
      <w:r>
        <w:rPr>
          <w:spacing w:val="61"/>
          <w:w w:val="150"/>
        </w:rPr>
        <w:t> </w:t>
      </w:r>
      <w:r>
        <w:rPr/>
        <w:t>артерий</w:t>
      </w:r>
      <w:r>
        <w:rPr>
          <w:spacing w:val="62"/>
          <w:w w:val="150"/>
        </w:rPr>
        <w:t> </w:t>
      </w:r>
      <w:r>
        <w:rPr/>
        <w:t>верхних</w:t>
      </w:r>
      <w:r>
        <w:rPr>
          <w:spacing w:val="56"/>
          <w:w w:val="150"/>
        </w:rPr>
        <w:t> </w:t>
      </w:r>
      <w:r>
        <w:rPr/>
        <w:t>и</w:t>
      </w:r>
      <w:r>
        <w:rPr>
          <w:spacing w:val="62"/>
          <w:w w:val="150"/>
        </w:rPr>
        <w:t> </w:t>
      </w:r>
      <w:r>
        <w:rPr/>
        <w:t>нижних</w:t>
      </w:r>
      <w:r>
        <w:rPr>
          <w:spacing w:val="61"/>
          <w:w w:val="150"/>
        </w:rPr>
        <w:t> </w:t>
      </w:r>
      <w:r>
        <w:rPr/>
        <w:t>конечностей,</w:t>
      </w:r>
      <w:r>
        <w:rPr>
          <w:spacing w:val="61"/>
          <w:w w:val="150"/>
        </w:rPr>
        <w:t> </w:t>
      </w:r>
      <w:r>
        <w:rPr/>
        <w:t>сонных</w:t>
      </w:r>
      <w:r>
        <w:rPr>
          <w:spacing w:val="60"/>
          <w:w w:val="150"/>
        </w:rPr>
        <w:t> </w:t>
      </w:r>
      <w:r>
        <w:rPr>
          <w:spacing w:val="-2"/>
        </w:rPr>
        <w:t>артерий;</w:t>
      </w:r>
    </w:p>
    <w:p>
      <w:pPr>
        <w:spacing w:after="0" w:line="360" w:lineRule="auto"/>
        <w:jc w:val="both"/>
        <w:sectPr>
          <w:pgSz w:w="11910" w:h="16840"/>
          <w:pgMar w:header="0" w:footer="710" w:top="1040" w:bottom="900" w:left="440" w:right="280"/>
        </w:sectPr>
      </w:pPr>
    </w:p>
    <w:p>
      <w:pPr>
        <w:pStyle w:val="BodyText"/>
        <w:spacing w:line="360" w:lineRule="auto" w:before="73"/>
        <w:ind w:left="1261" w:right="565"/>
        <w:jc w:val="both"/>
      </w:pPr>
      <w:r>
        <w:rPr/>
        <w:t>определение характера пульса; аускультация сердца и магистральных сосудов; измерение окружности талии [</w:t>
      </w:r>
      <w:hyperlink w:history="true" w:anchor="_bookmark196">
        <w:r>
          <w:rPr/>
          <w:t>151</w:t>
        </w:r>
      </w:hyperlink>
      <w:r>
        <w:rPr/>
        <w:t>, </w:t>
      </w:r>
      <w:hyperlink w:history="true" w:anchor="_bookmark197">
        <w:r>
          <w:rPr/>
          <w:t>152</w:t>
        </w:r>
      </w:hyperlink>
      <w:r>
        <w:rPr/>
        <w:t>].</w:t>
      </w:r>
    </w:p>
    <w:p>
      <w:pPr>
        <w:pStyle w:val="Heading3"/>
        <w:jc w:val="both"/>
      </w:pPr>
      <w:r>
        <w:rPr/>
        <w:t>ЕОК/ЕОА</w:t>
      </w:r>
      <w:r>
        <w:rPr>
          <w:spacing w:val="-4"/>
        </w:rPr>
        <w:t> </w:t>
      </w:r>
      <w:r>
        <w:rPr/>
        <w:t>нет</w:t>
      </w:r>
      <w:r>
        <w:rPr>
          <w:spacing w:val="-2"/>
        </w:rPr>
        <w:t> </w:t>
      </w:r>
      <w:r>
        <w:rPr/>
        <w:t>(УУР</w:t>
      </w:r>
      <w:r>
        <w:rPr>
          <w:spacing w:val="-2"/>
        </w:rPr>
        <w:t> </w:t>
      </w:r>
      <w:r>
        <w:rPr/>
        <w:t>C,</w:t>
      </w:r>
      <w:r>
        <w:rPr>
          <w:spacing w:val="-1"/>
        </w:rPr>
        <w:t> </w:t>
      </w:r>
      <w:r>
        <w:rPr/>
        <w:t>УДД</w:t>
      </w:r>
      <w:r>
        <w:rPr>
          <w:spacing w:val="-1"/>
        </w:rPr>
        <w:t> </w:t>
      </w:r>
      <w:r>
        <w:rPr>
          <w:spacing w:val="-5"/>
        </w:rPr>
        <w:t>5)</w:t>
      </w:r>
    </w:p>
    <w:p>
      <w:pPr>
        <w:spacing w:line="360" w:lineRule="auto" w:before="140"/>
        <w:ind w:left="1261" w:right="566" w:firstLine="0"/>
        <w:jc w:val="both"/>
        <w:rPr>
          <w:i/>
          <w:sz w:val="24"/>
        </w:rPr>
      </w:pPr>
      <w:r>
        <w:rPr>
          <w:b/>
          <w:sz w:val="24"/>
        </w:rPr>
        <w:t>Комментарии. </w:t>
      </w:r>
      <w:r>
        <w:rPr>
          <w:i/>
          <w:sz w:val="24"/>
        </w:rPr>
        <w:t>Ксантомы (xanthomata) – это очаговые образования различного цвета</w:t>
      </w:r>
      <w:r>
        <w:rPr>
          <w:i/>
          <w:spacing w:val="40"/>
          <w:sz w:val="24"/>
        </w:rPr>
        <w:t> </w:t>
      </w:r>
      <w:r>
        <w:rPr>
          <w:i/>
          <w:sz w:val="24"/>
        </w:rPr>
        <w:t>(от нормального до желто-коричневого, оранжевого или розового); чаще всего располагаются в области сухожилий, суставов, на ладонях, стопах, ягодицах, бёдрах. Гистологически ксантомы представляют собой скопление ксантомных (пенистых) клеток, клеток-макрофагов, нагруженных липидами. Ксантомные клетки обычно имеют одно</w:t>
      </w:r>
      <w:r>
        <w:rPr>
          <w:i/>
          <w:spacing w:val="-1"/>
          <w:sz w:val="24"/>
        </w:rPr>
        <w:t> </w:t>
      </w:r>
      <w:r>
        <w:rPr>
          <w:i/>
          <w:sz w:val="24"/>
        </w:rPr>
        <w:t>ядро,</w:t>
      </w:r>
      <w:r>
        <w:rPr>
          <w:i/>
          <w:spacing w:val="-1"/>
          <w:sz w:val="24"/>
        </w:rPr>
        <w:t> </w:t>
      </w:r>
      <w:r>
        <w:rPr>
          <w:i/>
          <w:sz w:val="24"/>
        </w:rPr>
        <w:t>но</w:t>
      </w:r>
      <w:r>
        <w:rPr>
          <w:i/>
          <w:spacing w:val="-1"/>
          <w:sz w:val="24"/>
        </w:rPr>
        <w:t> </w:t>
      </w:r>
      <w:r>
        <w:rPr>
          <w:i/>
          <w:sz w:val="24"/>
        </w:rPr>
        <w:t>встречается и</w:t>
      </w:r>
      <w:r>
        <w:rPr>
          <w:i/>
          <w:spacing w:val="-1"/>
          <w:sz w:val="24"/>
        </w:rPr>
        <w:t> </w:t>
      </w:r>
      <w:r>
        <w:rPr>
          <w:i/>
          <w:sz w:val="24"/>
        </w:rPr>
        <w:t>многоядерные</w:t>
      </w:r>
      <w:r>
        <w:rPr>
          <w:i/>
          <w:spacing w:val="-2"/>
          <w:sz w:val="24"/>
        </w:rPr>
        <w:t> </w:t>
      </w:r>
      <w:r>
        <w:rPr>
          <w:i/>
          <w:sz w:val="24"/>
        </w:rPr>
        <w:t>клетки</w:t>
      </w:r>
      <w:r>
        <w:rPr>
          <w:i/>
          <w:spacing w:val="-1"/>
          <w:sz w:val="24"/>
        </w:rPr>
        <w:t> </w:t>
      </w:r>
      <w:r>
        <w:rPr>
          <w:i/>
          <w:sz w:val="24"/>
        </w:rPr>
        <w:t>типа</w:t>
      </w:r>
      <w:r>
        <w:rPr>
          <w:i/>
          <w:spacing w:val="-1"/>
          <w:sz w:val="24"/>
        </w:rPr>
        <w:t> </w:t>
      </w:r>
      <w:r>
        <w:rPr>
          <w:i/>
          <w:sz w:val="24"/>
        </w:rPr>
        <w:t>инородных</w:t>
      </w:r>
      <w:r>
        <w:rPr>
          <w:i/>
          <w:spacing w:val="-2"/>
          <w:sz w:val="24"/>
        </w:rPr>
        <w:t> </w:t>
      </w:r>
      <w:r>
        <w:rPr>
          <w:i/>
          <w:sz w:val="24"/>
        </w:rPr>
        <w:t>тел (клетки</w:t>
      </w:r>
      <w:r>
        <w:rPr>
          <w:i/>
          <w:spacing w:val="-1"/>
          <w:sz w:val="24"/>
        </w:rPr>
        <w:t> </w:t>
      </w:r>
      <w:r>
        <w:rPr>
          <w:i/>
          <w:sz w:val="24"/>
        </w:rPr>
        <w:t>Тутона); среди них могут быть гистиоциты и лимфоидные клетки. Фиброз обычно не наблюдается. В старых очагах преобладают фибробласты и новообразованные коллагеновые волокна, окружающие группы пенистых клеток. В дальнейшем фиброзная ткань замещает пенистые клетки. Различают 4 клинические разновидности ксантом- плоскую, множественную узелковую (эруптивные ксантомы), туберозную, сухожильную. Плоские ксантомы (xanthoma planes) наблюдаются чаще у пожилых людей, представляют собой желтовато-оранжевые плоские или слегка выпуклые полосы в складках ладони и пальцев. Эруптивные ксантомы (син.: xanthoma papulosum multiplex, множественные узелковые ксантомы) характеризуются множественными плоскими или полусферическими узелками от 2 до 6 мм в диаметре, желтоватого или желтовато- оранжевого цвета с розово-синюшным венчиком у основания. Элементы высыпаний могут быть рассеянными по всему кожному покрову, но чаще – на разгибательных поверхностях конечностей, в области суставов, спины, ягодиц. Туберозные ксантомы (син.:</w:t>
      </w:r>
      <w:r>
        <w:rPr>
          <w:i/>
          <w:spacing w:val="-1"/>
          <w:sz w:val="24"/>
        </w:rPr>
        <w:t> </w:t>
      </w:r>
      <w:r>
        <w:rPr>
          <w:i/>
          <w:sz w:val="24"/>
        </w:rPr>
        <w:t>xanthoma</w:t>
      </w:r>
      <w:r>
        <w:rPr>
          <w:i/>
          <w:spacing w:val="-1"/>
          <w:sz w:val="24"/>
        </w:rPr>
        <w:t> </w:t>
      </w:r>
      <w:r>
        <w:rPr>
          <w:i/>
          <w:sz w:val="24"/>
        </w:rPr>
        <w:t>tuberosum,</w:t>
      </w:r>
      <w:r>
        <w:rPr>
          <w:i/>
          <w:spacing w:val="-1"/>
          <w:sz w:val="24"/>
        </w:rPr>
        <w:t> </w:t>
      </w:r>
      <w:r>
        <w:rPr>
          <w:i/>
          <w:sz w:val="24"/>
        </w:rPr>
        <w:t>туберкулёзная ксантома,</w:t>
      </w:r>
      <w:r>
        <w:rPr>
          <w:i/>
          <w:spacing w:val="-1"/>
          <w:sz w:val="24"/>
        </w:rPr>
        <w:t> </w:t>
      </w:r>
      <w:r>
        <w:rPr>
          <w:i/>
          <w:sz w:val="24"/>
        </w:rPr>
        <w:t>узловатая ксантома)</w:t>
      </w:r>
      <w:r>
        <w:rPr>
          <w:i/>
          <w:spacing w:val="-1"/>
          <w:sz w:val="24"/>
        </w:rPr>
        <w:t> </w:t>
      </w:r>
      <w:r>
        <w:rPr>
          <w:i/>
          <w:sz w:val="24"/>
        </w:rPr>
        <w:t>встречаются у больных с семейной гиперхолестеринемией в области разгибательных поверхностей коленных и локтевых суставов, на ягодицах. Высыпания симметричны – безболезненные, плотной консистенции узлы величиной от 1,5 до 3,5 см в диаметре, желтоватого цвета</w:t>
      </w:r>
      <w:r>
        <w:rPr>
          <w:i/>
          <w:spacing w:val="40"/>
          <w:sz w:val="24"/>
        </w:rPr>
        <w:t> </w:t>
      </w:r>
      <w:r>
        <w:rPr>
          <w:i/>
          <w:sz w:val="24"/>
        </w:rPr>
        <w:t>с</w:t>
      </w:r>
      <w:r>
        <w:rPr>
          <w:i/>
          <w:spacing w:val="-4"/>
          <w:sz w:val="24"/>
        </w:rPr>
        <w:t> </w:t>
      </w:r>
      <w:r>
        <w:rPr>
          <w:i/>
          <w:sz w:val="24"/>
        </w:rPr>
        <w:t>буроватым</w:t>
      </w:r>
      <w:r>
        <w:rPr>
          <w:i/>
          <w:spacing w:val="-3"/>
          <w:sz w:val="24"/>
        </w:rPr>
        <w:t> </w:t>
      </w:r>
      <w:r>
        <w:rPr>
          <w:i/>
          <w:sz w:val="24"/>
        </w:rPr>
        <w:t>или</w:t>
      </w:r>
      <w:r>
        <w:rPr>
          <w:i/>
          <w:spacing w:val="-1"/>
          <w:sz w:val="24"/>
        </w:rPr>
        <w:t> </w:t>
      </w:r>
      <w:r>
        <w:rPr>
          <w:i/>
          <w:sz w:val="24"/>
        </w:rPr>
        <w:t>синюшным</w:t>
      </w:r>
      <w:r>
        <w:rPr>
          <w:i/>
          <w:spacing w:val="-3"/>
          <w:sz w:val="24"/>
        </w:rPr>
        <w:t> </w:t>
      </w:r>
      <w:r>
        <w:rPr>
          <w:i/>
          <w:sz w:val="24"/>
        </w:rPr>
        <w:t>оттенком.</w:t>
      </w:r>
      <w:r>
        <w:rPr>
          <w:i/>
          <w:spacing w:val="-3"/>
          <w:sz w:val="24"/>
        </w:rPr>
        <w:t> </w:t>
      </w:r>
      <w:r>
        <w:rPr>
          <w:i/>
          <w:sz w:val="24"/>
        </w:rPr>
        <w:t>Сухожильные</w:t>
      </w:r>
      <w:r>
        <w:rPr>
          <w:i/>
          <w:spacing w:val="-4"/>
          <w:sz w:val="24"/>
        </w:rPr>
        <w:t> </w:t>
      </w:r>
      <w:r>
        <w:rPr>
          <w:i/>
          <w:sz w:val="24"/>
        </w:rPr>
        <w:t>ксантомы</w:t>
      </w:r>
      <w:r>
        <w:rPr>
          <w:i/>
          <w:spacing w:val="-3"/>
          <w:sz w:val="24"/>
        </w:rPr>
        <w:t> </w:t>
      </w:r>
      <w:r>
        <w:rPr>
          <w:i/>
          <w:sz w:val="24"/>
        </w:rPr>
        <w:t>(син.:</w:t>
      </w:r>
      <w:r>
        <w:rPr>
          <w:i/>
          <w:spacing w:val="-4"/>
          <w:sz w:val="24"/>
        </w:rPr>
        <w:t> </w:t>
      </w:r>
      <w:r>
        <w:rPr>
          <w:i/>
          <w:sz w:val="24"/>
        </w:rPr>
        <w:t>xanthoma</w:t>
      </w:r>
      <w:r>
        <w:rPr>
          <w:i/>
          <w:spacing w:val="-3"/>
          <w:sz w:val="24"/>
        </w:rPr>
        <w:t> </w:t>
      </w:r>
      <w:r>
        <w:rPr>
          <w:i/>
          <w:sz w:val="24"/>
        </w:rPr>
        <w:t>tendinеа, ксантома</w:t>
      </w:r>
      <w:r>
        <w:rPr>
          <w:i/>
          <w:spacing w:val="-2"/>
          <w:sz w:val="24"/>
        </w:rPr>
        <w:t> </w:t>
      </w:r>
      <w:r>
        <w:rPr>
          <w:i/>
          <w:sz w:val="24"/>
        </w:rPr>
        <w:t>сухожилий) –</w:t>
      </w:r>
      <w:r>
        <w:rPr>
          <w:i/>
          <w:spacing w:val="-2"/>
          <w:sz w:val="24"/>
        </w:rPr>
        <w:t> </w:t>
      </w:r>
      <w:r>
        <w:rPr>
          <w:i/>
          <w:sz w:val="24"/>
        </w:rPr>
        <w:t>плотные,</w:t>
      </w:r>
      <w:r>
        <w:rPr>
          <w:i/>
          <w:spacing w:val="-2"/>
          <w:sz w:val="24"/>
        </w:rPr>
        <w:t> </w:t>
      </w:r>
      <w:r>
        <w:rPr>
          <w:i/>
          <w:sz w:val="24"/>
        </w:rPr>
        <w:t>медленно</w:t>
      </w:r>
      <w:r>
        <w:rPr>
          <w:i/>
          <w:spacing w:val="-2"/>
          <w:sz w:val="24"/>
        </w:rPr>
        <w:t> </w:t>
      </w:r>
      <w:r>
        <w:rPr>
          <w:i/>
          <w:sz w:val="24"/>
        </w:rPr>
        <w:t>увеличивающиеся,</w:t>
      </w:r>
      <w:r>
        <w:rPr>
          <w:i/>
          <w:spacing w:val="-2"/>
          <w:sz w:val="24"/>
        </w:rPr>
        <w:t> </w:t>
      </w:r>
      <w:r>
        <w:rPr>
          <w:i/>
          <w:sz w:val="24"/>
        </w:rPr>
        <w:t>опухолевидные</w:t>
      </w:r>
      <w:r>
        <w:rPr>
          <w:i/>
          <w:spacing w:val="-3"/>
          <w:sz w:val="24"/>
        </w:rPr>
        <w:t> </w:t>
      </w:r>
      <w:r>
        <w:rPr>
          <w:i/>
          <w:sz w:val="24"/>
        </w:rPr>
        <w:t>образования желтого цвета, располагающиеся в области ахилловых сухожилий и сухожилий разгибателей</w:t>
      </w:r>
      <w:r>
        <w:rPr>
          <w:i/>
          <w:spacing w:val="80"/>
          <w:sz w:val="24"/>
        </w:rPr>
        <w:t> </w:t>
      </w:r>
      <w:r>
        <w:rPr>
          <w:i/>
          <w:sz w:val="24"/>
        </w:rPr>
        <w:t>пальцев.</w:t>
      </w:r>
    </w:p>
    <w:p>
      <w:pPr>
        <w:spacing w:line="360" w:lineRule="auto" w:before="0"/>
        <w:ind w:left="1261" w:right="571" w:firstLine="0"/>
        <w:jc w:val="both"/>
        <w:rPr>
          <w:i/>
          <w:sz w:val="24"/>
        </w:rPr>
      </w:pPr>
      <w:r>
        <w:rPr>
          <w:i/>
          <w:sz w:val="24"/>
        </w:rPr>
        <w:t>Ксантелазмы - это плоские, желтые, образования на коже век Величина их колеблется от нескольких миллиметров до 3-5 см и более.</w:t>
      </w:r>
    </w:p>
    <w:p>
      <w:pPr>
        <w:spacing w:before="0"/>
        <w:ind w:left="1261" w:right="0" w:firstLine="0"/>
        <w:jc w:val="both"/>
        <w:rPr>
          <w:i/>
          <w:sz w:val="24"/>
        </w:rPr>
      </w:pPr>
      <w:r>
        <w:rPr>
          <w:i/>
          <w:sz w:val="24"/>
        </w:rPr>
        <w:t>Липидная</w:t>
      </w:r>
      <w:r>
        <w:rPr>
          <w:i/>
          <w:spacing w:val="-1"/>
          <w:sz w:val="24"/>
        </w:rPr>
        <w:t> </w:t>
      </w:r>
      <w:r>
        <w:rPr>
          <w:i/>
          <w:sz w:val="24"/>
        </w:rPr>
        <w:t>дуга</w:t>
      </w:r>
      <w:r>
        <w:rPr>
          <w:i/>
          <w:spacing w:val="-2"/>
          <w:sz w:val="24"/>
        </w:rPr>
        <w:t> </w:t>
      </w:r>
      <w:r>
        <w:rPr>
          <w:i/>
          <w:sz w:val="24"/>
        </w:rPr>
        <w:t>роговицы</w:t>
      </w:r>
      <w:r>
        <w:rPr>
          <w:i/>
          <w:spacing w:val="-1"/>
          <w:sz w:val="24"/>
        </w:rPr>
        <w:t> </w:t>
      </w:r>
      <w:r>
        <w:rPr>
          <w:i/>
          <w:sz w:val="24"/>
        </w:rPr>
        <w:t>имеет</w:t>
      </w:r>
      <w:r>
        <w:rPr>
          <w:i/>
          <w:spacing w:val="-2"/>
          <w:sz w:val="24"/>
        </w:rPr>
        <w:t> </w:t>
      </w:r>
      <w:r>
        <w:rPr>
          <w:i/>
          <w:sz w:val="24"/>
        </w:rPr>
        <w:t>диагнстическое</w:t>
      </w:r>
      <w:r>
        <w:rPr>
          <w:i/>
          <w:spacing w:val="-2"/>
          <w:sz w:val="24"/>
        </w:rPr>
        <w:t> </w:t>
      </w:r>
      <w:r>
        <w:rPr>
          <w:i/>
          <w:sz w:val="24"/>
        </w:rPr>
        <w:t>значение</w:t>
      </w:r>
      <w:r>
        <w:rPr>
          <w:i/>
          <w:spacing w:val="-2"/>
          <w:sz w:val="24"/>
        </w:rPr>
        <w:t> </w:t>
      </w:r>
      <w:r>
        <w:rPr>
          <w:i/>
          <w:sz w:val="24"/>
        </w:rPr>
        <w:t>у</w:t>
      </w:r>
      <w:r>
        <w:rPr>
          <w:i/>
          <w:spacing w:val="-2"/>
          <w:sz w:val="24"/>
        </w:rPr>
        <w:t> </w:t>
      </w:r>
      <w:r>
        <w:rPr>
          <w:i/>
          <w:sz w:val="24"/>
        </w:rPr>
        <w:t>лиц</w:t>
      </w:r>
      <w:r>
        <w:rPr>
          <w:i/>
          <w:spacing w:val="-1"/>
          <w:sz w:val="24"/>
        </w:rPr>
        <w:t> </w:t>
      </w:r>
      <w:r>
        <w:rPr>
          <w:i/>
          <w:sz w:val="24"/>
        </w:rPr>
        <w:t>моложе</w:t>
      </w:r>
      <w:r>
        <w:rPr>
          <w:i/>
          <w:spacing w:val="-2"/>
          <w:sz w:val="24"/>
        </w:rPr>
        <w:t> </w:t>
      </w:r>
      <w:r>
        <w:rPr>
          <w:i/>
          <w:sz w:val="24"/>
        </w:rPr>
        <w:t>40-45</w:t>
      </w:r>
      <w:r>
        <w:rPr>
          <w:i/>
          <w:spacing w:val="-1"/>
          <w:sz w:val="24"/>
        </w:rPr>
        <w:t> </w:t>
      </w:r>
      <w:r>
        <w:rPr>
          <w:i/>
          <w:spacing w:val="-4"/>
          <w:sz w:val="24"/>
        </w:rPr>
        <w:t>лет.</w:t>
      </w:r>
    </w:p>
    <w:p>
      <w:pPr>
        <w:pStyle w:val="BodyText"/>
        <w:spacing w:before="10"/>
        <w:ind w:left="0"/>
        <w:rPr>
          <w:i/>
          <w:sz w:val="32"/>
        </w:rPr>
      </w:pPr>
    </w:p>
    <w:p>
      <w:pPr>
        <w:pStyle w:val="Heading3"/>
        <w:numPr>
          <w:ilvl w:val="1"/>
          <w:numId w:val="9"/>
        </w:numPr>
        <w:tabs>
          <w:tab w:pos="2752" w:val="left" w:leader="none"/>
        </w:tabs>
        <w:spacing w:line="240" w:lineRule="auto" w:before="1" w:after="0"/>
        <w:ind w:left="2752" w:right="0" w:hanging="420"/>
        <w:jc w:val="left"/>
      </w:pPr>
      <w:bookmarkStart w:name="2.4. Лабораторные диагностические исслед" w:id="29"/>
      <w:bookmarkEnd w:id="29"/>
      <w:r>
        <w:rPr>
          <w:b w:val="0"/>
        </w:rPr>
      </w:r>
      <w:bookmarkStart w:name="_bookmark14" w:id="30"/>
      <w:bookmarkEnd w:id="30"/>
      <w:r>
        <w:rPr>
          <w:u w:val="thick"/>
        </w:rPr>
        <w:t>Л</w:t>
      </w:r>
      <w:r>
        <w:rPr>
          <w:u w:val="thick"/>
        </w:rPr>
        <w:t>абораторные</w:t>
      </w:r>
      <w:r>
        <w:rPr>
          <w:spacing w:val="-9"/>
          <w:u w:val="thick"/>
        </w:rPr>
        <w:t> </w:t>
      </w:r>
      <w:r>
        <w:rPr>
          <w:u w:val="thick"/>
        </w:rPr>
        <w:t>диагностические</w:t>
      </w:r>
      <w:r>
        <w:rPr>
          <w:spacing w:val="-7"/>
          <w:u w:val="thick"/>
        </w:rPr>
        <w:t> </w:t>
      </w:r>
      <w:r>
        <w:rPr>
          <w:spacing w:val="-2"/>
          <w:u w:val="thick"/>
        </w:rPr>
        <w:t>исследования</w:t>
      </w:r>
    </w:p>
    <w:p>
      <w:pPr>
        <w:spacing w:after="0" w:line="240" w:lineRule="auto"/>
        <w:jc w:val="left"/>
        <w:sectPr>
          <w:pgSz w:w="11910" w:h="16840"/>
          <w:pgMar w:header="0" w:footer="710" w:top="1040" w:bottom="900" w:left="440" w:right="280"/>
        </w:sectPr>
      </w:pPr>
    </w:p>
    <w:p>
      <w:pPr>
        <w:pStyle w:val="ListParagraph"/>
        <w:numPr>
          <w:ilvl w:val="0"/>
          <w:numId w:val="10"/>
        </w:numPr>
        <w:tabs>
          <w:tab w:pos="1982" w:val="left" w:leader="none"/>
        </w:tabs>
        <w:spacing w:line="352" w:lineRule="auto" w:before="75" w:after="0"/>
        <w:ind w:left="1981" w:right="566" w:hanging="360"/>
        <w:jc w:val="both"/>
        <w:rPr>
          <w:b/>
          <w:sz w:val="24"/>
        </w:rPr>
      </w:pPr>
      <w:r>
        <w:rPr>
          <w:sz w:val="22"/>
        </w:rPr>
        <w:t>Всем лицам старше 40 лет рекомендуется скрининг, включающий анализ крови по оценке нарушений липидного обмена биохимический (липидный профиль) с целью</w:t>
      </w:r>
      <w:r>
        <w:rPr>
          <w:spacing w:val="40"/>
          <w:sz w:val="22"/>
        </w:rPr>
        <w:t> </w:t>
      </w:r>
      <w:r>
        <w:rPr>
          <w:sz w:val="22"/>
        </w:rPr>
        <w:t>стратификации сердечно-сосудистого риска по шкале SCORE2 [</w:t>
      </w:r>
      <w:hyperlink w:history="true" w:anchor="_bookmark95">
        <w:r>
          <w:rPr>
            <w:sz w:val="22"/>
          </w:rPr>
          <w:t>50,</w:t>
        </w:r>
      </w:hyperlink>
      <w:r>
        <w:rPr>
          <w:sz w:val="22"/>
        </w:rPr>
        <w:t> </w:t>
      </w:r>
      <w:hyperlink w:history="true" w:anchor="_bookmark273">
        <w:r>
          <w:rPr>
            <w:sz w:val="22"/>
          </w:rPr>
          <w:t>232</w:t>
        </w:r>
      </w:hyperlink>
      <w:r>
        <w:rPr>
          <w:sz w:val="22"/>
        </w:rPr>
        <w:t>]. </w:t>
      </w:r>
      <w:r>
        <w:rPr>
          <w:b/>
          <w:sz w:val="24"/>
        </w:rPr>
        <w:t>ЕОК/ЕОА I C (УУР С, УДД 5)</w:t>
      </w:r>
    </w:p>
    <w:p>
      <w:pPr>
        <w:pStyle w:val="ListParagraph"/>
        <w:numPr>
          <w:ilvl w:val="0"/>
          <w:numId w:val="10"/>
        </w:numPr>
        <w:tabs>
          <w:tab w:pos="1982" w:val="left" w:leader="none"/>
        </w:tabs>
        <w:spacing w:line="355" w:lineRule="auto" w:before="10" w:after="0"/>
        <w:ind w:left="1981" w:right="567" w:hanging="360"/>
        <w:jc w:val="both"/>
        <w:rPr>
          <w:sz w:val="24"/>
        </w:rPr>
      </w:pPr>
      <w:r>
        <w:rPr>
          <w:sz w:val="24"/>
        </w:rPr>
        <w:t>Пациентам с дислипидеией рекомендуется лабораторное исследование с определением уровня глюкозы, креатинина, мочевины, общего билирубина в</w:t>
      </w:r>
      <w:r>
        <w:rPr>
          <w:spacing w:val="40"/>
          <w:sz w:val="24"/>
        </w:rPr>
        <w:t> </w:t>
      </w:r>
      <w:r>
        <w:rPr>
          <w:sz w:val="24"/>
        </w:rPr>
        <w:t>крови, определение активности АЛТ, АСТ, КФК в крови и общий (клинический) анализ крови [</w:t>
      </w:r>
      <w:hyperlink w:history="true" w:anchor="_bookmark197">
        <w:r>
          <w:rPr>
            <w:sz w:val="24"/>
          </w:rPr>
          <w:t>152</w:t>
        </w:r>
      </w:hyperlink>
      <w:r>
        <w:rPr>
          <w:sz w:val="24"/>
        </w:rPr>
        <w:t>].</w:t>
      </w:r>
    </w:p>
    <w:p>
      <w:pPr>
        <w:pStyle w:val="Heading2"/>
        <w:spacing w:before="10"/>
        <w:ind w:left="2264"/>
      </w:pPr>
      <w:r>
        <w:rPr/>
        <w:t>ЕОК/ЕОА</w:t>
      </w:r>
      <w:r>
        <w:rPr>
          <w:spacing w:val="-2"/>
        </w:rPr>
        <w:t> </w:t>
      </w:r>
      <w:r>
        <w:rPr/>
        <w:t>I</w:t>
      </w:r>
      <w:r>
        <w:rPr>
          <w:spacing w:val="-1"/>
        </w:rPr>
        <w:t> </w:t>
      </w:r>
      <w:r>
        <w:rPr/>
        <w:t>C</w:t>
      </w:r>
      <w:r>
        <w:rPr>
          <w:spacing w:val="-2"/>
        </w:rPr>
        <w:t> </w:t>
      </w:r>
      <w:r>
        <w:rPr/>
        <w:t>(УУР</w:t>
      </w:r>
      <w:r>
        <w:rPr>
          <w:spacing w:val="-2"/>
        </w:rPr>
        <w:t> </w:t>
      </w:r>
      <w:r>
        <w:rPr/>
        <w:t>С,</w:t>
      </w:r>
      <w:r>
        <w:rPr>
          <w:spacing w:val="1"/>
        </w:rPr>
        <w:t> </w:t>
      </w:r>
      <w:r>
        <w:rPr/>
        <w:t>УДД</w:t>
      </w:r>
      <w:r>
        <w:rPr>
          <w:spacing w:val="-1"/>
        </w:rPr>
        <w:t> </w:t>
      </w:r>
      <w:r>
        <w:rPr>
          <w:spacing w:val="-5"/>
        </w:rPr>
        <w:t>5)</w:t>
      </w:r>
    </w:p>
    <w:p>
      <w:pPr>
        <w:pStyle w:val="ListParagraph"/>
        <w:numPr>
          <w:ilvl w:val="1"/>
          <w:numId w:val="10"/>
        </w:numPr>
        <w:tabs>
          <w:tab w:pos="2265" w:val="left" w:leader="none"/>
        </w:tabs>
        <w:spacing w:line="350" w:lineRule="auto" w:before="139" w:after="0"/>
        <w:ind w:left="2264" w:right="567" w:hanging="358"/>
        <w:jc w:val="both"/>
        <w:rPr>
          <w:sz w:val="24"/>
        </w:rPr>
      </w:pPr>
      <w:r>
        <w:rPr>
          <w:sz w:val="24"/>
        </w:rPr>
        <w:t>Определение уровеня ХС ЛВП в крови рекомендовано всем пациентам для дополнительной оценки риска в системе SCORE2 [</w:t>
      </w:r>
      <w:hyperlink w:history="true" w:anchor="_bookmark95">
        <w:r>
          <w:rPr>
            <w:sz w:val="24"/>
          </w:rPr>
          <w:t>50</w:t>
        </w:r>
      </w:hyperlink>
      <w:r>
        <w:rPr>
          <w:sz w:val="24"/>
        </w:rPr>
        <w:t>, </w:t>
      </w:r>
      <w:hyperlink w:history="true" w:anchor="_bookmark273">
        <w:r>
          <w:rPr>
            <w:sz w:val="24"/>
          </w:rPr>
          <w:t>232</w:t>
        </w:r>
      </w:hyperlink>
      <w:r>
        <w:rPr>
          <w:sz w:val="24"/>
        </w:rPr>
        <w:t>].</w:t>
      </w:r>
    </w:p>
    <w:p>
      <w:pPr>
        <w:pStyle w:val="Heading2"/>
        <w:spacing w:before="10"/>
        <w:ind w:left="2264"/>
      </w:pPr>
      <w:r>
        <w:rPr/>
        <w:t>ЕОК/ЕОА</w:t>
      </w:r>
      <w:r>
        <w:rPr>
          <w:spacing w:val="-2"/>
        </w:rPr>
        <w:t> </w:t>
      </w:r>
      <w:r>
        <w:rPr/>
        <w:t>I</w:t>
      </w:r>
      <w:r>
        <w:rPr>
          <w:spacing w:val="-1"/>
        </w:rPr>
        <w:t> </w:t>
      </w:r>
      <w:r>
        <w:rPr/>
        <w:t>C</w:t>
      </w:r>
      <w:r>
        <w:rPr>
          <w:spacing w:val="-2"/>
        </w:rPr>
        <w:t> </w:t>
      </w:r>
      <w:r>
        <w:rPr/>
        <w:t>(УУР</w:t>
      </w:r>
      <w:r>
        <w:rPr>
          <w:spacing w:val="-2"/>
        </w:rPr>
        <w:t> </w:t>
      </w:r>
      <w:r>
        <w:rPr/>
        <w:t>С,</w:t>
      </w:r>
      <w:r>
        <w:rPr>
          <w:spacing w:val="1"/>
        </w:rPr>
        <w:t> </w:t>
      </w:r>
      <w:r>
        <w:rPr/>
        <w:t>УДД</w:t>
      </w:r>
      <w:r>
        <w:rPr>
          <w:spacing w:val="-1"/>
        </w:rPr>
        <w:t> </w:t>
      </w:r>
      <w:r>
        <w:rPr>
          <w:spacing w:val="-5"/>
        </w:rPr>
        <w:t>5)</w:t>
      </w:r>
    </w:p>
    <w:p>
      <w:pPr>
        <w:pStyle w:val="ListParagraph"/>
        <w:numPr>
          <w:ilvl w:val="1"/>
          <w:numId w:val="10"/>
        </w:numPr>
        <w:tabs>
          <w:tab w:pos="2265" w:val="left" w:leader="none"/>
        </w:tabs>
        <w:spacing w:line="350" w:lineRule="auto" w:before="142" w:after="0"/>
        <w:ind w:left="2264" w:right="568" w:hanging="358"/>
        <w:jc w:val="both"/>
        <w:rPr>
          <w:sz w:val="24"/>
        </w:rPr>
      </w:pPr>
      <w:r>
        <w:rPr>
          <w:sz w:val="24"/>
        </w:rPr>
        <w:t>У</w:t>
      </w:r>
      <w:r>
        <w:rPr>
          <w:spacing w:val="-3"/>
          <w:sz w:val="24"/>
        </w:rPr>
        <w:t> </w:t>
      </w:r>
      <w:r>
        <w:rPr>
          <w:sz w:val="24"/>
        </w:rPr>
        <w:t>всех</w:t>
      </w:r>
      <w:r>
        <w:rPr>
          <w:spacing w:val="-3"/>
          <w:sz w:val="24"/>
        </w:rPr>
        <w:t> </w:t>
      </w:r>
      <w:r>
        <w:rPr>
          <w:sz w:val="24"/>
        </w:rPr>
        <w:t>пациентов</w:t>
      </w:r>
      <w:r>
        <w:rPr>
          <w:spacing w:val="-4"/>
          <w:sz w:val="24"/>
        </w:rPr>
        <w:t> </w:t>
      </w:r>
      <w:r>
        <w:rPr>
          <w:sz w:val="24"/>
        </w:rPr>
        <w:t>старше</w:t>
      </w:r>
      <w:r>
        <w:rPr>
          <w:spacing w:val="-4"/>
          <w:sz w:val="24"/>
        </w:rPr>
        <w:t> </w:t>
      </w:r>
      <w:r>
        <w:rPr>
          <w:sz w:val="24"/>
        </w:rPr>
        <w:t>40</w:t>
      </w:r>
      <w:r>
        <w:rPr>
          <w:spacing w:val="-3"/>
          <w:sz w:val="24"/>
        </w:rPr>
        <w:t> </w:t>
      </w:r>
      <w:r>
        <w:rPr>
          <w:sz w:val="24"/>
        </w:rPr>
        <w:t>лет</w:t>
      </w:r>
      <w:r>
        <w:rPr>
          <w:spacing w:val="-3"/>
          <w:sz w:val="24"/>
        </w:rPr>
        <w:t> </w:t>
      </w:r>
      <w:r>
        <w:rPr>
          <w:sz w:val="24"/>
        </w:rPr>
        <w:t>рекомендовано</w:t>
      </w:r>
      <w:r>
        <w:rPr>
          <w:spacing w:val="-3"/>
          <w:sz w:val="24"/>
        </w:rPr>
        <w:t> </w:t>
      </w:r>
      <w:r>
        <w:rPr>
          <w:sz w:val="24"/>
        </w:rPr>
        <w:t>определять</w:t>
      </w:r>
      <w:r>
        <w:rPr>
          <w:spacing w:val="-3"/>
          <w:sz w:val="24"/>
        </w:rPr>
        <w:t> </w:t>
      </w:r>
      <w:r>
        <w:rPr>
          <w:sz w:val="24"/>
        </w:rPr>
        <w:t>уровень</w:t>
      </w:r>
      <w:r>
        <w:rPr>
          <w:spacing w:val="-5"/>
          <w:sz w:val="24"/>
        </w:rPr>
        <w:t> </w:t>
      </w:r>
      <w:r>
        <w:rPr>
          <w:sz w:val="24"/>
        </w:rPr>
        <w:t>ХС</w:t>
      </w:r>
      <w:r>
        <w:rPr>
          <w:spacing w:val="-3"/>
          <w:sz w:val="24"/>
        </w:rPr>
        <w:t> </w:t>
      </w:r>
      <w:r>
        <w:rPr>
          <w:sz w:val="24"/>
        </w:rPr>
        <w:t>ЛНП</w:t>
      </w:r>
      <w:r>
        <w:rPr>
          <w:spacing w:val="-4"/>
          <w:sz w:val="24"/>
        </w:rPr>
        <w:t> </w:t>
      </w:r>
      <w:r>
        <w:rPr>
          <w:sz w:val="24"/>
        </w:rPr>
        <w:t>как главный показатель оценки сердечно-сосудистого риска</w:t>
      </w:r>
      <w:r>
        <w:rPr>
          <w:spacing w:val="40"/>
          <w:sz w:val="24"/>
        </w:rPr>
        <w:t> </w:t>
      </w:r>
      <w:r>
        <w:rPr>
          <w:sz w:val="24"/>
        </w:rPr>
        <w:t>[</w:t>
      </w:r>
      <w:hyperlink w:history="true" w:anchor="_bookmark65">
        <w:r>
          <w:rPr>
            <w:sz w:val="24"/>
          </w:rPr>
          <w:t>19</w:t>
        </w:r>
      </w:hyperlink>
      <w:r>
        <w:rPr>
          <w:sz w:val="24"/>
        </w:rPr>
        <w:t>, </w:t>
      </w:r>
      <w:hyperlink w:history="true" w:anchor="_bookmark66">
        <w:r>
          <w:rPr>
            <w:sz w:val="24"/>
          </w:rPr>
          <w:t>21</w:t>
        </w:r>
      </w:hyperlink>
      <w:r>
        <w:rPr>
          <w:sz w:val="24"/>
        </w:rPr>
        <w:t>].</w:t>
      </w:r>
    </w:p>
    <w:p>
      <w:pPr>
        <w:pStyle w:val="Heading2"/>
        <w:spacing w:before="10"/>
        <w:ind w:left="2264"/>
      </w:pPr>
      <w:r>
        <w:rPr/>
        <w:t>ЕОК/ЕОА</w:t>
      </w:r>
      <w:r>
        <w:rPr>
          <w:spacing w:val="-2"/>
        </w:rPr>
        <w:t> </w:t>
      </w:r>
      <w:r>
        <w:rPr/>
        <w:t>I</w:t>
      </w:r>
      <w:r>
        <w:rPr>
          <w:spacing w:val="-1"/>
        </w:rPr>
        <w:t> </w:t>
      </w:r>
      <w:r>
        <w:rPr/>
        <w:t>C</w:t>
      </w:r>
      <w:r>
        <w:rPr>
          <w:spacing w:val="-2"/>
        </w:rPr>
        <w:t> </w:t>
      </w:r>
      <w:r>
        <w:rPr/>
        <w:t>(УУР</w:t>
      </w:r>
      <w:r>
        <w:rPr>
          <w:spacing w:val="-2"/>
        </w:rPr>
        <w:t> </w:t>
      </w:r>
      <w:r>
        <w:rPr/>
        <w:t>С,</w:t>
      </w:r>
      <w:r>
        <w:rPr>
          <w:spacing w:val="1"/>
        </w:rPr>
        <w:t> </w:t>
      </w:r>
      <w:r>
        <w:rPr/>
        <w:t>УДД</w:t>
      </w:r>
      <w:r>
        <w:rPr>
          <w:spacing w:val="-1"/>
        </w:rPr>
        <w:t> </w:t>
      </w:r>
      <w:r>
        <w:rPr>
          <w:spacing w:val="-5"/>
        </w:rPr>
        <w:t>4)</w:t>
      </w:r>
    </w:p>
    <w:p>
      <w:pPr>
        <w:pStyle w:val="ListParagraph"/>
        <w:numPr>
          <w:ilvl w:val="0"/>
          <w:numId w:val="11"/>
        </w:numPr>
        <w:tabs>
          <w:tab w:pos="2114" w:val="left" w:leader="none"/>
        </w:tabs>
        <w:spacing w:line="348" w:lineRule="auto" w:before="141" w:after="0"/>
        <w:ind w:left="2113" w:right="568" w:hanging="360"/>
        <w:jc w:val="both"/>
        <w:rPr>
          <w:sz w:val="24"/>
        </w:rPr>
      </w:pPr>
      <w:r>
        <w:rPr>
          <w:sz w:val="24"/>
        </w:rPr>
        <w:t>Пациентам высокого/очень высокого риска рекомендуется, кроме уровня ХС ЛНП, ХС неЛВП в крови [</w:t>
      </w:r>
      <w:hyperlink w:history="true" w:anchor="_bookmark198">
        <w:r>
          <w:rPr>
            <w:sz w:val="24"/>
          </w:rPr>
          <w:t>153</w:t>
        </w:r>
      </w:hyperlink>
      <w:r>
        <w:rPr>
          <w:sz w:val="24"/>
        </w:rPr>
        <w:t>, </w:t>
      </w:r>
      <w:hyperlink w:history="true" w:anchor="_bookmark199">
        <w:r>
          <w:rPr>
            <w:sz w:val="24"/>
          </w:rPr>
          <w:t>154</w:t>
        </w:r>
      </w:hyperlink>
      <w:r>
        <w:rPr>
          <w:sz w:val="24"/>
        </w:rPr>
        <w:t>].</w:t>
      </w:r>
    </w:p>
    <w:p>
      <w:pPr>
        <w:pStyle w:val="Heading3"/>
        <w:spacing w:before="17"/>
        <w:ind w:left="1969"/>
      </w:pPr>
      <w:r>
        <w:rPr/>
        <w:t>ЕОК/ЕОА</w:t>
      </w:r>
      <w:r>
        <w:rPr>
          <w:spacing w:val="-2"/>
        </w:rPr>
        <w:t> </w:t>
      </w:r>
      <w:r>
        <w:rPr/>
        <w:t>IIa</w:t>
      </w:r>
      <w:r>
        <w:rPr>
          <w:spacing w:val="-1"/>
        </w:rPr>
        <w:t> </w:t>
      </w:r>
      <w:r>
        <w:rPr/>
        <w:t>C</w:t>
      </w:r>
      <w:r>
        <w:rPr>
          <w:spacing w:val="-2"/>
        </w:rPr>
        <w:t> </w:t>
      </w:r>
      <w:r>
        <w:rPr/>
        <w:t>(УУР</w:t>
      </w:r>
      <w:r>
        <w:rPr>
          <w:spacing w:val="1"/>
        </w:rPr>
        <w:t> </w:t>
      </w:r>
      <w:r>
        <w:rPr/>
        <w:t>B, </w:t>
      </w:r>
      <w:r>
        <w:rPr>
          <w:spacing w:val="-2"/>
        </w:rPr>
        <w:t>УДД2)</w:t>
      </w:r>
    </w:p>
    <w:p>
      <w:pPr>
        <w:pStyle w:val="ListParagraph"/>
        <w:numPr>
          <w:ilvl w:val="1"/>
          <w:numId w:val="11"/>
        </w:numPr>
        <w:tabs>
          <w:tab w:pos="2265" w:val="left" w:leader="none"/>
        </w:tabs>
        <w:spacing w:line="355" w:lineRule="auto" w:before="138" w:after="0"/>
        <w:ind w:left="2264" w:right="567" w:hanging="358"/>
        <w:jc w:val="both"/>
        <w:rPr>
          <w:sz w:val="24"/>
        </w:rPr>
      </w:pPr>
      <w:r>
        <w:rPr>
          <w:sz w:val="24"/>
        </w:rPr>
        <w:t>У пациентов с ГТГ, СД, ожирением, метаболическим синдромом рекомендовано проводить лабораторную оценку ХС неЛВП – для более точной оценки сердечно-сосудистого риска [</w:t>
      </w:r>
      <w:hyperlink w:history="true" w:anchor="_bookmark66">
        <w:r>
          <w:rPr>
            <w:sz w:val="24"/>
          </w:rPr>
          <w:t>21,</w:t>
        </w:r>
      </w:hyperlink>
      <w:r>
        <w:rPr>
          <w:sz w:val="24"/>
        </w:rPr>
        <w:t> </w:t>
      </w:r>
      <w:hyperlink w:history="true" w:anchor="_bookmark67">
        <w:r>
          <w:rPr>
            <w:sz w:val="24"/>
          </w:rPr>
          <w:t>22</w:t>
        </w:r>
      </w:hyperlink>
      <w:r>
        <w:rPr>
          <w:sz w:val="24"/>
        </w:rPr>
        <w:t>].</w:t>
      </w:r>
    </w:p>
    <w:p>
      <w:pPr>
        <w:pStyle w:val="Heading2"/>
        <w:spacing w:before="6"/>
        <w:ind w:left="2264"/>
      </w:pPr>
      <w:r>
        <w:rPr/>
        <w:t>ЕОК/ЕОА</w:t>
      </w:r>
      <w:r>
        <w:rPr>
          <w:spacing w:val="-2"/>
        </w:rPr>
        <w:t> </w:t>
      </w:r>
      <w:r>
        <w:rPr/>
        <w:t>I</w:t>
      </w:r>
      <w:r>
        <w:rPr>
          <w:spacing w:val="-1"/>
        </w:rPr>
        <w:t> </w:t>
      </w:r>
      <w:r>
        <w:rPr/>
        <w:t>C</w:t>
      </w:r>
      <w:r>
        <w:rPr>
          <w:spacing w:val="-2"/>
        </w:rPr>
        <w:t> </w:t>
      </w:r>
      <w:r>
        <w:rPr/>
        <w:t>(УУР</w:t>
      </w:r>
      <w:r>
        <w:rPr>
          <w:spacing w:val="-2"/>
        </w:rPr>
        <w:t> </w:t>
      </w:r>
      <w:r>
        <w:rPr/>
        <w:t>А,</w:t>
      </w:r>
      <w:r>
        <w:rPr>
          <w:spacing w:val="1"/>
        </w:rPr>
        <w:t> </w:t>
      </w:r>
      <w:r>
        <w:rPr/>
        <w:t>УДД</w:t>
      </w:r>
      <w:r>
        <w:rPr>
          <w:spacing w:val="-1"/>
        </w:rPr>
        <w:t> </w:t>
      </w:r>
      <w:r>
        <w:rPr>
          <w:spacing w:val="-5"/>
        </w:rPr>
        <w:t>1)</w:t>
      </w:r>
    </w:p>
    <w:p>
      <w:pPr>
        <w:pStyle w:val="ListParagraph"/>
        <w:numPr>
          <w:ilvl w:val="1"/>
          <w:numId w:val="11"/>
        </w:numPr>
        <w:tabs>
          <w:tab w:pos="2265" w:val="left" w:leader="none"/>
        </w:tabs>
        <w:spacing w:line="357" w:lineRule="auto" w:before="139" w:after="0"/>
        <w:ind w:left="2264" w:right="567" w:hanging="360"/>
        <w:jc w:val="both"/>
        <w:rPr>
          <w:sz w:val="24"/>
        </w:rPr>
      </w:pPr>
      <w:r>
        <w:rPr>
          <w:sz w:val="24"/>
        </w:rPr>
        <w:t>В случаях, когда трактовка сердечно-сосдистого риска вызывает затруднения(сомнения) в особенности у пациентов с ГТГ, СД, ожирением, метаболическим синдромом рекомендовано лабораторное исследование уровня атерогенного аполипопротеина В100.</w:t>
      </w:r>
    </w:p>
    <w:p>
      <w:pPr>
        <w:pStyle w:val="Heading2"/>
        <w:spacing w:line="275" w:lineRule="exact"/>
        <w:ind w:left="2264"/>
      </w:pPr>
      <w:r>
        <w:rPr/>
        <w:t>ЕОК/ЕОА</w:t>
      </w:r>
      <w:r>
        <w:rPr>
          <w:spacing w:val="-3"/>
        </w:rPr>
        <w:t> </w:t>
      </w:r>
      <w:r>
        <w:rPr/>
        <w:t>I</w:t>
      </w:r>
      <w:r>
        <w:rPr>
          <w:spacing w:val="-1"/>
        </w:rPr>
        <w:t> </w:t>
      </w:r>
      <w:r>
        <w:rPr/>
        <w:t>C</w:t>
      </w:r>
      <w:r>
        <w:rPr>
          <w:spacing w:val="-3"/>
        </w:rPr>
        <w:t> </w:t>
      </w:r>
      <w:r>
        <w:rPr/>
        <w:t>(УУРС,</w:t>
      </w:r>
      <w:r>
        <w:rPr>
          <w:spacing w:val="1"/>
        </w:rPr>
        <w:t> </w:t>
      </w:r>
      <w:r>
        <w:rPr/>
        <w:t>УДД</w:t>
      </w:r>
      <w:r>
        <w:rPr>
          <w:spacing w:val="-1"/>
        </w:rPr>
        <w:t> </w:t>
      </w:r>
      <w:r>
        <w:rPr>
          <w:spacing w:val="-5"/>
        </w:rPr>
        <w:t>5)</w:t>
      </w:r>
    </w:p>
    <w:p>
      <w:pPr>
        <w:pStyle w:val="ListParagraph"/>
        <w:numPr>
          <w:ilvl w:val="1"/>
          <w:numId w:val="11"/>
        </w:numPr>
        <w:tabs>
          <w:tab w:pos="2265" w:val="left" w:leader="none"/>
        </w:tabs>
        <w:spacing w:line="355" w:lineRule="auto" w:before="141" w:after="0"/>
        <w:ind w:left="2264" w:right="566" w:hanging="358"/>
        <w:jc w:val="both"/>
        <w:rPr>
          <w:sz w:val="24"/>
        </w:rPr>
      </w:pPr>
      <w:r>
        <w:rPr>
          <w:sz w:val="24"/>
        </w:rPr>
        <w:t>Хотя бы раз в жизни у</w:t>
      </w:r>
      <w:r>
        <w:rPr>
          <w:spacing w:val="-1"/>
          <w:sz w:val="24"/>
        </w:rPr>
        <w:t> </w:t>
      </w:r>
      <w:r>
        <w:rPr>
          <w:sz w:val="24"/>
        </w:rPr>
        <w:t>любого взрослого рекомендовано измерить уровень Лп(а) в крови. При значении Лп(а)&gt;180 мг/дл риск эквивалентен гетерозиготной</w:t>
      </w:r>
      <w:r>
        <w:rPr>
          <w:spacing w:val="40"/>
          <w:sz w:val="24"/>
        </w:rPr>
        <w:t> </w:t>
      </w:r>
      <w:r>
        <w:rPr>
          <w:spacing w:val="-2"/>
          <w:sz w:val="24"/>
        </w:rPr>
        <w:t>СГХС.</w:t>
      </w:r>
    </w:p>
    <w:p>
      <w:pPr>
        <w:pStyle w:val="Heading3"/>
        <w:spacing w:before="6"/>
        <w:ind w:left="2264"/>
        <w:jc w:val="both"/>
      </w:pPr>
      <w:r>
        <w:rPr/>
        <w:t>ЕОК/ЕОА</w:t>
      </w:r>
      <w:r>
        <w:rPr>
          <w:spacing w:val="-2"/>
        </w:rPr>
        <w:t> </w:t>
      </w:r>
      <w:r>
        <w:rPr/>
        <w:t>IIa</w:t>
      </w:r>
      <w:r>
        <w:rPr>
          <w:spacing w:val="-1"/>
        </w:rPr>
        <w:t> </w:t>
      </w:r>
      <w:r>
        <w:rPr/>
        <w:t>C</w:t>
      </w:r>
      <w:r>
        <w:rPr>
          <w:spacing w:val="-2"/>
        </w:rPr>
        <w:t> </w:t>
      </w:r>
      <w:r>
        <w:rPr/>
        <w:t>(УУР</w:t>
      </w:r>
      <w:r>
        <w:rPr>
          <w:spacing w:val="1"/>
        </w:rPr>
        <w:t> </w:t>
      </w:r>
      <w:r>
        <w:rPr/>
        <w:t>С,</w:t>
      </w:r>
      <w:r>
        <w:rPr>
          <w:spacing w:val="-1"/>
        </w:rPr>
        <w:t> </w:t>
      </w:r>
      <w:r>
        <w:rPr/>
        <w:t>УДД</w:t>
      </w:r>
      <w:r>
        <w:rPr>
          <w:spacing w:val="-1"/>
        </w:rPr>
        <w:t> </w:t>
      </w:r>
      <w:r>
        <w:rPr>
          <w:spacing w:val="-5"/>
        </w:rPr>
        <w:t>5)</w:t>
      </w:r>
    </w:p>
    <w:p>
      <w:pPr>
        <w:pStyle w:val="ListParagraph"/>
        <w:numPr>
          <w:ilvl w:val="1"/>
          <w:numId w:val="11"/>
        </w:numPr>
        <w:tabs>
          <w:tab w:pos="2265" w:val="left" w:leader="none"/>
        </w:tabs>
        <w:spacing w:line="355" w:lineRule="auto" w:before="139" w:after="0"/>
        <w:ind w:left="2264" w:right="567" w:hanging="358"/>
        <w:jc w:val="both"/>
        <w:rPr>
          <w:sz w:val="24"/>
        </w:rPr>
      </w:pPr>
      <w:r>
        <w:rPr>
          <w:sz w:val="24"/>
        </w:rPr>
        <w:t>У пациентов с отягощённым семейным анамнезом рекомендовано измерять уровень Лп(а) в крови. Уровень Лп(а)</w:t>
      </w:r>
      <w:r>
        <w:rPr>
          <w:sz w:val="24"/>
          <w:u w:val="single"/>
        </w:rPr>
        <w:t>&gt;</w:t>
      </w:r>
      <w:r>
        <w:rPr>
          <w:sz w:val="24"/>
        </w:rPr>
        <w:t>50 мг/дл ассоциируется с увеличением сердечно-сосудистого риска.</w:t>
      </w:r>
    </w:p>
    <w:p>
      <w:pPr>
        <w:pStyle w:val="Heading3"/>
        <w:spacing w:before="6"/>
        <w:ind w:left="2264"/>
        <w:jc w:val="both"/>
      </w:pPr>
      <w:r>
        <w:rPr/>
        <w:t>ЕОК/ЕОА</w:t>
      </w:r>
      <w:r>
        <w:rPr>
          <w:spacing w:val="-2"/>
        </w:rPr>
        <w:t> </w:t>
      </w:r>
      <w:r>
        <w:rPr/>
        <w:t>IIa</w:t>
      </w:r>
      <w:r>
        <w:rPr>
          <w:spacing w:val="-1"/>
        </w:rPr>
        <w:t> </w:t>
      </w:r>
      <w:r>
        <w:rPr/>
        <w:t>C</w:t>
      </w:r>
      <w:r>
        <w:rPr>
          <w:spacing w:val="-2"/>
        </w:rPr>
        <w:t> </w:t>
      </w:r>
      <w:r>
        <w:rPr/>
        <w:t>(УУРС,</w:t>
      </w:r>
      <w:r>
        <w:rPr>
          <w:spacing w:val="-1"/>
        </w:rPr>
        <w:t> </w:t>
      </w:r>
      <w:r>
        <w:rPr/>
        <w:t>УДД </w:t>
      </w:r>
      <w:r>
        <w:rPr>
          <w:spacing w:val="-5"/>
        </w:rPr>
        <w:t>5)</w:t>
      </w:r>
    </w:p>
    <w:p>
      <w:pPr>
        <w:spacing w:after="0"/>
        <w:jc w:val="both"/>
        <w:sectPr>
          <w:pgSz w:w="11910" w:h="16840"/>
          <w:pgMar w:header="0" w:footer="710" w:top="1040" w:bottom="900" w:left="440" w:right="280"/>
        </w:sectPr>
      </w:pPr>
    </w:p>
    <w:p>
      <w:pPr>
        <w:spacing w:line="360" w:lineRule="auto" w:before="73"/>
        <w:ind w:left="1544" w:right="566" w:firstLine="0"/>
        <w:jc w:val="both"/>
        <w:rPr>
          <w:i/>
          <w:sz w:val="24"/>
        </w:rPr>
      </w:pPr>
      <w:r>
        <w:rPr>
          <w:b/>
          <w:sz w:val="24"/>
        </w:rPr>
        <w:t>Комментарии. </w:t>
      </w:r>
      <w:r>
        <w:rPr>
          <w:i/>
          <w:sz w:val="24"/>
        </w:rPr>
        <w:t>Принципы определения уровня липидов сыворотки крови: традиционно образцы крови для анализа липидов берутся натощак, однако последние исследования говорят о том, что колебания концентрации липидов плазмы крови незначительны в зависимости от приема пищи </w:t>
      </w:r>
      <w:r>
        <w:rPr>
          <w:sz w:val="24"/>
        </w:rPr>
        <w:t>[</w:t>
      </w:r>
      <w:hyperlink w:history="true" w:anchor="_bookmark68">
        <w:r>
          <w:rPr>
            <w:sz w:val="24"/>
          </w:rPr>
          <w:t>23,</w:t>
        </w:r>
      </w:hyperlink>
      <w:r>
        <w:rPr>
          <w:sz w:val="24"/>
        </w:rPr>
        <w:t> </w:t>
      </w:r>
      <w:hyperlink w:history="true" w:anchor="_bookmark69">
        <w:r>
          <w:rPr>
            <w:sz w:val="24"/>
          </w:rPr>
          <w:t>24</w:t>
        </w:r>
      </w:hyperlink>
      <w:r>
        <w:rPr>
          <w:sz w:val="24"/>
        </w:rPr>
        <w:t>]</w:t>
      </w:r>
      <w:r>
        <w:rPr>
          <w:i/>
          <w:sz w:val="24"/>
        </w:rPr>
        <w:t>.Однако у лиц с ГТГ забор крови рекомендуется проводить натощак.</w:t>
      </w:r>
    </w:p>
    <w:p>
      <w:pPr>
        <w:spacing w:before="2"/>
        <w:ind w:left="1544" w:right="0" w:firstLine="0"/>
        <w:jc w:val="both"/>
        <w:rPr>
          <w:i/>
          <w:sz w:val="24"/>
        </w:rPr>
      </w:pPr>
      <w:r>
        <w:rPr>
          <w:i/>
          <w:sz w:val="24"/>
        </w:rPr>
        <w:t>Референсный</w:t>
      </w:r>
      <w:r>
        <w:rPr>
          <w:i/>
          <w:spacing w:val="-3"/>
          <w:sz w:val="24"/>
        </w:rPr>
        <w:t> </w:t>
      </w:r>
      <w:r>
        <w:rPr>
          <w:i/>
          <w:sz w:val="24"/>
        </w:rPr>
        <w:t>метод</w:t>
      </w:r>
      <w:r>
        <w:rPr>
          <w:i/>
          <w:spacing w:val="-2"/>
          <w:sz w:val="24"/>
        </w:rPr>
        <w:t> </w:t>
      </w:r>
      <w:r>
        <w:rPr>
          <w:i/>
          <w:sz w:val="24"/>
        </w:rPr>
        <w:t>определения</w:t>
      </w:r>
      <w:r>
        <w:rPr>
          <w:i/>
          <w:spacing w:val="-1"/>
          <w:sz w:val="24"/>
        </w:rPr>
        <w:t> </w:t>
      </w:r>
      <w:r>
        <w:rPr>
          <w:i/>
          <w:sz w:val="24"/>
        </w:rPr>
        <w:t>уровня</w:t>
      </w:r>
      <w:r>
        <w:rPr>
          <w:i/>
          <w:spacing w:val="-1"/>
          <w:sz w:val="24"/>
        </w:rPr>
        <w:t> </w:t>
      </w:r>
      <w:r>
        <w:rPr>
          <w:i/>
          <w:sz w:val="24"/>
        </w:rPr>
        <w:t>ХС</w:t>
      </w:r>
      <w:r>
        <w:rPr>
          <w:i/>
          <w:spacing w:val="-2"/>
          <w:sz w:val="24"/>
        </w:rPr>
        <w:t> </w:t>
      </w:r>
      <w:r>
        <w:rPr>
          <w:i/>
          <w:sz w:val="24"/>
        </w:rPr>
        <w:t>ЛНП</w:t>
      </w:r>
      <w:r>
        <w:rPr>
          <w:i/>
          <w:spacing w:val="-3"/>
          <w:sz w:val="24"/>
        </w:rPr>
        <w:t> </w:t>
      </w:r>
      <w:r>
        <w:rPr>
          <w:i/>
          <w:sz w:val="24"/>
        </w:rPr>
        <w:t>является</w:t>
      </w:r>
      <w:r>
        <w:rPr>
          <w:i/>
          <w:spacing w:val="-1"/>
          <w:sz w:val="24"/>
        </w:rPr>
        <w:t> </w:t>
      </w:r>
      <w:r>
        <w:rPr>
          <w:i/>
          <w:spacing w:val="-2"/>
          <w:sz w:val="24"/>
        </w:rPr>
        <w:t>многостадийным:</w:t>
      </w:r>
    </w:p>
    <w:p>
      <w:pPr>
        <w:pStyle w:val="ListParagraph"/>
        <w:numPr>
          <w:ilvl w:val="0"/>
          <w:numId w:val="12"/>
        </w:numPr>
        <w:tabs>
          <w:tab w:pos="1821" w:val="left" w:leader="none"/>
        </w:tabs>
        <w:spacing w:line="360" w:lineRule="auto" w:before="136" w:after="0"/>
        <w:ind w:left="1544" w:right="569" w:firstLine="0"/>
        <w:jc w:val="left"/>
        <w:rPr>
          <w:i/>
          <w:sz w:val="24"/>
        </w:rPr>
      </w:pPr>
      <w:r>
        <w:rPr>
          <w:i/>
          <w:sz w:val="24"/>
        </w:rPr>
        <w:t>ультрацентрифугирование в плотности 1,006 г/мл в течение 18 часов для удаления липопротеидов, богатых ТГ (ХМ и ЛОНП);</w:t>
      </w:r>
    </w:p>
    <w:p>
      <w:pPr>
        <w:pStyle w:val="ListParagraph"/>
        <w:numPr>
          <w:ilvl w:val="0"/>
          <w:numId w:val="12"/>
        </w:numPr>
        <w:tabs>
          <w:tab w:pos="1934" w:val="left" w:leader="none"/>
        </w:tabs>
        <w:spacing w:line="360" w:lineRule="auto" w:before="1" w:after="0"/>
        <w:ind w:left="1544" w:right="568" w:firstLine="0"/>
        <w:jc w:val="left"/>
        <w:rPr>
          <w:i/>
          <w:sz w:val="24"/>
        </w:rPr>
      </w:pPr>
      <w:r>
        <w:rPr>
          <w:i/>
          <w:sz w:val="24"/>
        </w:rPr>
        <w:t>выделение</w:t>
      </w:r>
      <w:r>
        <w:rPr>
          <w:i/>
          <w:spacing w:val="80"/>
          <w:w w:val="150"/>
          <w:sz w:val="24"/>
        </w:rPr>
        <w:t> </w:t>
      </w:r>
      <w:r>
        <w:rPr>
          <w:i/>
          <w:sz w:val="24"/>
        </w:rPr>
        <w:t>донной</w:t>
      </w:r>
      <w:r>
        <w:rPr>
          <w:i/>
          <w:spacing w:val="80"/>
          <w:w w:val="150"/>
          <w:sz w:val="24"/>
        </w:rPr>
        <w:t> </w:t>
      </w:r>
      <w:r>
        <w:rPr>
          <w:i/>
          <w:sz w:val="24"/>
        </w:rPr>
        <w:t>фракции</w:t>
      </w:r>
      <w:r>
        <w:rPr>
          <w:i/>
          <w:spacing w:val="80"/>
          <w:w w:val="150"/>
          <w:sz w:val="24"/>
        </w:rPr>
        <w:t> </w:t>
      </w:r>
      <w:r>
        <w:rPr>
          <w:i/>
          <w:sz w:val="24"/>
        </w:rPr>
        <w:t>(плотности</w:t>
      </w:r>
      <w:r>
        <w:rPr>
          <w:i/>
          <w:spacing w:val="80"/>
          <w:w w:val="150"/>
          <w:sz w:val="24"/>
        </w:rPr>
        <w:t> </w:t>
      </w:r>
      <w:r>
        <w:rPr>
          <w:i/>
          <w:sz w:val="24"/>
        </w:rPr>
        <w:t>1,006</w:t>
      </w:r>
      <w:r>
        <w:rPr>
          <w:i/>
          <w:spacing w:val="80"/>
          <w:w w:val="150"/>
          <w:sz w:val="24"/>
        </w:rPr>
        <w:t> </w:t>
      </w:r>
      <w:r>
        <w:rPr>
          <w:i/>
          <w:sz w:val="24"/>
        </w:rPr>
        <w:t>г/мл)</w:t>
      </w:r>
      <w:r>
        <w:rPr>
          <w:i/>
          <w:spacing w:val="80"/>
          <w:w w:val="150"/>
          <w:sz w:val="24"/>
        </w:rPr>
        <w:t> </w:t>
      </w:r>
      <w:r>
        <w:rPr>
          <w:i/>
          <w:sz w:val="24"/>
        </w:rPr>
        <w:t>и</w:t>
      </w:r>
      <w:r>
        <w:rPr>
          <w:i/>
          <w:spacing w:val="80"/>
          <w:w w:val="150"/>
          <w:sz w:val="24"/>
        </w:rPr>
        <w:t> </w:t>
      </w:r>
      <w:r>
        <w:rPr>
          <w:i/>
          <w:sz w:val="24"/>
        </w:rPr>
        <w:t>преципитация</w:t>
      </w:r>
      <w:r>
        <w:rPr>
          <w:i/>
          <w:spacing w:val="80"/>
          <w:w w:val="150"/>
          <w:sz w:val="24"/>
        </w:rPr>
        <w:t> </w:t>
      </w:r>
      <w:r>
        <w:rPr>
          <w:i/>
          <w:sz w:val="24"/>
        </w:rPr>
        <w:t>в</w:t>
      </w:r>
      <w:r>
        <w:rPr>
          <w:i/>
          <w:spacing w:val="80"/>
          <w:w w:val="150"/>
          <w:sz w:val="24"/>
        </w:rPr>
        <w:t> </w:t>
      </w:r>
      <w:r>
        <w:rPr>
          <w:i/>
          <w:sz w:val="24"/>
        </w:rPr>
        <w:t>ней </w:t>
      </w:r>
      <w:r>
        <w:rPr>
          <w:i/>
          <w:position w:val="2"/>
          <w:sz w:val="24"/>
        </w:rPr>
        <w:t>липопротеидов, содержащих апоВ смесью гепарин и MnCl</w:t>
      </w:r>
      <w:r>
        <w:rPr>
          <w:i/>
          <w:sz w:val="16"/>
        </w:rPr>
        <w:t>2</w:t>
      </w:r>
      <w:r>
        <w:rPr>
          <w:i/>
          <w:spacing w:val="33"/>
          <w:sz w:val="16"/>
        </w:rPr>
        <w:t> </w:t>
      </w:r>
      <w:r>
        <w:rPr>
          <w:i/>
          <w:position w:val="2"/>
          <w:sz w:val="24"/>
        </w:rPr>
        <w:t>для выделения ЛВП;</w:t>
      </w:r>
    </w:p>
    <w:p>
      <w:pPr>
        <w:pStyle w:val="ListParagraph"/>
        <w:numPr>
          <w:ilvl w:val="0"/>
          <w:numId w:val="12"/>
        </w:numPr>
        <w:tabs>
          <w:tab w:pos="1872" w:val="left" w:leader="none"/>
        </w:tabs>
        <w:spacing w:line="360" w:lineRule="auto" w:before="0" w:after="0"/>
        <w:ind w:left="1544" w:right="570" w:firstLine="0"/>
        <w:jc w:val="left"/>
        <w:rPr>
          <w:i/>
          <w:sz w:val="24"/>
        </w:rPr>
      </w:pPr>
      <w:r>
        <w:rPr>
          <w:i/>
          <w:sz w:val="24"/>
        </w:rPr>
        <w:t>определение</w:t>
      </w:r>
      <w:r>
        <w:rPr>
          <w:i/>
          <w:spacing w:val="40"/>
          <w:sz w:val="24"/>
        </w:rPr>
        <w:t> </w:t>
      </w:r>
      <w:r>
        <w:rPr>
          <w:i/>
          <w:sz w:val="24"/>
        </w:rPr>
        <w:t>концентрации</w:t>
      </w:r>
      <w:r>
        <w:rPr>
          <w:i/>
          <w:spacing w:val="40"/>
          <w:sz w:val="24"/>
        </w:rPr>
        <w:t> </w:t>
      </w:r>
      <w:r>
        <w:rPr>
          <w:i/>
          <w:sz w:val="24"/>
        </w:rPr>
        <w:t>ХС</w:t>
      </w:r>
      <w:r>
        <w:rPr>
          <w:i/>
          <w:spacing w:val="40"/>
          <w:sz w:val="24"/>
        </w:rPr>
        <w:t> </w:t>
      </w:r>
      <w:r>
        <w:rPr>
          <w:i/>
          <w:sz w:val="24"/>
        </w:rPr>
        <w:t>в</w:t>
      </w:r>
      <w:r>
        <w:rPr>
          <w:i/>
          <w:spacing w:val="40"/>
          <w:sz w:val="24"/>
        </w:rPr>
        <w:t> </w:t>
      </w:r>
      <w:r>
        <w:rPr>
          <w:i/>
          <w:sz w:val="24"/>
        </w:rPr>
        <w:t>донной</w:t>
      </w:r>
      <w:r>
        <w:rPr>
          <w:i/>
          <w:spacing w:val="40"/>
          <w:sz w:val="24"/>
        </w:rPr>
        <w:t> </w:t>
      </w:r>
      <w:r>
        <w:rPr>
          <w:i/>
          <w:sz w:val="24"/>
        </w:rPr>
        <w:t>фракции</w:t>
      </w:r>
      <w:r>
        <w:rPr>
          <w:i/>
          <w:spacing w:val="40"/>
          <w:sz w:val="24"/>
        </w:rPr>
        <w:t> </w:t>
      </w:r>
      <w:r>
        <w:rPr>
          <w:i/>
          <w:sz w:val="24"/>
        </w:rPr>
        <w:t>и</w:t>
      </w:r>
      <w:r>
        <w:rPr>
          <w:i/>
          <w:spacing w:val="40"/>
          <w:sz w:val="24"/>
        </w:rPr>
        <w:t> </w:t>
      </w:r>
      <w:r>
        <w:rPr>
          <w:i/>
          <w:sz w:val="24"/>
        </w:rPr>
        <w:t>супернатанте</w:t>
      </w:r>
      <w:r>
        <w:rPr>
          <w:i/>
          <w:spacing w:val="40"/>
          <w:sz w:val="24"/>
        </w:rPr>
        <w:t> </w:t>
      </w:r>
      <w:r>
        <w:rPr>
          <w:i/>
          <w:sz w:val="24"/>
        </w:rPr>
        <w:t>референсным методом для определения ХС (модифицированный метод Абеля-Кендалла);</w:t>
      </w:r>
    </w:p>
    <w:p>
      <w:pPr>
        <w:pStyle w:val="ListParagraph"/>
        <w:numPr>
          <w:ilvl w:val="0"/>
          <w:numId w:val="12"/>
        </w:numPr>
        <w:tabs>
          <w:tab w:pos="1840" w:val="left" w:leader="none"/>
          <w:tab w:pos="2711" w:val="left" w:leader="none"/>
          <w:tab w:pos="3279" w:val="left" w:leader="none"/>
          <w:tab w:pos="3800" w:val="left" w:leader="none"/>
          <w:tab w:pos="4172" w:val="left" w:leader="none"/>
          <w:tab w:pos="4494" w:val="left" w:leader="none"/>
          <w:tab w:pos="4813" w:val="left" w:leader="none"/>
          <w:tab w:pos="5055" w:val="left" w:leader="none"/>
          <w:tab w:pos="5564" w:val="left" w:leader="none"/>
          <w:tab w:pos="6275" w:val="left" w:leader="none"/>
          <w:tab w:pos="6517" w:val="left" w:leader="none"/>
          <w:tab w:pos="6582" w:val="left" w:leader="none"/>
          <w:tab w:pos="7287" w:val="left" w:leader="none"/>
          <w:tab w:pos="8027" w:val="left" w:leader="none"/>
          <w:tab w:pos="8982" w:val="left" w:leader="none"/>
          <w:tab w:pos="9685" w:val="left" w:leader="none"/>
        </w:tabs>
        <w:spacing w:line="360" w:lineRule="auto" w:before="0" w:after="0"/>
        <w:ind w:left="1544" w:right="566" w:firstLine="0"/>
        <w:jc w:val="left"/>
        <w:rPr>
          <w:i/>
          <w:sz w:val="24"/>
        </w:rPr>
      </w:pPr>
      <w:r>
        <w:rPr>
          <w:i/>
          <w:sz w:val="24"/>
        </w:rPr>
        <w:t>вычисление</w:t>
      </w:r>
      <w:r>
        <w:rPr>
          <w:i/>
          <w:spacing w:val="32"/>
          <w:sz w:val="24"/>
        </w:rPr>
        <w:t> </w:t>
      </w:r>
      <w:r>
        <w:rPr>
          <w:i/>
          <w:sz w:val="24"/>
        </w:rPr>
        <w:t>ХС</w:t>
      </w:r>
      <w:r>
        <w:rPr>
          <w:i/>
          <w:spacing w:val="33"/>
          <w:sz w:val="24"/>
        </w:rPr>
        <w:t> </w:t>
      </w:r>
      <w:r>
        <w:rPr>
          <w:i/>
          <w:sz w:val="24"/>
        </w:rPr>
        <w:t>ЛНП</w:t>
      </w:r>
      <w:r>
        <w:rPr>
          <w:i/>
          <w:spacing w:val="32"/>
          <w:sz w:val="24"/>
        </w:rPr>
        <w:t> </w:t>
      </w:r>
      <w:r>
        <w:rPr>
          <w:i/>
          <w:sz w:val="24"/>
        </w:rPr>
        <w:t>как</w:t>
      </w:r>
      <w:r>
        <w:rPr>
          <w:i/>
          <w:spacing w:val="33"/>
          <w:sz w:val="24"/>
        </w:rPr>
        <w:t> </w:t>
      </w:r>
      <w:r>
        <w:rPr>
          <w:i/>
          <w:sz w:val="24"/>
        </w:rPr>
        <w:t>разности</w:t>
      </w:r>
      <w:r>
        <w:rPr>
          <w:i/>
          <w:spacing w:val="33"/>
          <w:sz w:val="24"/>
        </w:rPr>
        <w:t> </w:t>
      </w:r>
      <w:r>
        <w:rPr>
          <w:i/>
          <w:sz w:val="24"/>
        </w:rPr>
        <w:t>для</w:t>
      </w:r>
      <w:r>
        <w:rPr>
          <w:i/>
          <w:spacing w:val="34"/>
          <w:sz w:val="24"/>
        </w:rPr>
        <w:t> </w:t>
      </w:r>
      <w:r>
        <w:rPr>
          <w:i/>
          <w:sz w:val="24"/>
        </w:rPr>
        <w:t>значений</w:t>
      </w:r>
      <w:r>
        <w:rPr>
          <w:i/>
          <w:spacing w:val="33"/>
          <w:sz w:val="24"/>
        </w:rPr>
        <w:t> </w:t>
      </w:r>
      <w:r>
        <w:rPr>
          <w:i/>
          <w:sz w:val="24"/>
        </w:rPr>
        <w:t>ХС</w:t>
      </w:r>
      <w:r>
        <w:rPr>
          <w:i/>
          <w:spacing w:val="33"/>
          <w:sz w:val="24"/>
        </w:rPr>
        <w:t> </w:t>
      </w:r>
      <w:r>
        <w:rPr>
          <w:i/>
          <w:sz w:val="24"/>
        </w:rPr>
        <w:t>в</w:t>
      </w:r>
      <w:r>
        <w:rPr>
          <w:i/>
          <w:spacing w:val="32"/>
          <w:sz w:val="24"/>
        </w:rPr>
        <w:t> </w:t>
      </w:r>
      <w:r>
        <w:rPr>
          <w:i/>
          <w:sz w:val="24"/>
        </w:rPr>
        <w:t>донной</w:t>
      </w:r>
      <w:r>
        <w:rPr>
          <w:i/>
          <w:spacing w:val="33"/>
          <w:sz w:val="24"/>
        </w:rPr>
        <w:t> </w:t>
      </w:r>
      <w:r>
        <w:rPr>
          <w:i/>
          <w:sz w:val="24"/>
        </w:rPr>
        <w:t>фракции</w:t>
      </w:r>
      <w:r>
        <w:rPr>
          <w:i/>
          <w:spacing w:val="33"/>
          <w:sz w:val="24"/>
        </w:rPr>
        <w:t> </w:t>
      </w:r>
      <w:r>
        <w:rPr>
          <w:i/>
          <w:sz w:val="24"/>
        </w:rPr>
        <w:t>и</w:t>
      </w:r>
      <w:r>
        <w:rPr>
          <w:i/>
          <w:spacing w:val="33"/>
          <w:sz w:val="24"/>
        </w:rPr>
        <w:t> </w:t>
      </w:r>
      <w:r>
        <w:rPr>
          <w:i/>
          <w:sz w:val="24"/>
        </w:rPr>
        <w:t>ХС</w:t>
      </w:r>
      <w:r>
        <w:rPr>
          <w:i/>
          <w:spacing w:val="33"/>
          <w:sz w:val="24"/>
        </w:rPr>
        <w:t> </w:t>
      </w:r>
      <w:r>
        <w:rPr>
          <w:i/>
          <w:sz w:val="24"/>
        </w:rPr>
        <w:t>ЛВП. Препаративное</w:t>
      </w:r>
      <w:r>
        <w:rPr>
          <w:i/>
          <w:spacing w:val="40"/>
          <w:sz w:val="24"/>
        </w:rPr>
        <w:t> </w:t>
      </w:r>
      <w:r>
        <w:rPr>
          <w:i/>
          <w:sz w:val="24"/>
        </w:rPr>
        <w:t>выделение</w:t>
      </w:r>
      <w:r>
        <w:rPr>
          <w:i/>
          <w:spacing w:val="40"/>
          <w:sz w:val="24"/>
        </w:rPr>
        <w:t> </w:t>
      </w:r>
      <w:r>
        <w:rPr>
          <w:i/>
          <w:sz w:val="24"/>
        </w:rPr>
        <w:t>методом</w:t>
      </w:r>
      <w:r>
        <w:rPr>
          <w:i/>
          <w:spacing w:val="40"/>
          <w:sz w:val="24"/>
        </w:rPr>
        <w:t> </w:t>
      </w:r>
      <w:r>
        <w:rPr>
          <w:i/>
          <w:sz w:val="24"/>
        </w:rPr>
        <w:t>ультрацентрифугирования</w:t>
      </w:r>
      <w:r>
        <w:rPr>
          <w:i/>
          <w:spacing w:val="40"/>
          <w:sz w:val="24"/>
        </w:rPr>
        <w:t> </w:t>
      </w:r>
      <w:r>
        <w:rPr>
          <w:i/>
          <w:sz w:val="24"/>
        </w:rPr>
        <w:t>в</w:t>
      </w:r>
      <w:r>
        <w:rPr>
          <w:i/>
          <w:spacing w:val="40"/>
          <w:sz w:val="24"/>
        </w:rPr>
        <w:t> </w:t>
      </w:r>
      <w:r>
        <w:rPr>
          <w:i/>
          <w:sz w:val="24"/>
        </w:rPr>
        <w:t>солевом</w:t>
      </w:r>
      <w:r>
        <w:rPr>
          <w:i/>
          <w:spacing w:val="40"/>
          <w:sz w:val="24"/>
        </w:rPr>
        <w:t> </w:t>
      </w:r>
      <w:r>
        <w:rPr>
          <w:i/>
          <w:sz w:val="24"/>
        </w:rPr>
        <w:t>растворе определенной плотности позволяет изолировать ЛНП и определить их состав. Длительность</w:t>
      </w:r>
      <w:r>
        <w:rPr>
          <w:i/>
          <w:spacing w:val="80"/>
          <w:sz w:val="24"/>
        </w:rPr>
        <w:t> </w:t>
      </w:r>
      <w:r>
        <w:rPr>
          <w:i/>
          <w:sz w:val="24"/>
        </w:rPr>
        <w:t>и</w:t>
      </w:r>
      <w:r>
        <w:rPr>
          <w:i/>
          <w:spacing w:val="80"/>
          <w:sz w:val="24"/>
        </w:rPr>
        <w:t> </w:t>
      </w:r>
      <w:r>
        <w:rPr>
          <w:i/>
          <w:sz w:val="24"/>
        </w:rPr>
        <w:t>трудоемкость</w:t>
      </w:r>
      <w:r>
        <w:rPr>
          <w:i/>
          <w:spacing w:val="80"/>
          <w:sz w:val="24"/>
        </w:rPr>
        <w:t> </w:t>
      </w:r>
      <w:r>
        <w:rPr>
          <w:i/>
          <w:sz w:val="24"/>
        </w:rPr>
        <w:t>ультрацентрифугирования</w:t>
      </w:r>
      <w:r>
        <w:rPr>
          <w:i/>
          <w:spacing w:val="80"/>
          <w:sz w:val="24"/>
        </w:rPr>
        <w:t> </w:t>
      </w:r>
      <w:r>
        <w:rPr>
          <w:i/>
          <w:sz w:val="24"/>
        </w:rPr>
        <w:t>привела</w:t>
      </w:r>
      <w:r>
        <w:rPr>
          <w:i/>
          <w:spacing w:val="80"/>
          <w:sz w:val="24"/>
        </w:rPr>
        <w:t> </w:t>
      </w:r>
      <w:r>
        <w:rPr>
          <w:i/>
          <w:sz w:val="24"/>
        </w:rPr>
        <w:t>к</w:t>
      </w:r>
      <w:r>
        <w:rPr>
          <w:i/>
          <w:spacing w:val="80"/>
          <w:sz w:val="24"/>
        </w:rPr>
        <w:t> </w:t>
      </w:r>
      <w:r>
        <w:rPr>
          <w:i/>
          <w:sz w:val="24"/>
        </w:rPr>
        <w:t>разработке методов,</w:t>
      </w:r>
      <w:r>
        <w:rPr>
          <w:i/>
          <w:spacing w:val="40"/>
          <w:sz w:val="24"/>
        </w:rPr>
        <w:t> </w:t>
      </w:r>
      <w:r>
        <w:rPr>
          <w:i/>
          <w:sz w:val="24"/>
        </w:rPr>
        <w:t>более</w:t>
      </w:r>
      <w:r>
        <w:rPr>
          <w:i/>
          <w:spacing w:val="40"/>
          <w:sz w:val="24"/>
        </w:rPr>
        <w:t> </w:t>
      </w:r>
      <w:r>
        <w:rPr>
          <w:i/>
          <w:sz w:val="24"/>
        </w:rPr>
        <w:t>доступных</w:t>
      </w:r>
      <w:r>
        <w:rPr>
          <w:i/>
          <w:spacing w:val="40"/>
          <w:sz w:val="24"/>
        </w:rPr>
        <w:t> </w:t>
      </w:r>
      <w:r>
        <w:rPr>
          <w:i/>
          <w:sz w:val="24"/>
        </w:rPr>
        <w:t>для</w:t>
      </w:r>
      <w:r>
        <w:rPr>
          <w:i/>
          <w:spacing w:val="40"/>
          <w:sz w:val="24"/>
        </w:rPr>
        <w:t> </w:t>
      </w:r>
      <w:r>
        <w:rPr>
          <w:i/>
          <w:sz w:val="24"/>
        </w:rPr>
        <w:t>лабораторной</w:t>
      </w:r>
      <w:r>
        <w:rPr>
          <w:i/>
          <w:spacing w:val="40"/>
          <w:sz w:val="24"/>
        </w:rPr>
        <w:t> </w:t>
      </w:r>
      <w:r>
        <w:rPr>
          <w:i/>
          <w:sz w:val="24"/>
        </w:rPr>
        <w:t>практики.</w:t>
      </w:r>
      <w:r>
        <w:rPr>
          <w:i/>
          <w:spacing w:val="40"/>
          <w:sz w:val="24"/>
        </w:rPr>
        <w:t> </w:t>
      </w:r>
      <w:r>
        <w:rPr>
          <w:i/>
          <w:sz w:val="24"/>
        </w:rPr>
        <w:t>Самым</w:t>
      </w:r>
      <w:r>
        <w:rPr>
          <w:i/>
          <w:spacing w:val="40"/>
          <w:sz w:val="24"/>
        </w:rPr>
        <w:t> </w:t>
      </w:r>
      <w:r>
        <w:rPr>
          <w:i/>
          <w:sz w:val="24"/>
        </w:rPr>
        <w:t>распространенным </w:t>
      </w:r>
      <w:r>
        <w:rPr>
          <w:i/>
          <w:spacing w:val="-2"/>
          <w:sz w:val="24"/>
        </w:rPr>
        <w:t>способом</w:t>
      </w:r>
      <w:r>
        <w:rPr>
          <w:i/>
          <w:sz w:val="24"/>
        </w:rPr>
        <w:tab/>
      </w:r>
      <w:r>
        <w:rPr>
          <w:i/>
          <w:spacing w:val="-2"/>
          <w:sz w:val="24"/>
        </w:rPr>
        <w:t>определения</w:t>
      </w:r>
      <w:r>
        <w:rPr>
          <w:i/>
          <w:sz w:val="24"/>
        </w:rPr>
        <w:tab/>
      </w:r>
      <w:r>
        <w:rPr>
          <w:i/>
          <w:spacing w:val="-2"/>
          <w:sz w:val="24"/>
        </w:rPr>
        <w:t>уровня</w:t>
      </w:r>
      <w:r>
        <w:rPr>
          <w:i/>
          <w:sz w:val="24"/>
        </w:rPr>
        <w:tab/>
      </w:r>
      <w:r>
        <w:rPr>
          <w:i/>
          <w:spacing w:val="-6"/>
          <w:sz w:val="24"/>
        </w:rPr>
        <w:t>ХС</w:t>
      </w:r>
      <w:r>
        <w:rPr>
          <w:i/>
          <w:sz w:val="24"/>
        </w:rPr>
        <w:tab/>
      </w:r>
      <w:r>
        <w:rPr>
          <w:i/>
          <w:spacing w:val="-4"/>
          <w:sz w:val="24"/>
        </w:rPr>
        <w:t>ЛНП</w:t>
      </w:r>
      <w:r>
        <w:rPr>
          <w:i/>
          <w:sz w:val="24"/>
        </w:rPr>
        <w:tab/>
      </w:r>
      <w:r>
        <w:rPr>
          <w:i/>
          <w:spacing w:val="-10"/>
          <w:sz w:val="24"/>
        </w:rPr>
        <w:t>в</w:t>
      </w:r>
      <w:r>
        <w:rPr>
          <w:i/>
          <w:sz w:val="24"/>
        </w:rPr>
        <w:tab/>
        <w:tab/>
      </w:r>
      <w:r>
        <w:rPr>
          <w:i/>
          <w:spacing w:val="-2"/>
          <w:sz w:val="24"/>
        </w:rPr>
        <w:t>клинических</w:t>
      </w:r>
      <w:r>
        <w:rPr>
          <w:i/>
          <w:sz w:val="24"/>
        </w:rPr>
        <w:tab/>
      </w:r>
      <w:r>
        <w:rPr>
          <w:i/>
          <w:spacing w:val="-2"/>
          <w:sz w:val="24"/>
        </w:rPr>
        <w:t>лабораториях</w:t>
      </w:r>
      <w:r>
        <w:rPr>
          <w:i/>
          <w:sz w:val="24"/>
        </w:rPr>
        <w:tab/>
      </w:r>
      <w:r>
        <w:rPr>
          <w:i/>
          <w:spacing w:val="-2"/>
          <w:sz w:val="24"/>
        </w:rPr>
        <w:t>является</w:t>
      </w:r>
      <w:r>
        <w:rPr>
          <w:i/>
          <w:spacing w:val="-2"/>
          <w:sz w:val="24"/>
        </w:rPr>
        <w:t> </w:t>
      </w:r>
      <w:r>
        <w:rPr>
          <w:i/>
          <w:sz w:val="24"/>
        </w:rPr>
        <w:t>расчетный. В этом случае необходимо определить уровень ХС, ТГ и ХС ЛВП в крови и </w:t>
      </w:r>
      <w:r>
        <w:rPr>
          <w:i/>
          <w:spacing w:val="-2"/>
          <w:sz w:val="24"/>
        </w:rPr>
        <w:t>концентрацию</w:t>
      </w:r>
      <w:r>
        <w:rPr>
          <w:i/>
          <w:sz w:val="24"/>
        </w:rPr>
        <w:tab/>
      </w:r>
      <w:r>
        <w:rPr>
          <w:i/>
          <w:spacing w:val="-6"/>
          <w:sz w:val="24"/>
        </w:rPr>
        <w:t>ХС</w:t>
      </w:r>
      <w:r>
        <w:rPr>
          <w:i/>
          <w:sz w:val="24"/>
        </w:rPr>
        <w:tab/>
      </w:r>
      <w:r>
        <w:rPr>
          <w:i/>
          <w:spacing w:val="-4"/>
          <w:sz w:val="24"/>
        </w:rPr>
        <w:t>ЛВП</w:t>
      </w:r>
      <w:r>
        <w:rPr>
          <w:i/>
          <w:sz w:val="24"/>
        </w:rPr>
        <w:tab/>
      </w:r>
      <w:r>
        <w:rPr>
          <w:i/>
          <w:spacing w:val="-10"/>
          <w:sz w:val="24"/>
        </w:rPr>
        <w:t>в</w:t>
      </w:r>
      <w:r>
        <w:rPr>
          <w:i/>
          <w:sz w:val="24"/>
        </w:rPr>
        <w:tab/>
      </w:r>
      <w:r>
        <w:rPr>
          <w:i/>
          <w:spacing w:val="-2"/>
          <w:sz w:val="24"/>
        </w:rPr>
        <w:t>супернатанте</w:t>
      </w:r>
      <w:r>
        <w:rPr>
          <w:i/>
          <w:sz w:val="24"/>
        </w:rPr>
        <w:tab/>
      </w:r>
      <w:r>
        <w:rPr>
          <w:i/>
          <w:spacing w:val="-2"/>
          <w:sz w:val="24"/>
        </w:rPr>
        <w:t>после</w:t>
      </w:r>
      <w:r>
        <w:rPr>
          <w:i/>
          <w:sz w:val="24"/>
        </w:rPr>
        <w:tab/>
      </w:r>
      <w:r>
        <w:rPr>
          <w:i/>
          <w:spacing w:val="-2"/>
          <w:sz w:val="24"/>
        </w:rPr>
        <w:t>преципитации</w:t>
      </w:r>
      <w:r>
        <w:rPr>
          <w:i/>
          <w:sz w:val="24"/>
        </w:rPr>
        <w:tab/>
      </w:r>
      <w:r>
        <w:rPr>
          <w:i/>
          <w:spacing w:val="-2"/>
          <w:sz w:val="24"/>
        </w:rPr>
        <w:t>липопротеидов, </w:t>
      </w:r>
      <w:r>
        <w:rPr>
          <w:i/>
          <w:sz w:val="24"/>
        </w:rPr>
        <w:t>содержащих</w:t>
      </w:r>
      <w:r>
        <w:rPr>
          <w:i/>
          <w:spacing w:val="31"/>
          <w:sz w:val="24"/>
        </w:rPr>
        <w:t> </w:t>
      </w:r>
      <w:r>
        <w:rPr>
          <w:i/>
          <w:sz w:val="24"/>
        </w:rPr>
        <w:t>апоВ</w:t>
      </w:r>
      <w:r>
        <w:rPr>
          <w:i/>
          <w:spacing w:val="31"/>
          <w:sz w:val="24"/>
        </w:rPr>
        <w:t> </w:t>
      </w:r>
      <w:r>
        <w:rPr>
          <w:i/>
          <w:sz w:val="24"/>
        </w:rPr>
        <w:t>(ЛОНП</w:t>
      </w:r>
      <w:r>
        <w:rPr>
          <w:i/>
          <w:spacing w:val="31"/>
          <w:sz w:val="24"/>
        </w:rPr>
        <w:t> </w:t>
      </w:r>
      <w:r>
        <w:rPr>
          <w:i/>
          <w:sz w:val="24"/>
        </w:rPr>
        <w:t>и</w:t>
      </w:r>
      <w:r>
        <w:rPr>
          <w:i/>
          <w:spacing w:val="32"/>
          <w:sz w:val="24"/>
        </w:rPr>
        <w:t> </w:t>
      </w:r>
      <w:r>
        <w:rPr>
          <w:i/>
          <w:sz w:val="24"/>
        </w:rPr>
        <w:t>ЛНП),</w:t>
      </w:r>
      <w:r>
        <w:rPr>
          <w:i/>
          <w:spacing w:val="32"/>
          <w:sz w:val="24"/>
        </w:rPr>
        <w:t> </w:t>
      </w:r>
      <w:r>
        <w:rPr>
          <w:i/>
          <w:sz w:val="24"/>
        </w:rPr>
        <w:t>и</w:t>
      </w:r>
      <w:r>
        <w:rPr>
          <w:i/>
          <w:spacing w:val="32"/>
          <w:sz w:val="24"/>
        </w:rPr>
        <w:t> </w:t>
      </w:r>
      <w:r>
        <w:rPr>
          <w:i/>
          <w:sz w:val="24"/>
        </w:rPr>
        <w:t>вычислить</w:t>
      </w:r>
      <w:r>
        <w:rPr>
          <w:i/>
          <w:spacing w:val="33"/>
          <w:sz w:val="24"/>
        </w:rPr>
        <w:t> </w:t>
      </w:r>
      <w:r>
        <w:rPr>
          <w:i/>
          <w:sz w:val="24"/>
        </w:rPr>
        <w:t>значение</w:t>
      </w:r>
      <w:r>
        <w:rPr>
          <w:i/>
          <w:spacing w:val="31"/>
          <w:sz w:val="24"/>
        </w:rPr>
        <w:t> </w:t>
      </w:r>
      <w:r>
        <w:rPr>
          <w:i/>
          <w:sz w:val="24"/>
        </w:rPr>
        <w:t>концентрации</w:t>
      </w:r>
      <w:r>
        <w:rPr>
          <w:i/>
          <w:spacing w:val="32"/>
          <w:sz w:val="24"/>
        </w:rPr>
        <w:t> </w:t>
      </w:r>
      <w:r>
        <w:rPr>
          <w:i/>
          <w:sz w:val="24"/>
        </w:rPr>
        <w:t>ХС</w:t>
      </w:r>
      <w:r>
        <w:rPr>
          <w:i/>
          <w:spacing w:val="32"/>
          <w:sz w:val="24"/>
        </w:rPr>
        <w:t> </w:t>
      </w:r>
      <w:r>
        <w:rPr>
          <w:i/>
          <w:sz w:val="24"/>
        </w:rPr>
        <w:t>ЛНП</w:t>
      </w:r>
      <w:r>
        <w:rPr>
          <w:i/>
          <w:spacing w:val="31"/>
          <w:sz w:val="24"/>
        </w:rPr>
        <w:t> </w:t>
      </w:r>
      <w:r>
        <w:rPr>
          <w:i/>
          <w:sz w:val="24"/>
        </w:rPr>
        <w:t>по формуле Фридвальда:</w:t>
      </w:r>
    </w:p>
    <w:p>
      <w:pPr>
        <w:spacing w:before="0"/>
        <w:ind w:left="1544" w:right="0" w:firstLine="0"/>
        <w:jc w:val="both"/>
        <w:rPr>
          <w:i/>
          <w:sz w:val="24"/>
        </w:rPr>
      </w:pPr>
      <w:r>
        <w:rPr>
          <w:i/>
          <w:sz w:val="24"/>
        </w:rPr>
        <w:t>ХС</w:t>
      </w:r>
      <w:r>
        <w:rPr>
          <w:i/>
          <w:spacing w:val="-1"/>
          <w:sz w:val="24"/>
        </w:rPr>
        <w:t> </w:t>
      </w:r>
      <w:r>
        <w:rPr>
          <w:i/>
          <w:sz w:val="24"/>
        </w:rPr>
        <w:t>ЛНП</w:t>
      </w:r>
      <w:r>
        <w:rPr>
          <w:i/>
          <w:spacing w:val="-2"/>
          <w:sz w:val="24"/>
        </w:rPr>
        <w:t> </w:t>
      </w:r>
      <w:r>
        <w:rPr>
          <w:i/>
          <w:sz w:val="24"/>
        </w:rPr>
        <w:t>(в</w:t>
      </w:r>
      <w:r>
        <w:rPr>
          <w:i/>
          <w:spacing w:val="-1"/>
          <w:sz w:val="24"/>
        </w:rPr>
        <w:t> </w:t>
      </w:r>
      <w:r>
        <w:rPr>
          <w:i/>
          <w:sz w:val="24"/>
        </w:rPr>
        <w:t>мг/дл)</w:t>
      </w:r>
      <w:r>
        <w:rPr>
          <w:i/>
          <w:spacing w:val="-2"/>
          <w:sz w:val="24"/>
        </w:rPr>
        <w:t> </w:t>
      </w:r>
      <w:r>
        <w:rPr>
          <w:i/>
          <w:sz w:val="24"/>
        </w:rPr>
        <w:t>=</w:t>
      </w:r>
      <w:r>
        <w:rPr>
          <w:i/>
          <w:spacing w:val="1"/>
          <w:sz w:val="24"/>
        </w:rPr>
        <w:t> </w:t>
      </w:r>
      <w:r>
        <w:rPr>
          <w:i/>
          <w:sz w:val="24"/>
        </w:rPr>
        <w:t>общий</w:t>
      </w:r>
      <w:r>
        <w:rPr>
          <w:i/>
          <w:spacing w:val="-1"/>
          <w:sz w:val="24"/>
        </w:rPr>
        <w:t> </w:t>
      </w:r>
      <w:r>
        <w:rPr>
          <w:i/>
          <w:sz w:val="24"/>
        </w:rPr>
        <w:t>ХС –</w:t>
      </w:r>
      <w:r>
        <w:rPr>
          <w:i/>
          <w:spacing w:val="-1"/>
          <w:sz w:val="24"/>
        </w:rPr>
        <w:t> </w:t>
      </w:r>
      <w:r>
        <w:rPr>
          <w:i/>
          <w:sz w:val="24"/>
        </w:rPr>
        <w:t>ХС ЛВП</w:t>
      </w:r>
      <w:r>
        <w:rPr>
          <w:i/>
          <w:spacing w:val="-2"/>
          <w:sz w:val="24"/>
        </w:rPr>
        <w:t> </w:t>
      </w:r>
      <w:r>
        <w:rPr>
          <w:i/>
          <w:sz w:val="24"/>
        </w:rPr>
        <w:t>– </w:t>
      </w:r>
      <w:r>
        <w:rPr>
          <w:i/>
          <w:spacing w:val="-4"/>
          <w:sz w:val="24"/>
        </w:rPr>
        <w:t>ТГ/5</w:t>
      </w:r>
    </w:p>
    <w:p>
      <w:pPr>
        <w:spacing w:before="137"/>
        <w:ind w:left="1544" w:right="0" w:firstLine="0"/>
        <w:jc w:val="both"/>
        <w:rPr>
          <w:i/>
          <w:sz w:val="24"/>
        </w:rPr>
      </w:pPr>
      <w:r>
        <w:rPr>
          <w:i/>
          <w:sz w:val="24"/>
        </w:rPr>
        <w:t>ХС</w:t>
      </w:r>
      <w:r>
        <w:rPr>
          <w:i/>
          <w:spacing w:val="-3"/>
          <w:sz w:val="24"/>
        </w:rPr>
        <w:t> </w:t>
      </w:r>
      <w:r>
        <w:rPr>
          <w:i/>
          <w:sz w:val="24"/>
        </w:rPr>
        <w:t>ЛНП</w:t>
      </w:r>
      <w:r>
        <w:rPr>
          <w:i/>
          <w:spacing w:val="-1"/>
          <w:sz w:val="24"/>
        </w:rPr>
        <w:t> </w:t>
      </w:r>
      <w:r>
        <w:rPr>
          <w:i/>
          <w:sz w:val="24"/>
        </w:rPr>
        <w:t>(в</w:t>
      </w:r>
      <w:r>
        <w:rPr>
          <w:i/>
          <w:spacing w:val="-2"/>
          <w:sz w:val="24"/>
        </w:rPr>
        <w:t> </w:t>
      </w:r>
      <w:r>
        <w:rPr>
          <w:i/>
          <w:sz w:val="24"/>
        </w:rPr>
        <w:t>ммоль/л)</w:t>
      </w:r>
      <w:r>
        <w:rPr>
          <w:i/>
          <w:spacing w:val="-1"/>
          <w:sz w:val="24"/>
        </w:rPr>
        <w:t> </w:t>
      </w:r>
      <w:r>
        <w:rPr>
          <w:i/>
          <w:sz w:val="24"/>
        </w:rPr>
        <w:t>=</w:t>
      </w:r>
      <w:r>
        <w:rPr>
          <w:i/>
          <w:spacing w:val="-3"/>
          <w:sz w:val="24"/>
        </w:rPr>
        <w:t> </w:t>
      </w:r>
      <w:r>
        <w:rPr>
          <w:i/>
          <w:sz w:val="24"/>
        </w:rPr>
        <w:t>общий ХС</w:t>
      </w:r>
      <w:r>
        <w:rPr>
          <w:i/>
          <w:spacing w:val="-1"/>
          <w:sz w:val="24"/>
        </w:rPr>
        <w:t> </w:t>
      </w:r>
      <w:r>
        <w:rPr>
          <w:i/>
          <w:sz w:val="24"/>
        </w:rPr>
        <w:t>– ХС</w:t>
      </w:r>
      <w:r>
        <w:rPr>
          <w:i/>
          <w:spacing w:val="-1"/>
          <w:sz w:val="24"/>
        </w:rPr>
        <w:t> </w:t>
      </w:r>
      <w:r>
        <w:rPr>
          <w:i/>
          <w:sz w:val="24"/>
        </w:rPr>
        <w:t>ЛВП</w:t>
      </w:r>
      <w:r>
        <w:rPr>
          <w:i/>
          <w:spacing w:val="-1"/>
          <w:sz w:val="24"/>
        </w:rPr>
        <w:t> </w:t>
      </w:r>
      <w:r>
        <w:rPr>
          <w:i/>
          <w:sz w:val="24"/>
        </w:rPr>
        <w:t>–</w:t>
      </w:r>
      <w:r>
        <w:rPr>
          <w:i/>
          <w:spacing w:val="-3"/>
          <w:sz w:val="24"/>
        </w:rPr>
        <w:t> </w:t>
      </w:r>
      <w:r>
        <w:rPr>
          <w:i/>
          <w:spacing w:val="-2"/>
          <w:sz w:val="24"/>
        </w:rPr>
        <w:t>ТГ/2,2</w:t>
      </w:r>
    </w:p>
    <w:p>
      <w:pPr>
        <w:spacing w:line="360" w:lineRule="auto" w:before="136"/>
        <w:ind w:left="1544" w:right="570" w:firstLine="0"/>
        <w:jc w:val="both"/>
        <w:rPr>
          <w:i/>
          <w:sz w:val="24"/>
        </w:rPr>
      </w:pPr>
      <w:r>
        <w:rPr>
          <w:i/>
          <w:sz w:val="24"/>
        </w:rPr>
        <w:t>В основе этой формулы лежат два допущения: 1) большая часть ТГ плазмы</w:t>
      </w:r>
      <w:r>
        <w:rPr>
          <w:i/>
          <w:spacing w:val="80"/>
          <w:sz w:val="24"/>
        </w:rPr>
        <w:t> </w:t>
      </w:r>
      <w:r>
        <w:rPr>
          <w:i/>
          <w:sz w:val="24"/>
        </w:rPr>
        <w:t>находится в ЛОНП; 2) массовое отношение ТГ/ХС в ЛОНП равно 5:1.</w:t>
      </w:r>
    </w:p>
    <w:p>
      <w:pPr>
        <w:spacing w:line="360" w:lineRule="auto" w:before="0"/>
        <w:ind w:left="1544" w:right="568" w:firstLine="0"/>
        <w:jc w:val="both"/>
        <w:rPr>
          <w:i/>
          <w:sz w:val="24"/>
        </w:rPr>
      </w:pPr>
      <w:r>
        <w:rPr>
          <w:i/>
          <w:sz w:val="24"/>
        </w:rPr>
        <w:t>Формула Фридвальда позволяет получить значения ХС ЛНП, сопоставимые с полученными референсным методом при ТГ &lt; 200 мг/дл, при концентрации 200–400 мг/дл</w:t>
      </w:r>
      <w:r>
        <w:rPr>
          <w:i/>
          <w:spacing w:val="6"/>
          <w:sz w:val="24"/>
        </w:rPr>
        <w:t> </w:t>
      </w:r>
      <w:r>
        <w:rPr>
          <w:i/>
          <w:sz w:val="24"/>
        </w:rPr>
        <w:t>возможна</w:t>
      </w:r>
      <w:r>
        <w:rPr>
          <w:i/>
          <w:spacing w:val="6"/>
          <w:sz w:val="24"/>
        </w:rPr>
        <w:t> </w:t>
      </w:r>
      <w:r>
        <w:rPr>
          <w:i/>
          <w:sz w:val="24"/>
        </w:rPr>
        <w:t>ошибка</w:t>
      </w:r>
      <w:r>
        <w:rPr>
          <w:i/>
          <w:spacing w:val="6"/>
          <w:sz w:val="24"/>
        </w:rPr>
        <w:t> </w:t>
      </w:r>
      <w:r>
        <w:rPr>
          <w:i/>
          <w:sz w:val="24"/>
        </w:rPr>
        <w:t>рассчетов.</w:t>
      </w:r>
      <w:r>
        <w:rPr>
          <w:i/>
          <w:spacing w:val="6"/>
          <w:sz w:val="24"/>
        </w:rPr>
        <w:t> </w:t>
      </w:r>
      <w:r>
        <w:rPr>
          <w:i/>
          <w:sz w:val="24"/>
        </w:rPr>
        <w:t>Применение</w:t>
      </w:r>
      <w:r>
        <w:rPr>
          <w:i/>
          <w:spacing w:val="6"/>
          <w:sz w:val="24"/>
        </w:rPr>
        <w:t> </w:t>
      </w:r>
      <w:r>
        <w:rPr>
          <w:i/>
          <w:sz w:val="24"/>
        </w:rPr>
        <w:t>этой</w:t>
      </w:r>
      <w:r>
        <w:rPr>
          <w:i/>
          <w:spacing w:val="6"/>
          <w:sz w:val="24"/>
        </w:rPr>
        <w:t> </w:t>
      </w:r>
      <w:r>
        <w:rPr>
          <w:i/>
          <w:sz w:val="24"/>
        </w:rPr>
        <w:t>формулы</w:t>
      </w:r>
      <w:r>
        <w:rPr>
          <w:i/>
          <w:spacing w:val="6"/>
          <w:sz w:val="24"/>
        </w:rPr>
        <w:t> </w:t>
      </w:r>
      <w:r>
        <w:rPr>
          <w:i/>
          <w:sz w:val="24"/>
        </w:rPr>
        <w:t>при</w:t>
      </w:r>
      <w:r>
        <w:rPr>
          <w:i/>
          <w:spacing w:val="6"/>
          <w:sz w:val="24"/>
        </w:rPr>
        <w:t> </w:t>
      </w:r>
      <w:r>
        <w:rPr>
          <w:i/>
          <w:sz w:val="24"/>
        </w:rPr>
        <w:t>концентрации</w:t>
      </w:r>
      <w:r>
        <w:rPr>
          <w:i/>
          <w:spacing w:val="6"/>
          <w:sz w:val="24"/>
        </w:rPr>
        <w:t> </w:t>
      </w:r>
      <w:r>
        <w:rPr>
          <w:i/>
          <w:spacing w:val="-5"/>
          <w:sz w:val="24"/>
        </w:rPr>
        <w:t>ТГ&gt;</w:t>
      </w:r>
    </w:p>
    <w:p>
      <w:pPr>
        <w:spacing w:line="360" w:lineRule="auto" w:before="2"/>
        <w:ind w:left="1544" w:right="567" w:firstLine="0"/>
        <w:jc w:val="both"/>
        <w:rPr>
          <w:i/>
          <w:sz w:val="24"/>
        </w:rPr>
      </w:pPr>
      <w:r>
        <w:rPr>
          <w:i/>
          <w:sz w:val="24"/>
        </w:rPr>
        <w:t>400 мг/дл, наличии хиломикронов (ХМ), ДЛП III типа приводит к завышению содержания ХС ЛОНП и занижению ХС ЛНП и не позволяет получить сопоставимые результаты. В настоящее время разработаны прямые методы выделения ЛНП, пригодные для использования в клинико-диагностической лаборатории [</w:t>
      </w:r>
      <w:hyperlink w:history="true" w:anchor="_bookmark51">
        <w:r>
          <w:rPr>
            <w:i/>
            <w:sz w:val="24"/>
          </w:rPr>
          <w:t>5</w:t>
        </w:r>
      </w:hyperlink>
      <w:r>
        <w:rPr>
          <w:i/>
          <w:sz w:val="24"/>
        </w:rPr>
        <w:t>]. Исследовать уровень липидов с целью скрининга для определения риска не обязательно натощак.</w:t>
      </w:r>
      <w:r>
        <w:rPr>
          <w:i/>
          <w:spacing w:val="33"/>
          <w:sz w:val="24"/>
        </w:rPr>
        <w:t>  </w:t>
      </w:r>
      <w:r>
        <w:rPr>
          <w:i/>
          <w:sz w:val="24"/>
        </w:rPr>
        <w:t>Однако</w:t>
      </w:r>
      <w:r>
        <w:rPr>
          <w:i/>
          <w:spacing w:val="34"/>
          <w:sz w:val="24"/>
        </w:rPr>
        <w:t>  </w:t>
      </w:r>
      <w:r>
        <w:rPr>
          <w:i/>
          <w:sz w:val="24"/>
        </w:rPr>
        <w:t>при</w:t>
      </w:r>
      <w:r>
        <w:rPr>
          <w:i/>
          <w:spacing w:val="33"/>
          <w:sz w:val="24"/>
        </w:rPr>
        <w:t>  </w:t>
      </w:r>
      <w:r>
        <w:rPr>
          <w:i/>
          <w:sz w:val="24"/>
        </w:rPr>
        <w:t>таком</w:t>
      </w:r>
      <w:r>
        <w:rPr>
          <w:i/>
          <w:spacing w:val="34"/>
          <w:sz w:val="24"/>
        </w:rPr>
        <w:t>  </w:t>
      </w:r>
      <w:r>
        <w:rPr>
          <w:i/>
          <w:sz w:val="24"/>
        </w:rPr>
        <w:t>определении</w:t>
      </w:r>
      <w:r>
        <w:rPr>
          <w:i/>
          <w:spacing w:val="33"/>
          <w:sz w:val="24"/>
        </w:rPr>
        <w:t>  </w:t>
      </w:r>
      <w:r>
        <w:rPr>
          <w:i/>
          <w:sz w:val="24"/>
        </w:rPr>
        <w:t>уровня</w:t>
      </w:r>
      <w:r>
        <w:rPr>
          <w:i/>
          <w:spacing w:val="34"/>
          <w:sz w:val="24"/>
        </w:rPr>
        <w:t>  </w:t>
      </w:r>
      <w:r>
        <w:rPr>
          <w:i/>
          <w:sz w:val="24"/>
        </w:rPr>
        <w:t>липидов</w:t>
      </w:r>
      <w:r>
        <w:rPr>
          <w:i/>
          <w:spacing w:val="33"/>
          <w:sz w:val="24"/>
        </w:rPr>
        <w:t>  </w:t>
      </w:r>
      <w:r>
        <w:rPr>
          <w:i/>
          <w:sz w:val="24"/>
        </w:rPr>
        <w:t>риск</w:t>
      </w:r>
      <w:r>
        <w:rPr>
          <w:i/>
          <w:spacing w:val="34"/>
          <w:sz w:val="24"/>
        </w:rPr>
        <w:t>  </w:t>
      </w:r>
      <w:r>
        <w:rPr>
          <w:i/>
          <w:sz w:val="24"/>
        </w:rPr>
        <w:t>может</w:t>
      </w:r>
      <w:r>
        <w:rPr>
          <w:i/>
          <w:spacing w:val="34"/>
          <w:sz w:val="24"/>
        </w:rPr>
        <w:t>  </w:t>
      </w:r>
      <w:r>
        <w:rPr>
          <w:i/>
          <w:spacing w:val="-4"/>
          <w:sz w:val="24"/>
        </w:rPr>
        <w:t>быть</w:t>
      </w:r>
    </w:p>
    <w:p>
      <w:pPr>
        <w:spacing w:after="0" w:line="360" w:lineRule="auto"/>
        <w:jc w:val="both"/>
        <w:rPr>
          <w:sz w:val="24"/>
        </w:rPr>
        <w:sectPr>
          <w:pgSz w:w="11910" w:h="16840"/>
          <w:pgMar w:header="0" w:footer="710" w:top="1040" w:bottom="900" w:left="440" w:right="280"/>
        </w:sectPr>
      </w:pPr>
    </w:p>
    <w:p>
      <w:pPr>
        <w:spacing w:line="360" w:lineRule="auto" w:before="73"/>
        <w:ind w:left="1544" w:right="567" w:firstLine="0"/>
        <w:jc w:val="both"/>
        <w:rPr>
          <w:i/>
          <w:sz w:val="24"/>
        </w:rPr>
      </w:pPr>
      <w:r>
        <w:rPr>
          <w:i/>
          <w:sz w:val="24"/>
        </w:rPr>
        <w:t>недооценен у больных сахарным диабетом, так как в одном исследовании пациенты с диабетом имели на 0,6 ммоль/л ниже ХС ЛНП после приема пищи [</w:t>
      </w:r>
      <w:hyperlink w:history="true" w:anchor="_bookmark54">
        <w:r>
          <w:rPr>
            <w:i/>
            <w:sz w:val="24"/>
          </w:rPr>
          <w:t>8</w:t>
        </w:r>
      </w:hyperlink>
      <w:r>
        <w:rPr>
          <w:i/>
          <w:sz w:val="24"/>
        </w:rPr>
        <w:t>]. В последующем, для уточненной и дальнейшей характеристики тяжелых ДЛП, а также для наблюдения пациентов, рекомендуется определять уровень липидов натощак.</w:t>
      </w:r>
    </w:p>
    <w:p>
      <w:pPr>
        <w:pStyle w:val="ListParagraph"/>
        <w:numPr>
          <w:ilvl w:val="1"/>
          <w:numId w:val="12"/>
        </w:numPr>
        <w:tabs>
          <w:tab w:pos="2265" w:val="left" w:leader="none"/>
        </w:tabs>
        <w:spacing w:line="357" w:lineRule="auto" w:before="2" w:after="0"/>
        <w:ind w:left="2264" w:right="567" w:hanging="360"/>
        <w:jc w:val="both"/>
        <w:rPr>
          <w:sz w:val="24"/>
        </w:rPr>
      </w:pPr>
      <w:r>
        <w:rPr>
          <w:sz w:val="24"/>
        </w:rPr>
        <w:t>Пациентам с клиническими проявлениями СГХС (ССЗ у мужчин моложе 55 лет и женщин моложе 60 лет, ксантоматоз, гиперхолестеринемия (ХС ЛНП &gt;5 ммоль/л. у взрослых, &gt;4 ммоль/л.</w:t>
      </w:r>
      <w:r>
        <w:rPr>
          <w:spacing w:val="40"/>
          <w:sz w:val="24"/>
        </w:rPr>
        <w:t> </w:t>
      </w:r>
      <w:r>
        <w:rPr>
          <w:sz w:val="24"/>
        </w:rPr>
        <w:t>у детей) для установления клинического диагноза СГХС рекомендуется использовать диагностические критерии Голландских липидных клиник (Dutch Lipid Clinic Network - DLCN) (</w:t>
      </w:r>
      <w:r>
        <w:rPr>
          <w:b/>
          <w:sz w:val="24"/>
          <w:u w:val="thick"/>
        </w:rPr>
        <w:t>Таблица</w:t>
      </w:r>
      <w:r>
        <w:rPr>
          <w:b/>
          <w:sz w:val="24"/>
        </w:rPr>
        <w:t> </w:t>
      </w:r>
      <w:r>
        <w:rPr>
          <w:b/>
          <w:sz w:val="24"/>
          <w:u w:val="thick"/>
        </w:rPr>
        <w:t>3/А3</w:t>
      </w:r>
      <w:r>
        <w:rPr>
          <w:sz w:val="24"/>
        </w:rPr>
        <w:t>) [</w:t>
      </w:r>
      <w:hyperlink w:history="true" w:anchor="_bookmark95">
        <w:r>
          <w:rPr>
            <w:sz w:val="24"/>
          </w:rPr>
          <w:t>50,</w:t>
        </w:r>
      </w:hyperlink>
      <w:r>
        <w:rPr>
          <w:sz w:val="24"/>
        </w:rPr>
        <w:t> </w:t>
      </w:r>
      <w:hyperlink w:history="true" w:anchor="_bookmark196">
        <w:r>
          <w:rPr>
            <w:sz w:val="24"/>
          </w:rPr>
          <w:t>151</w:t>
        </w:r>
      </w:hyperlink>
      <w:r>
        <w:rPr>
          <w:sz w:val="24"/>
        </w:rPr>
        <w:t>].</w:t>
      </w:r>
    </w:p>
    <w:p>
      <w:pPr>
        <w:pStyle w:val="Heading2"/>
        <w:spacing w:before="7"/>
        <w:ind w:left="1544"/>
        <w:jc w:val="both"/>
      </w:pPr>
      <w:r>
        <w:rPr/>
        <w:t>ЕОК/ЕОА</w:t>
      </w:r>
      <w:r>
        <w:rPr>
          <w:spacing w:val="-2"/>
        </w:rPr>
        <w:t> </w:t>
      </w:r>
      <w:r>
        <w:rPr/>
        <w:t>I</w:t>
      </w:r>
      <w:r>
        <w:rPr>
          <w:spacing w:val="-1"/>
        </w:rPr>
        <w:t> </w:t>
      </w:r>
      <w:r>
        <w:rPr/>
        <w:t>C</w:t>
      </w:r>
      <w:r>
        <w:rPr>
          <w:spacing w:val="-2"/>
        </w:rPr>
        <w:t> </w:t>
      </w:r>
      <w:r>
        <w:rPr/>
        <w:t>(УУР</w:t>
      </w:r>
      <w:r>
        <w:rPr>
          <w:spacing w:val="-2"/>
        </w:rPr>
        <w:t> </w:t>
      </w:r>
      <w:r>
        <w:rPr/>
        <w:t>C,</w:t>
      </w:r>
      <w:r>
        <w:rPr>
          <w:spacing w:val="1"/>
        </w:rPr>
        <w:t> </w:t>
      </w:r>
      <w:r>
        <w:rPr/>
        <w:t>УДД</w:t>
      </w:r>
      <w:r>
        <w:rPr>
          <w:spacing w:val="-1"/>
        </w:rPr>
        <w:t> </w:t>
      </w:r>
      <w:r>
        <w:rPr>
          <w:spacing w:val="-5"/>
        </w:rPr>
        <w:t>5)</w:t>
      </w:r>
    </w:p>
    <w:p>
      <w:pPr>
        <w:pStyle w:val="BodyText"/>
        <w:spacing w:before="9"/>
        <w:ind w:left="0"/>
        <w:rPr>
          <w:b/>
          <w:sz w:val="32"/>
        </w:rPr>
      </w:pPr>
    </w:p>
    <w:p>
      <w:pPr>
        <w:pStyle w:val="Heading3"/>
        <w:numPr>
          <w:ilvl w:val="1"/>
          <w:numId w:val="9"/>
        </w:numPr>
        <w:tabs>
          <w:tab w:pos="2752" w:val="left" w:leader="none"/>
        </w:tabs>
        <w:spacing w:line="240" w:lineRule="auto" w:before="0" w:after="0"/>
        <w:ind w:left="2752" w:right="0" w:hanging="420"/>
        <w:jc w:val="left"/>
      </w:pPr>
      <w:bookmarkStart w:name="2.5. Инструментальные диагностические ис" w:id="31"/>
      <w:bookmarkEnd w:id="31"/>
      <w:r>
        <w:rPr>
          <w:b w:val="0"/>
        </w:rPr>
      </w:r>
      <w:bookmarkStart w:name="_bookmark15" w:id="32"/>
      <w:bookmarkEnd w:id="32"/>
      <w:r>
        <w:rPr>
          <w:u w:val="thick"/>
        </w:rPr>
        <w:t>И</w:t>
      </w:r>
      <w:r>
        <w:rPr>
          <w:u w:val="thick"/>
        </w:rPr>
        <w:t>нструментальные</w:t>
      </w:r>
      <w:r>
        <w:rPr>
          <w:spacing w:val="-10"/>
          <w:u w:val="thick"/>
        </w:rPr>
        <w:t> </w:t>
      </w:r>
      <w:r>
        <w:rPr>
          <w:u w:val="thick"/>
        </w:rPr>
        <w:t>диагностические</w:t>
      </w:r>
      <w:r>
        <w:rPr>
          <w:spacing w:val="-8"/>
          <w:u w:val="thick"/>
        </w:rPr>
        <w:t> </w:t>
      </w:r>
      <w:r>
        <w:rPr>
          <w:spacing w:val="-2"/>
          <w:u w:val="thick"/>
        </w:rPr>
        <w:t>исследования</w:t>
      </w:r>
    </w:p>
    <w:p>
      <w:pPr>
        <w:pStyle w:val="BodyText"/>
        <w:spacing w:before="2"/>
        <w:ind w:left="0"/>
        <w:rPr>
          <w:b/>
          <w:sz w:val="25"/>
        </w:rPr>
      </w:pPr>
    </w:p>
    <w:p>
      <w:pPr>
        <w:spacing w:line="360" w:lineRule="auto" w:before="90"/>
        <w:ind w:left="1544" w:right="566" w:firstLine="0"/>
        <w:jc w:val="both"/>
        <w:rPr>
          <w:i/>
          <w:sz w:val="24"/>
        </w:rPr>
      </w:pPr>
      <w:r>
        <w:rPr>
          <w:i/>
          <w:sz w:val="24"/>
        </w:rPr>
        <w:t>Неинвазивные методы визуализации могут обнаружить наличие, оценить степень и оценить клинические последствия атеросклеротического повреждения сосудов. Визуализация коронарных</w:t>
      </w:r>
      <w:r>
        <w:rPr>
          <w:i/>
          <w:spacing w:val="-1"/>
          <w:sz w:val="24"/>
        </w:rPr>
        <w:t> </w:t>
      </w:r>
      <w:r>
        <w:rPr>
          <w:i/>
          <w:sz w:val="24"/>
        </w:rPr>
        <w:t>артерий с</w:t>
      </w:r>
      <w:r>
        <w:rPr>
          <w:i/>
          <w:spacing w:val="-1"/>
          <w:sz w:val="24"/>
        </w:rPr>
        <w:t> </w:t>
      </w:r>
      <w:r>
        <w:rPr>
          <w:i/>
          <w:sz w:val="24"/>
        </w:rPr>
        <w:t>помощью</w:t>
      </w:r>
      <w:r>
        <w:rPr>
          <w:i/>
          <w:spacing w:val="-1"/>
          <w:sz w:val="24"/>
        </w:rPr>
        <w:t> </w:t>
      </w:r>
      <w:r>
        <w:rPr>
          <w:i/>
          <w:sz w:val="24"/>
        </w:rPr>
        <w:t>компьютерной томографии (КТ) сердца и сонных артерий методом дуплексного сканирования экстракраниальных отделов брахиоцефальных артерий являются информативными в выявлении атеросклеротического поражения артерий. Обнаружение кальцификации коронарной артерии с помощью неконтрастной КТ дает хорошую оценку атеросклеротической нагрузки и тесно связано с ССО. КТ-ангиография имеет высокую чувствительность 95-99% и специфичность 64-83% для диагностики ИБС </w:t>
      </w:r>
      <w:r>
        <w:rPr>
          <w:sz w:val="24"/>
        </w:rPr>
        <w:t>[</w:t>
      </w:r>
      <w:hyperlink w:history="true" w:anchor="_bookmark70">
        <w:r>
          <w:rPr>
            <w:sz w:val="24"/>
          </w:rPr>
          <w:t>25</w:t>
        </w:r>
      </w:hyperlink>
      <w:r>
        <w:rPr>
          <w:sz w:val="24"/>
        </w:rPr>
        <w:t>]</w:t>
      </w:r>
      <w:r>
        <w:rPr>
          <w:i/>
          <w:sz w:val="24"/>
        </w:rPr>
        <w:t>. Для скрининга атеросклероза коронарных артерий может использоваться кальциевый индекс (КИ), определяемый при КТ по Agatston </w:t>
      </w:r>
      <w:r>
        <w:rPr>
          <w:sz w:val="24"/>
        </w:rPr>
        <w:t>[</w:t>
      </w:r>
      <w:hyperlink w:history="true" w:anchor="_bookmark71">
        <w:r>
          <w:rPr>
            <w:sz w:val="24"/>
          </w:rPr>
          <w:t>26</w:t>
        </w:r>
      </w:hyperlink>
      <w:r>
        <w:rPr>
          <w:sz w:val="24"/>
        </w:rPr>
        <w:t>]</w:t>
      </w:r>
      <w:r>
        <w:rPr>
          <w:i/>
          <w:sz w:val="24"/>
        </w:rPr>
        <w:t>. Это исследование позволяет обеспечить дополнительную стратификацию риска </w:t>
      </w:r>
      <w:r>
        <w:rPr>
          <w:sz w:val="24"/>
        </w:rPr>
        <w:t>[</w:t>
      </w:r>
      <w:hyperlink w:history="true" w:anchor="_bookmark72">
        <w:r>
          <w:rPr>
            <w:sz w:val="24"/>
          </w:rPr>
          <w:t>27</w:t>
        </w:r>
      </w:hyperlink>
      <w:r>
        <w:rPr>
          <w:sz w:val="24"/>
        </w:rPr>
        <w:t>]</w:t>
      </w:r>
      <w:r>
        <w:rPr>
          <w:i/>
          <w:sz w:val="24"/>
        </w:rPr>
        <w:t>, имеет меньшую стоимость, не требует внутривенного введения контрастных веществ (Таблица 4, Приложение А3). Использование КИ улучшает как дискриминацию, так и реклассификацию категории риска </w:t>
      </w:r>
      <w:r>
        <w:rPr>
          <w:sz w:val="24"/>
        </w:rPr>
        <w:t>[</w:t>
      </w:r>
      <w:hyperlink w:history="true" w:anchor="_bookmark73">
        <w:r>
          <w:rPr>
            <w:sz w:val="24"/>
          </w:rPr>
          <w:t>28,</w:t>
        </w:r>
      </w:hyperlink>
      <w:r>
        <w:rPr>
          <w:sz w:val="24"/>
        </w:rPr>
        <w:t> </w:t>
      </w:r>
      <w:hyperlink w:history="true" w:anchor="_bookmark74">
        <w:r>
          <w:rPr>
            <w:sz w:val="24"/>
          </w:rPr>
          <w:t>29</w:t>
        </w:r>
      </w:hyperlink>
      <w:r>
        <w:rPr>
          <w:sz w:val="24"/>
        </w:rPr>
        <w:t>]</w:t>
      </w:r>
      <w:r>
        <w:rPr>
          <w:i/>
          <w:sz w:val="24"/>
        </w:rPr>
        <w:t>. Оценка атеросклеротических бляшек в сонной или бедренной артерии с помощью ультразвука является прогностическим фактором сердечно-сосудистых событий, сравнимым с КИ </w:t>
      </w:r>
      <w:r>
        <w:rPr>
          <w:sz w:val="24"/>
        </w:rPr>
        <w:t>[</w:t>
      </w:r>
      <w:hyperlink w:history="true" w:anchor="_bookmark75">
        <w:r>
          <w:rPr>
            <w:sz w:val="24"/>
          </w:rPr>
          <w:t>30,</w:t>
        </w:r>
      </w:hyperlink>
      <w:r>
        <w:rPr>
          <w:sz w:val="24"/>
        </w:rPr>
        <w:t> </w:t>
      </w:r>
      <w:hyperlink w:history="true" w:anchor="_bookmark76">
        <w:r>
          <w:rPr>
            <w:sz w:val="24"/>
          </w:rPr>
          <w:t>31</w:t>
        </w:r>
      </w:hyperlink>
      <w:r>
        <w:rPr>
          <w:sz w:val="24"/>
        </w:rPr>
        <w:t>]</w:t>
      </w:r>
      <w:r>
        <w:rPr>
          <w:i/>
          <w:sz w:val="24"/>
        </w:rPr>
        <w:t>, в то время как измерение толщины интимы-медиа сонной артерии уступает КИ и наличию бляшек в сонной артерии </w:t>
      </w:r>
      <w:r>
        <w:rPr>
          <w:sz w:val="24"/>
        </w:rPr>
        <w:t>[</w:t>
      </w:r>
      <w:hyperlink w:history="true" w:anchor="_bookmark77">
        <w:r>
          <w:rPr>
            <w:sz w:val="24"/>
          </w:rPr>
          <w:t>32</w:t>
        </w:r>
      </w:hyperlink>
      <w:r>
        <w:rPr>
          <w:sz w:val="24"/>
        </w:rPr>
        <w:t>, </w:t>
      </w:r>
      <w:hyperlink w:history="true" w:anchor="_bookmark78">
        <w:r>
          <w:rPr>
            <w:sz w:val="24"/>
          </w:rPr>
          <w:t>33</w:t>
        </w:r>
      </w:hyperlink>
      <w:r>
        <w:rPr>
          <w:sz w:val="24"/>
        </w:rPr>
        <w:t>]</w:t>
      </w:r>
      <w:r>
        <w:rPr>
          <w:spacing w:val="40"/>
          <w:sz w:val="24"/>
        </w:rPr>
        <w:t> </w:t>
      </w:r>
      <w:r>
        <w:rPr>
          <w:i/>
          <w:sz w:val="24"/>
        </w:rPr>
        <w:t>и не используется в качестве стратификатора риска.</w:t>
      </w:r>
    </w:p>
    <w:p>
      <w:pPr>
        <w:pStyle w:val="BodyText"/>
        <w:spacing w:before="9"/>
        <w:ind w:left="0"/>
        <w:rPr>
          <w:i/>
          <w:sz w:val="20"/>
        </w:rPr>
      </w:pPr>
    </w:p>
    <w:p>
      <w:pPr>
        <w:spacing w:line="360" w:lineRule="auto" w:before="1"/>
        <w:ind w:left="1544" w:right="567" w:firstLine="0"/>
        <w:jc w:val="both"/>
        <w:rPr>
          <w:i/>
          <w:sz w:val="24"/>
        </w:rPr>
      </w:pPr>
      <w:r>
        <w:rPr>
          <w:i/>
          <w:sz w:val="24"/>
        </w:rPr>
        <w:t>У бессимптомных лиц с умеренным риском наличие КИ &gt; 100 единиц по Agatston и наличие</w:t>
      </w:r>
      <w:r>
        <w:rPr>
          <w:i/>
          <w:spacing w:val="63"/>
          <w:sz w:val="24"/>
        </w:rPr>
        <w:t> </w:t>
      </w:r>
      <w:r>
        <w:rPr>
          <w:i/>
          <w:sz w:val="24"/>
        </w:rPr>
        <w:t>атеросклеротических</w:t>
      </w:r>
      <w:r>
        <w:rPr>
          <w:i/>
          <w:spacing w:val="64"/>
          <w:sz w:val="24"/>
        </w:rPr>
        <w:t> </w:t>
      </w:r>
      <w:r>
        <w:rPr>
          <w:i/>
          <w:sz w:val="24"/>
        </w:rPr>
        <w:t>бляшек</w:t>
      </w:r>
      <w:r>
        <w:rPr>
          <w:i/>
          <w:spacing w:val="65"/>
          <w:sz w:val="24"/>
        </w:rPr>
        <w:t> </w:t>
      </w:r>
      <w:r>
        <w:rPr>
          <w:i/>
          <w:sz w:val="24"/>
        </w:rPr>
        <w:t>в</w:t>
      </w:r>
      <w:r>
        <w:rPr>
          <w:i/>
          <w:spacing w:val="64"/>
          <w:sz w:val="24"/>
        </w:rPr>
        <w:t> </w:t>
      </w:r>
      <w:r>
        <w:rPr>
          <w:i/>
          <w:sz w:val="24"/>
        </w:rPr>
        <w:t>сонной</w:t>
      </w:r>
      <w:r>
        <w:rPr>
          <w:i/>
          <w:spacing w:val="65"/>
          <w:sz w:val="24"/>
        </w:rPr>
        <w:t> </w:t>
      </w:r>
      <w:r>
        <w:rPr>
          <w:i/>
          <w:sz w:val="24"/>
        </w:rPr>
        <w:t>или</w:t>
      </w:r>
      <w:r>
        <w:rPr>
          <w:i/>
          <w:spacing w:val="65"/>
          <w:sz w:val="24"/>
        </w:rPr>
        <w:t> </w:t>
      </w:r>
      <w:r>
        <w:rPr>
          <w:i/>
          <w:sz w:val="24"/>
        </w:rPr>
        <w:t>бедренной</w:t>
      </w:r>
      <w:r>
        <w:rPr>
          <w:i/>
          <w:spacing w:val="65"/>
          <w:sz w:val="24"/>
        </w:rPr>
        <w:t> </w:t>
      </w:r>
      <w:r>
        <w:rPr>
          <w:i/>
          <w:sz w:val="24"/>
        </w:rPr>
        <w:t>артерии</w:t>
      </w:r>
      <w:r>
        <w:rPr>
          <w:i/>
          <w:spacing w:val="65"/>
          <w:sz w:val="24"/>
        </w:rPr>
        <w:t> </w:t>
      </w:r>
      <w:r>
        <w:rPr>
          <w:i/>
          <w:sz w:val="24"/>
        </w:rPr>
        <w:t>по</w:t>
      </w:r>
      <w:r>
        <w:rPr>
          <w:i/>
          <w:spacing w:val="65"/>
          <w:sz w:val="24"/>
        </w:rPr>
        <w:t> </w:t>
      </w:r>
      <w:r>
        <w:rPr>
          <w:i/>
          <w:spacing w:val="-2"/>
          <w:sz w:val="24"/>
        </w:rPr>
        <w:t>данным</w:t>
      </w:r>
    </w:p>
    <w:p>
      <w:pPr>
        <w:spacing w:after="0" w:line="360" w:lineRule="auto"/>
        <w:jc w:val="both"/>
        <w:rPr>
          <w:sz w:val="24"/>
        </w:rPr>
        <w:sectPr>
          <w:pgSz w:w="11910" w:h="16840"/>
          <w:pgMar w:header="0" w:footer="710" w:top="1040" w:bottom="900" w:left="440" w:right="280"/>
        </w:sectPr>
      </w:pPr>
    </w:p>
    <w:p>
      <w:pPr>
        <w:spacing w:line="360" w:lineRule="auto" w:before="73"/>
        <w:ind w:left="1544" w:right="567" w:firstLine="0"/>
        <w:jc w:val="both"/>
        <w:rPr>
          <w:i/>
          <w:sz w:val="24"/>
        </w:rPr>
      </w:pPr>
      <w:r>
        <w:rPr>
          <w:i/>
          <w:sz w:val="24"/>
        </w:rPr>
        <w:t>дуплексного сканирования может перевести их в категорию более высокого риска.</w:t>
      </w:r>
      <w:r>
        <w:rPr>
          <w:i/>
          <w:spacing w:val="80"/>
          <w:sz w:val="24"/>
        </w:rPr>
        <w:t> </w:t>
      </w:r>
      <w:r>
        <w:rPr>
          <w:i/>
          <w:sz w:val="24"/>
        </w:rPr>
        <w:t>При этом КИ невысок и имеет низкую специфичность у пациентов моложе 45 лет с тяжелой СГХС, включая гомозиготную СГХС (гоСГХС).</w:t>
      </w:r>
    </w:p>
    <w:p>
      <w:pPr>
        <w:pStyle w:val="BodyText"/>
        <w:spacing w:before="2"/>
        <w:ind w:left="0"/>
        <w:rPr>
          <w:i/>
          <w:sz w:val="21"/>
        </w:rPr>
      </w:pPr>
    </w:p>
    <w:p>
      <w:pPr>
        <w:pStyle w:val="ListParagraph"/>
        <w:numPr>
          <w:ilvl w:val="0"/>
          <w:numId w:val="13"/>
        </w:numPr>
        <w:tabs>
          <w:tab w:pos="1982" w:val="left" w:leader="none"/>
        </w:tabs>
        <w:spacing w:line="350" w:lineRule="auto" w:before="0" w:after="0"/>
        <w:ind w:left="1981" w:right="566" w:hanging="360"/>
        <w:jc w:val="both"/>
        <w:rPr>
          <w:sz w:val="24"/>
        </w:rPr>
      </w:pPr>
      <w:r>
        <w:rPr>
          <w:sz w:val="24"/>
        </w:rPr>
        <w:t>Всем пациентам с дислипидемией рекомендовано дуплексное сканирование брахиоцефальных артерий [</w:t>
      </w:r>
      <w:hyperlink w:history="true" w:anchor="_bookmark79">
        <w:r>
          <w:rPr>
            <w:sz w:val="24"/>
          </w:rPr>
          <w:t>34</w:t>
        </w:r>
      </w:hyperlink>
      <w:r>
        <w:rPr>
          <w:sz w:val="24"/>
        </w:rPr>
        <w:t>]</w:t>
      </w:r>
    </w:p>
    <w:p>
      <w:pPr>
        <w:pStyle w:val="Heading3"/>
        <w:spacing w:before="11"/>
        <w:ind w:left="1981"/>
      </w:pPr>
      <w:r>
        <w:rPr/>
        <w:t>ЕОК/ЕОА</w:t>
      </w:r>
      <w:r>
        <w:rPr>
          <w:spacing w:val="-3"/>
        </w:rPr>
        <w:t> </w:t>
      </w:r>
      <w:r>
        <w:rPr/>
        <w:t>IIaВ</w:t>
      </w:r>
      <w:r>
        <w:rPr>
          <w:spacing w:val="-1"/>
        </w:rPr>
        <w:t> </w:t>
      </w:r>
      <w:r>
        <w:rPr/>
        <w:t>(УУР</w:t>
      </w:r>
      <w:r>
        <w:rPr>
          <w:spacing w:val="-2"/>
        </w:rPr>
        <w:t> </w:t>
      </w:r>
      <w:r>
        <w:rPr/>
        <w:t>А,</w:t>
      </w:r>
      <w:r>
        <w:rPr>
          <w:spacing w:val="-1"/>
        </w:rPr>
        <w:t> </w:t>
      </w:r>
      <w:r>
        <w:rPr>
          <w:spacing w:val="-2"/>
        </w:rPr>
        <w:t>УДД1)</w:t>
      </w:r>
    </w:p>
    <w:p>
      <w:pPr>
        <w:pStyle w:val="ListParagraph"/>
        <w:numPr>
          <w:ilvl w:val="0"/>
          <w:numId w:val="13"/>
        </w:numPr>
        <w:tabs>
          <w:tab w:pos="1982" w:val="left" w:leader="none"/>
        </w:tabs>
        <w:spacing w:line="355" w:lineRule="auto" w:before="141" w:after="0"/>
        <w:ind w:left="1981" w:right="568" w:hanging="360"/>
        <w:jc w:val="both"/>
        <w:rPr>
          <w:sz w:val="24"/>
        </w:rPr>
      </w:pPr>
      <w:r>
        <w:rPr>
          <w:sz w:val="24"/>
        </w:rPr>
        <w:t>У пациентов с выявленными атеросклеротическими бляшками в сонной или бедренной артерии по данным дуплексного сканирования рекомендовано реклассифицировать категорию риска от низкого и умеренного до высокого с целью эффективного управления определяющими риск факторами [</w:t>
      </w:r>
      <w:hyperlink w:history="true" w:anchor="_bookmark79">
        <w:r>
          <w:rPr>
            <w:sz w:val="24"/>
          </w:rPr>
          <w:t>34</w:t>
        </w:r>
      </w:hyperlink>
      <w:r>
        <w:rPr>
          <w:sz w:val="24"/>
        </w:rPr>
        <w:t>, </w:t>
      </w:r>
      <w:hyperlink w:history="true" w:anchor="_bookmark80">
        <w:r>
          <w:rPr>
            <w:sz w:val="24"/>
          </w:rPr>
          <w:t>35</w:t>
        </w:r>
      </w:hyperlink>
      <w:r>
        <w:rPr>
          <w:sz w:val="24"/>
        </w:rPr>
        <w:t>, </w:t>
      </w:r>
      <w:hyperlink w:history="true" w:anchor="_bookmark95">
        <w:r>
          <w:rPr>
            <w:sz w:val="24"/>
          </w:rPr>
          <w:t>50</w:t>
        </w:r>
      </w:hyperlink>
      <w:r>
        <w:rPr>
          <w:sz w:val="24"/>
        </w:rPr>
        <w:t>].</w:t>
      </w:r>
    </w:p>
    <w:p>
      <w:pPr>
        <w:pStyle w:val="BodyText"/>
        <w:spacing w:before="10"/>
        <w:ind w:left="0"/>
      </w:pPr>
    </w:p>
    <w:p>
      <w:pPr>
        <w:pStyle w:val="Heading3"/>
        <w:ind w:left="1981"/>
      </w:pPr>
      <w:r>
        <w:rPr/>
        <w:t>ЕОК/ЕОА</w:t>
      </w:r>
      <w:r>
        <w:rPr>
          <w:spacing w:val="-3"/>
        </w:rPr>
        <w:t> </w:t>
      </w:r>
      <w:r>
        <w:rPr/>
        <w:t>IIaВ</w:t>
      </w:r>
      <w:r>
        <w:rPr>
          <w:spacing w:val="-1"/>
        </w:rPr>
        <w:t> </w:t>
      </w:r>
      <w:r>
        <w:rPr/>
        <w:t>(УУР</w:t>
      </w:r>
      <w:r>
        <w:rPr>
          <w:spacing w:val="-2"/>
        </w:rPr>
        <w:t> </w:t>
      </w:r>
      <w:r>
        <w:rPr/>
        <w:t>А,</w:t>
      </w:r>
      <w:r>
        <w:rPr>
          <w:spacing w:val="-1"/>
        </w:rPr>
        <w:t> </w:t>
      </w:r>
      <w:r>
        <w:rPr>
          <w:spacing w:val="-2"/>
        </w:rPr>
        <w:t>УДД1)</w:t>
      </w:r>
    </w:p>
    <w:p>
      <w:pPr>
        <w:pStyle w:val="ListParagraph"/>
        <w:numPr>
          <w:ilvl w:val="0"/>
          <w:numId w:val="13"/>
        </w:numPr>
        <w:tabs>
          <w:tab w:pos="1982" w:val="left" w:leader="none"/>
        </w:tabs>
        <w:spacing w:line="357" w:lineRule="auto" w:before="139" w:after="0"/>
        <w:ind w:left="1981" w:right="566" w:hanging="360"/>
        <w:jc w:val="both"/>
        <w:rPr>
          <w:sz w:val="24"/>
        </w:rPr>
      </w:pPr>
      <w:r>
        <w:rPr>
          <w:sz w:val="24"/>
        </w:rPr>
        <w:t>У пациентов с коронарным атеросклерозом и значением КИ выше 100 единиц по данным КТ сердца рекомендовано реклассифицировать категорию риска от</w:t>
      </w:r>
      <w:r>
        <w:rPr>
          <w:spacing w:val="40"/>
          <w:sz w:val="24"/>
        </w:rPr>
        <w:t> </w:t>
      </w:r>
      <w:r>
        <w:rPr>
          <w:sz w:val="24"/>
        </w:rPr>
        <w:t>низкого и умеренного до высокого с целью эффективной корекции факторов риска [</w:t>
      </w:r>
      <w:hyperlink w:history="true" w:anchor="_bookmark78">
        <w:r>
          <w:rPr>
            <w:sz w:val="24"/>
          </w:rPr>
          <w:t>33,</w:t>
        </w:r>
      </w:hyperlink>
      <w:r>
        <w:rPr>
          <w:sz w:val="24"/>
        </w:rPr>
        <w:t> </w:t>
      </w:r>
      <w:hyperlink w:history="true" w:anchor="_bookmark81">
        <w:r>
          <w:rPr>
            <w:sz w:val="24"/>
          </w:rPr>
          <w:t>36</w:t>
        </w:r>
      </w:hyperlink>
      <w:r>
        <w:rPr>
          <w:sz w:val="24"/>
        </w:rPr>
        <w:t>].</w:t>
      </w:r>
    </w:p>
    <w:p>
      <w:pPr>
        <w:pStyle w:val="Heading3"/>
        <w:spacing w:line="275" w:lineRule="exact"/>
        <w:ind w:left="1969"/>
      </w:pPr>
      <w:r>
        <w:rPr/>
        <w:t>ЕОК/ЕОА</w:t>
      </w:r>
      <w:r>
        <w:rPr>
          <w:spacing w:val="-4"/>
        </w:rPr>
        <w:t> </w:t>
      </w:r>
      <w:r>
        <w:rPr/>
        <w:t>IIaВ</w:t>
      </w:r>
      <w:r>
        <w:rPr>
          <w:spacing w:val="-1"/>
        </w:rPr>
        <w:t> </w:t>
      </w:r>
      <w:r>
        <w:rPr/>
        <w:t>(УУР</w:t>
      </w:r>
      <w:r>
        <w:rPr>
          <w:spacing w:val="-2"/>
        </w:rPr>
        <w:t> </w:t>
      </w:r>
      <w:r>
        <w:rPr/>
        <w:t>В,</w:t>
      </w:r>
      <w:r>
        <w:rPr>
          <w:spacing w:val="-1"/>
        </w:rPr>
        <w:t> </w:t>
      </w:r>
      <w:r>
        <w:rPr/>
        <w:t>УДД</w:t>
      </w:r>
      <w:r>
        <w:rPr>
          <w:spacing w:val="-1"/>
        </w:rPr>
        <w:t> </w:t>
      </w:r>
      <w:r>
        <w:rPr>
          <w:spacing w:val="-5"/>
        </w:rPr>
        <w:t>2)</w:t>
      </w:r>
    </w:p>
    <w:p>
      <w:pPr>
        <w:pStyle w:val="BodyText"/>
        <w:ind w:left="0"/>
        <w:rPr>
          <w:b/>
          <w:sz w:val="33"/>
        </w:rPr>
      </w:pPr>
    </w:p>
    <w:p>
      <w:pPr>
        <w:pStyle w:val="Heading3"/>
        <w:numPr>
          <w:ilvl w:val="1"/>
          <w:numId w:val="9"/>
        </w:numPr>
        <w:tabs>
          <w:tab w:pos="2752" w:val="left" w:leader="none"/>
        </w:tabs>
        <w:spacing w:line="240" w:lineRule="auto" w:before="0" w:after="0"/>
        <w:ind w:left="2752" w:right="0" w:hanging="420"/>
        <w:jc w:val="both"/>
      </w:pPr>
      <w:bookmarkStart w:name="2.6. Иные диагностические исследования" w:id="33"/>
      <w:bookmarkEnd w:id="33"/>
      <w:r>
        <w:rPr>
          <w:b w:val="0"/>
        </w:rPr>
      </w:r>
      <w:bookmarkStart w:name="_bookmark16" w:id="34"/>
      <w:bookmarkEnd w:id="34"/>
      <w:r>
        <w:rPr>
          <w:u w:val="thick"/>
        </w:rPr>
        <w:t>И</w:t>
      </w:r>
      <w:r>
        <w:rPr>
          <w:u w:val="thick"/>
        </w:rPr>
        <w:t>ные</w:t>
      </w:r>
      <w:r>
        <w:rPr>
          <w:spacing w:val="-4"/>
          <w:u w:val="thick"/>
        </w:rPr>
        <w:t> </w:t>
      </w:r>
      <w:r>
        <w:rPr>
          <w:u w:val="thick"/>
        </w:rPr>
        <w:t>диагностические</w:t>
      </w:r>
      <w:r>
        <w:rPr>
          <w:spacing w:val="-4"/>
          <w:u w:val="thick"/>
        </w:rPr>
        <w:t> </w:t>
      </w:r>
      <w:r>
        <w:rPr>
          <w:spacing w:val="-2"/>
          <w:u w:val="thick"/>
        </w:rPr>
        <w:t>исследования</w:t>
      </w:r>
    </w:p>
    <w:p>
      <w:pPr>
        <w:pStyle w:val="BodyText"/>
        <w:spacing w:line="360" w:lineRule="auto" w:before="137"/>
        <w:ind w:left="1261" w:right="568" w:firstLine="708"/>
        <w:jc w:val="both"/>
      </w:pPr>
      <w:r>
        <w:rPr/>
        <w:t>Иные диагностические исследования в рамках диагностики ДЛП не</w:t>
      </w:r>
      <w:r>
        <w:rPr>
          <w:spacing w:val="40"/>
        </w:rPr>
        <w:t> </w:t>
      </w:r>
      <w:r>
        <w:rPr/>
        <w:t>предусмотрены, возможно расширение диагностических исследований по решению врача в зависимости от клинической ситуации и состояния пациента.</w:t>
      </w:r>
    </w:p>
    <w:p>
      <w:pPr>
        <w:pStyle w:val="BodyText"/>
        <w:spacing w:before="11"/>
        <w:ind w:left="0"/>
        <w:rPr>
          <w:sz w:val="20"/>
        </w:rPr>
      </w:pPr>
    </w:p>
    <w:p>
      <w:pPr>
        <w:pStyle w:val="Heading3"/>
        <w:numPr>
          <w:ilvl w:val="1"/>
          <w:numId w:val="9"/>
        </w:numPr>
        <w:tabs>
          <w:tab w:pos="2752" w:val="left" w:leader="none"/>
        </w:tabs>
        <w:spacing w:line="240" w:lineRule="auto" w:before="0" w:after="0"/>
        <w:ind w:left="2752" w:right="0" w:hanging="420"/>
        <w:jc w:val="both"/>
      </w:pPr>
      <w:bookmarkStart w:name="2.7. Оценка сердечно-сосудистого риска" w:id="35"/>
      <w:bookmarkEnd w:id="35"/>
      <w:r>
        <w:rPr>
          <w:b w:val="0"/>
        </w:rPr>
      </w:r>
      <w:bookmarkStart w:name="_bookmark17" w:id="36"/>
      <w:bookmarkEnd w:id="36"/>
      <w:r>
        <w:rPr>
          <w:u w:val="thick"/>
        </w:rPr>
        <w:t>О</w:t>
      </w:r>
      <w:r>
        <w:rPr>
          <w:u w:val="thick"/>
        </w:rPr>
        <w:t>ценка</w:t>
      </w:r>
      <w:r>
        <w:rPr>
          <w:spacing w:val="-5"/>
          <w:u w:val="thick"/>
        </w:rPr>
        <w:t> </w:t>
      </w:r>
      <w:r>
        <w:rPr>
          <w:u w:val="thick"/>
        </w:rPr>
        <w:t>сердечно-сосудистого</w:t>
      </w:r>
      <w:r>
        <w:rPr>
          <w:spacing w:val="-5"/>
          <w:u w:val="thick"/>
        </w:rPr>
        <w:t> </w:t>
      </w:r>
      <w:r>
        <w:rPr>
          <w:spacing w:val="-4"/>
          <w:u w:val="thick"/>
        </w:rPr>
        <w:t>риска</w:t>
      </w:r>
    </w:p>
    <w:p>
      <w:pPr>
        <w:pStyle w:val="ListParagraph"/>
        <w:numPr>
          <w:ilvl w:val="0"/>
          <w:numId w:val="13"/>
        </w:numPr>
        <w:tabs>
          <w:tab w:pos="1982" w:val="left" w:leader="none"/>
        </w:tabs>
        <w:spacing w:line="355" w:lineRule="auto" w:before="139" w:after="0"/>
        <w:ind w:left="1981" w:right="566" w:hanging="360"/>
        <w:jc w:val="both"/>
        <w:rPr>
          <w:sz w:val="24"/>
        </w:rPr>
      </w:pPr>
      <w:r>
        <w:rPr>
          <w:sz w:val="24"/>
        </w:rPr>
        <w:t>У всех бессимптомных взрослых старше 40 лет, без ССЗ, СД, ХБП, СГХС, с ХС ЛНП &lt; 4,9 ммоль/л рекомендуется проведение скрининга для оценки общего риска с использованием шкалы SCORE2 [</w:t>
      </w:r>
      <w:hyperlink w:history="true" w:anchor="_bookmark95">
        <w:r>
          <w:rPr>
            <w:sz w:val="24"/>
          </w:rPr>
          <w:t>50</w:t>
        </w:r>
      </w:hyperlink>
      <w:r>
        <w:rPr>
          <w:sz w:val="24"/>
        </w:rPr>
        <w:t>, </w:t>
      </w:r>
      <w:hyperlink w:history="true" w:anchor="_bookmark273">
        <w:r>
          <w:rPr>
            <w:sz w:val="24"/>
          </w:rPr>
          <w:t>232</w:t>
        </w:r>
      </w:hyperlink>
      <w:r>
        <w:rPr>
          <w:sz w:val="24"/>
        </w:rPr>
        <w:t>, </w:t>
      </w:r>
      <w:hyperlink w:history="true" w:anchor="_bookmark284">
        <w:r>
          <w:rPr>
            <w:sz w:val="24"/>
          </w:rPr>
          <w:t>244</w:t>
        </w:r>
      </w:hyperlink>
      <w:r>
        <w:rPr>
          <w:sz w:val="24"/>
        </w:rPr>
        <w:t>].</w:t>
      </w:r>
    </w:p>
    <w:p>
      <w:pPr>
        <w:pStyle w:val="Heading2"/>
        <w:spacing w:before="6"/>
        <w:ind w:left="1969"/>
      </w:pPr>
      <w:r>
        <w:rPr/>
        <w:t>ЕОК/ЕОА</w:t>
      </w:r>
      <w:r>
        <w:rPr>
          <w:spacing w:val="55"/>
        </w:rPr>
        <w:t> </w:t>
      </w:r>
      <w:r>
        <w:rPr/>
        <w:t>IC</w:t>
      </w:r>
      <w:r>
        <w:rPr>
          <w:spacing w:val="-12"/>
        </w:rPr>
        <w:t> </w:t>
      </w:r>
      <w:r>
        <w:rPr>
          <w:rFonts w:ascii="Calibri" w:hAnsi="Calibri"/>
          <w:sz w:val="22"/>
        </w:rPr>
        <w:t>(</w:t>
      </w:r>
      <w:r>
        <w:rPr/>
        <w:t>УУР</w:t>
      </w:r>
      <w:r>
        <w:rPr>
          <w:spacing w:val="-2"/>
        </w:rPr>
        <w:t> </w:t>
      </w:r>
      <w:r>
        <w:rPr/>
        <w:t>C,</w:t>
      </w:r>
      <w:r>
        <w:rPr>
          <w:spacing w:val="-1"/>
        </w:rPr>
        <w:t> </w:t>
      </w:r>
      <w:r>
        <w:rPr/>
        <w:t>УДД </w:t>
      </w:r>
      <w:r>
        <w:rPr>
          <w:spacing w:val="-5"/>
        </w:rPr>
        <w:t>5)</w:t>
      </w:r>
    </w:p>
    <w:p>
      <w:pPr>
        <w:pStyle w:val="ListParagraph"/>
        <w:numPr>
          <w:ilvl w:val="0"/>
          <w:numId w:val="13"/>
        </w:numPr>
        <w:tabs>
          <w:tab w:pos="1982" w:val="left" w:leader="none"/>
        </w:tabs>
        <w:spacing w:line="357" w:lineRule="auto" w:before="139" w:after="0"/>
        <w:ind w:left="1981" w:right="567" w:hanging="360"/>
        <w:jc w:val="both"/>
        <w:rPr>
          <w:sz w:val="24"/>
        </w:rPr>
      </w:pPr>
      <w:r>
        <w:rPr>
          <w:sz w:val="24"/>
        </w:rPr>
        <w:t>Пациентов с установленными ранее ССЗ, СГХС, СД, ХБП 3-5 стадий, очень высоким риском по шкале SCORE2 или уровнем ХС ЛНП </w:t>
      </w:r>
      <w:r>
        <w:rPr>
          <w:sz w:val="24"/>
          <w:u w:val="single"/>
        </w:rPr>
        <w:t>&gt;</w:t>
      </w:r>
      <w:r>
        <w:rPr>
          <w:sz w:val="24"/>
        </w:rPr>
        <w:t>4,9 ммоль/л рекомендовано относить к категории высокого или очень высокого риска с целью эффективного управления определяющими ФР[</w:t>
      </w:r>
      <w:hyperlink w:history="true" w:anchor="_bookmark54">
        <w:r>
          <w:rPr>
            <w:sz w:val="24"/>
          </w:rPr>
          <w:t>8,</w:t>
        </w:r>
      </w:hyperlink>
      <w:r>
        <w:rPr>
          <w:sz w:val="24"/>
        </w:rPr>
        <w:t> </w:t>
      </w:r>
      <w:hyperlink w:history="true" w:anchor="_bookmark95">
        <w:r>
          <w:rPr>
            <w:sz w:val="24"/>
          </w:rPr>
          <w:t>50</w:t>
        </w:r>
      </w:hyperlink>
      <w:r>
        <w:rPr>
          <w:sz w:val="24"/>
        </w:rPr>
        <w:t>].</w:t>
      </w:r>
    </w:p>
    <w:p>
      <w:pPr>
        <w:pStyle w:val="Heading2"/>
        <w:spacing w:line="275" w:lineRule="exact"/>
        <w:ind w:left="1969"/>
      </w:pPr>
      <w:r>
        <w:rPr/>
        <w:t>ЕОК/ЕОА</w:t>
      </w:r>
      <w:r>
        <w:rPr>
          <w:spacing w:val="-3"/>
        </w:rPr>
        <w:t> </w:t>
      </w:r>
      <w:r>
        <w:rPr/>
        <w:t>IC</w:t>
      </w:r>
      <w:r>
        <w:rPr>
          <w:spacing w:val="-2"/>
        </w:rPr>
        <w:t> </w:t>
      </w:r>
      <w:r>
        <w:rPr/>
        <w:t>(УУР</w:t>
      </w:r>
      <w:r>
        <w:rPr>
          <w:spacing w:val="-2"/>
        </w:rPr>
        <w:t> </w:t>
      </w:r>
      <w:r>
        <w:rPr/>
        <w:t>C,</w:t>
      </w:r>
      <w:r>
        <w:rPr>
          <w:spacing w:val="1"/>
        </w:rPr>
        <w:t> </w:t>
      </w:r>
      <w:r>
        <w:rPr/>
        <w:t>УДД</w:t>
      </w:r>
      <w:r>
        <w:rPr>
          <w:spacing w:val="-1"/>
        </w:rPr>
        <w:t> </w:t>
      </w:r>
      <w:r>
        <w:rPr>
          <w:spacing w:val="-5"/>
        </w:rPr>
        <w:t>5)</w:t>
      </w:r>
    </w:p>
    <w:p>
      <w:pPr>
        <w:pStyle w:val="BodyText"/>
        <w:spacing w:before="4"/>
        <w:ind w:left="0"/>
        <w:rPr>
          <w:b/>
          <w:sz w:val="29"/>
        </w:rPr>
      </w:pPr>
    </w:p>
    <w:p>
      <w:pPr>
        <w:spacing w:line="360" w:lineRule="auto" w:before="0"/>
        <w:ind w:left="1261" w:right="0" w:firstLine="0"/>
        <w:jc w:val="left"/>
        <w:rPr>
          <w:i/>
          <w:sz w:val="24"/>
        </w:rPr>
      </w:pPr>
      <w:r>
        <w:rPr>
          <w:b/>
          <w:sz w:val="24"/>
        </w:rPr>
        <w:t>Комментарии. </w:t>
      </w:r>
      <w:r>
        <w:rPr>
          <w:i/>
          <w:sz w:val="24"/>
        </w:rPr>
        <w:t>В РФ для расчета риска фатальных и нефательных сердечно-сосудистых осложнений</w:t>
      </w:r>
      <w:r>
        <w:rPr>
          <w:i/>
          <w:spacing w:val="60"/>
          <w:sz w:val="24"/>
        </w:rPr>
        <w:t> </w:t>
      </w:r>
      <w:r>
        <w:rPr>
          <w:i/>
          <w:sz w:val="24"/>
        </w:rPr>
        <w:t>в</w:t>
      </w:r>
      <w:r>
        <w:rPr>
          <w:i/>
          <w:spacing w:val="62"/>
          <w:sz w:val="24"/>
        </w:rPr>
        <w:t> </w:t>
      </w:r>
      <w:r>
        <w:rPr>
          <w:i/>
          <w:sz w:val="24"/>
        </w:rPr>
        <w:t>процентах</w:t>
      </w:r>
      <w:r>
        <w:rPr>
          <w:i/>
          <w:spacing w:val="62"/>
          <w:sz w:val="24"/>
        </w:rPr>
        <w:t> </w:t>
      </w:r>
      <w:r>
        <w:rPr>
          <w:i/>
          <w:sz w:val="24"/>
        </w:rPr>
        <w:t>в</w:t>
      </w:r>
      <w:r>
        <w:rPr>
          <w:i/>
          <w:spacing w:val="61"/>
          <w:sz w:val="24"/>
        </w:rPr>
        <w:t> </w:t>
      </w:r>
      <w:r>
        <w:rPr>
          <w:i/>
          <w:sz w:val="24"/>
        </w:rPr>
        <w:t>течение</w:t>
      </w:r>
      <w:r>
        <w:rPr>
          <w:i/>
          <w:spacing w:val="62"/>
          <w:sz w:val="24"/>
        </w:rPr>
        <w:t> </w:t>
      </w:r>
      <w:r>
        <w:rPr>
          <w:i/>
          <w:sz w:val="24"/>
        </w:rPr>
        <w:t>ближайших</w:t>
      </w:r>
      <w:r>
        <w:rPr>
          <w:i/>
          <w:spacing w:val="62"/>
          <w:sz w:val="24"/>
        </w:rPr>
        <w:t> </w:t>
      </w:r>
      <w:r>
        <w:rPr>
          <w:i/>
          <w:sz w:val="24"/>
        </w:rPr>
        <w:t>10</w:t>
      </w:r>
      <w:r>
        <w:rPr>
          <w:i/>
          <w:spacing w:val="62"/>
          <w:sz w:val="24"/>
        </w:rPr>
        <w:t> </w:t>
      </w:r>
      <w:r>
        <w:rPr>
          <w:i/>
          <w:sz w:val="24"/>
        </w:rPr>
        <w:t>лет</w:t>
      </w:r>
      <w:r>
        <w:rPr>
          <w:i/>
          <w:spacing w:val="63"/>
          <w:sz w:val="24"/>
        </w:rPr>
        <w:t> </w:t>
      </w:r>
      <w:r>
        <w:rPr>
          <w:i/>
          <w:sz w:val="24"/>
        </w:rPr>
        <w:t>следует</w:t>
      </w:r>
      <w:r>
        <w:rPr>
          <w:i/>
          <w:spacing w:val="63"/>
          <w:sz w:val="24"/>
        </w:rPr>
        <w:t> </w:t>
      </w:r>
      <w:r>
        <w:rPr>
          <w:i/>
          <w:sz w:val="24"/>
        </w:rPr>
        <w:t>использовать</w:t>
      </w:r>
      <w:r>
        <w:rPr>
          <w:i/>
          <w:spacing w:val="64"/>
          <w:sz w:val="24"/>
        </w:rPr>
        <w:t> </w:t>
      </w:r>
      <w:r>
        <w:rPr>
          <w:i/>
          <w:spacing w:val="-2"/>
          <w:sz w:val="24"/>
        </w:rPr>
        <w:t>шкалу</w:t>
      </w:r>
    </w:p>
    <w:p>
      <w:pPr>
        <w:spacing w:after="0" w:line="360" w:lineRule="auto"/>
        <w:jc w:val="left"/>
        <w:rPr>
          <w:sz w:val="24"/>
        </w:rPr>
        <w:sectPr>
          <w:pgSz w:w="11910" w:h="16840"/>
          <w:pgMar w:header="0" w:footer="710" w:top="1040" w:bottom="900" w:left="440" w:right="280"/>
        </w:sectPr>
      </w:pPr>
    </w:p>
    <w:p>
      <w:pPr>
        <w:spacing w:line="360" w:lineRule="auto" w:before="73"/>
        <w:ind w:left="1261" w:right="566" w:firstLine="0"/>
        <w:jc w:val="both"/>
        <w:rPr>
          <w:i/>
          <w:sz w:val="24"/>
        </w:rPr>
      </w:pPr>
      <w:r>
        <w:rPr>
          <w:i/>
          <w:sz w:val="24"/>
        </w:rPr>
        <w:t>SCORE2 для стран с высоким сердечно-сосудистым риском (приложение Г2) [</w:t>
      </w:r>
      <w:hyperlink w:history="true" w:anchor="_bookmark284">
        <w:r>
          <w:rPr>
            <w:i/>
            <w:sz w:val="24"/>
          </w:rPr>
          <w:t>244</w:t>
        </w:r>
      </w:hyperlink>
      <w:r>
        <w:rPr>
          <w:i/>
          <w:sz w:val="24"/>
        </w:rPr>
        <w:t>]. Для оценки риска по шкале SCORE2 следует выбрать квадрат в зависимости от пола, возраста и статуса курения пациента. В найденном квадрате следует отыскать ячейку, наиболее соответствующую уровню систолического АД и ХС неЛВП данного пациента. Оценка риска по шкале SCORE2 не рекомендована у лиц с подтвержденным ССЗ, СД, ХБП, с единственным, но выраженным ФР (например, тяжелая АГ), с СГХС. Такие пациенты автоматически относятся к группе очень высокого и высокого риска ССО и требуют интенсивной коррекции ФР. Наличие стеноза более 50% в крупных (магистральных) артериях любого сосудистого бассейна по данным любых инструментальных методов исследования, даже в отсутствие клинических симптомов, также переносит пациента в категорию очень высокого риска.</w:t>
      </w:r>
    </w:p>
    <w:p>
      <w:pPr>
        <w:spacing w:line="360" w:lineRule="auto" w:before="2"/>
        <w:ind w:left="1261" w:right="567" w:firstLine="0"/>
        <w:jc w:val="both"/>
        <w:rPr>
          <w:i/>
          <w:sz w:val="24"/>
        </w:rPr>
      </w:pPr>
      <w:r>
        <w:rPr>
          <w:i/>
          <w:sz w:val="24"/>
        </w:rPr>
        <w:t>Категории сердечно-сосудистого риска, согласованные со шкалой SCORE2,</w:t>
      </w:r>
      <w:r>
        <w:rPr>
          <w:i/>
          <w:spacing w:val="80"/>
          <w:sz w:val="24"/>
        </w:rPr>
        <w:t> </w:t>
      </w:r>
      <w:r>
        <w:rPr>
          <w:i/>
          <w:sz w:val="24"/>
        </w:rPr>
        <w:t>представлены в Приложении Г2.</w:t>
      </w:r>
    </w:p>
    <w:p>
      <w:pPr>
        <w:spacing w:line="360" w:lineRule="auto" w:before="0"/>
        <w:ind w:left="1261" w:right="566" w:firstLine="0"/>
        <w:jc w:val="both"/>
        <w:rPr>
          <w:i/>
          <w:sz w:val="24"/>
        </w:rPr>
      </w:pPr>
      <w:r>
        <w:rPr>
          <w:i/>
          <w:sz w:val="24"/>
        </w:rPr>
        <w:t>Следует обратить особое внимание на выделение внутри категории очень высокого</w:t>
      </w:r>
      <w:r>
        <w:rPr>
          <w:i/>
          <w:spacing w:val="40"/>
          <w:sz w:val="24"/>
        </w:rPr>
        <w:t> </w:t>
      </w:r>
      <w:r>
        <w:rPr>
          <w:i/>
          <w:sz w:val="24"/>
        </w:rPr>
        <w:t>риска категории экстремального риска. К экстремальному риску следует относить: наличие 2 и более сердечно-сосудистых осложнений в течение 2 лет, несмотря на оптимальную гиполипидемическую терапию и/или достигнутый уровень ХС ЛНП &lt;1,4 </w:t>
      </w:r>
      <w:r>
        <w:rPr>
          <w:i/>
          <w:spacing w:val="-2"/>
          <w:sz w:val="24"/>
        </w:rPr>
        <w:t>ммоль/л.</w:t>
      </w:r>
    </w:p>
    <w:p>
      <w:pPr>
        <w:spacing w:line="360" w:lineRule="auto" w:before="0"/>
        <w:ind w:left="1261" w:right="567" w:firstLine="0"/>
        <w:jc w:val="both"/>
        <w:rPr>
          <w:i/>
          <w:sz w:val="24"/>
        </w:rPr>
      </w:pPr>
      <w:r>
        <w:rPr>
          <w:i/>
          <w:sz w:val="24"/>
        </w:rPr>
        <w:t>Под </w:t>
      </w:r>
      <w:r>
        <w:rPr>
          <w:sz w:val="24"/>
        </w:rPr>
        <w:t>атеросклеротическим</w:t>
      </w:r>
      <w:r>
        <w:rPr>
          <w:spacing w:val="-1"/>
          <w:sz w:val="24"/>
        </w:rPr>
        <w:t> </w:t>
      </w:r>
      <w:r>
        <w:rPr>
          <w:sz w:val="24"/>
        </w:rPr>
        <w:t>сердечно-сосудистым</w:t>
      </w:r>
      <w:r>
        <w:rPr>
          <w:spacing w:val="-1"/>
          <w:sz w:val="24"/>
        </w:rPr>
        <w:t> </w:t>
      </w:r>
      <w:r>
        <w:rPr>
          <w:sz w:val="24"/>
        </w:rPr>
        <w:t>заболеванием </w:t>
      </w:r>
      <w:r>
        <w:rPr>
          <w:i/>
          <w:sz w:val="24"/>
        </w:rPr>
        <w:t>(АССЗ)</w:t>
      </w:r>
      <w:r>
        <w:rPr>
          <w:i/>
          <w:spacing w:val="-1"/>
          <w:sz w:val="24"/>
        </w:rPr>
        <w:t> </w:t>
      </w:r>
      <w:r>
        <w:rPr>
          <w:i/>
          <w:sz w:val="24"/>
        </w:rPr>
        <w:t>подразумевают все проявления ИБС, ишемический инсульт или транзиторное нарушение мозгового кровообращения, атеросклероз артерий нижних конечностей.</w:t>
      </w:r>
    </w:p>
    <w:p>
      <w:pPr>
        <w:pStyle w:val="ListParagraph"/>
        <w:numPr>
          <w:ilvl w:val="0"/>
          <w:numId w:val="13"/>
        </w:numPr>
        <w:tabs>
          <w:tab w:pos="1982" w:val="left" w:leader="none"/>
        </w:tabs>
        <w:spacing w:line="348" w:lineRule="auto" w:before="2" w:after="0"/>
        <w:ind w:left="1981" w:right="570" w:hanging="360"/>
        <w:jc w:val="both"/>
        <w:rPr>
          <w:sz w:val="24"/>
        </w:rPr>
      </w:pPr>
      <w:r>
        <w:rPr>
          <w:sz w:val="24"/>
        </w:rPr>
        <w:t>Пациентов с СГХС и АССЗ рекомендовано относить к категории очень высокого риска с целью эффективного управления определяющими ФР [</w:t>
      </w:r>
      <w:hyperlink w:history="true" w:anchor="_bookmark82">
        <w:r>
          <w:rPr>
            <w:sz w:val="24"/>
          </w:rPr>
          <w:t>37</w:t>
        </w:r>
      </w:hyperlink>
      <w:r>
        <w:rPr>
          <w:sz w:val="24"/>
        </w:rPr>
        <w:t>].</w:t>
      </w:r>
    </w:p>
    <w:p>
      <w:pPr>
        <w:pStyle w:val="Heading2"/>
        <w:spacing w:before="16"/>
        <w:ind w:left="1621"/>
      </w:pPr>
      <w:r>
        <w:rPr/>
        <w:t>ЕОК/ЕОА</w:t>
      </w:r>
      <w:r>
        <w:rPr>
          <w:spacing w:val="-2"/>
        </w:rPr>
        <w:t> </w:t>
      </w:r>
      <w:r>
        <w:rPr/>
        <w:t>IC</w:t>
      </w:r>
      <w:r>
        <w:rPr>
          <w:spacing w:val="-2"/>
        </w:rPr>
        <w:t> </w:t>
      </w:r>
      <w:r>
        <w:rPr/>
        <w:t>(УУР</w:t>
      </w:r>
      <w:r>
        <w:rPr>
          <w:spacing w:val="-2"/>
        </w:rPr>
        <w:t> </w:t>
      </w:r>
      <w:r>
        <w:rPr/>
        <w:t>В,</w:t>
      </w:r>
      <w:r>
        <w:rPr>
          <w:spacing w:val="1"/>
        </w:rPr>
        <w:t> </w:t>
      </w:r>
      <w:r>
        <w:rPr/>
        <w:t>УДД</w:t>
      </w:r>
      <w:r>
        <w:rPr>
          <w:spacing w:val="-1"/>
        </w:rPr>
        <w:t> </w:t>
      </w:r>
      <w:r>
        <w:rPr>
          <w:spacing w:val="-5"/>
        </w:rPr>
        <w:t>2)</w:t>
      </w:r>
    </w:p>
    <w:p>
      <w:pPr>
        <w:pStyle w:val="BodyText"/>
        <w:spacing w:before="7"/>
        <w:ind w:left="0"/>
        <w:rPr>
          <w:b/>
          <w:sz w:val="29"/>
        </w:rPr>
      </w:pPr>
    </w:p>
    <w:p>
      <w:pPr>
        <w:pStyle w:val="ListParagraph"/>
        <w:numPr>
          <w:ilvl w:val="0"/>
          <w:numId w:val="13"/>
        </w:numPr>
        <w:tabs>
          <w:tab w:pos="1982" w:val="left" w:leader="none"/>
        </w:tabs>
        <w:spacing w:line="348" w:lineRule="auto" w:before="0" w:after="0"/>
        <w:ind w:left="1981" w:right="566" w:hanging="360"/>
        <w:jc w:val="both"/>
        <w:rPr>
          <w:sz w:val="24"/>
        </w:rPr>
      </w:pPr>
      <w:r>
        <w:rPr>
          <w:sz w:val="24"/>
        </w:rPr>
        <w:t>Пациентов с СГХС без АССЗ рекомендовано относить к категории высокого риска с целью эффективного управления определяющими ФР [</w:t>
      </w:r>
      <w:hyperlink w:history="true" w:anchor="_bookmark82">
        <w:r>
          <w:rPr>
            <w:sz w:val="24"/>
          </w:rPr>
          <w:t>37</w:t>
        </w:r>
      </w:hyperlink>
      <w:r>
        <w:rPr>
          <w:sz w:val="24"/>
        </w:rPr>
        <w:t>].</w:t>
      </w:r>
    </w:p>
    <w:p>
      <w:pPr>
        <w:spacing w:before="17"/>
        <w:ind w:left="1621" w:right="0" w:firstLine="0"/>
        <w:jc w:val="left"/>
        <w:rPr>
          <w:b/>
          <w:sz w:val="24"/>
        </w:rPr>
      </w:pPr>
      <w:r>
        <w:rPr>
          <w:b/>
          <w:sz w:val="24"/>
        </w:rPr>
        <w:t>ЕОК/ЕОА</w:t>
      </w:r>
      <w:r>
        <w:rPr>
          <w:b/>
          <w:spacing w:val="-2"/>
          <w:sz w:val="24"/>
        </w:rPr>
        <w:t> </w:t>
      </w:r>
      <w:r>
        <w:rPr>
          <w:b/>
          <w:sz w:val="24"/>
        </w:rPr>
        <w:t>IC</w:t>
      </w:r>
      <w:r>
        <w:rPr>
          <w:b/>
          <w:spacing w:val="-2"/>
          <w:sz w:val="24"/>
        </w:rPr>
        <w:t> </w:t>
      </w:r>
      <w:r>
        <w:rPr>
          <w:b/>
          <w:sz w:val="24"/>
        </w:rPr>
        <w:t>(УУР</w:t>
      </w:r>
      <w:r>
        <w:rPr>
          <w:b/>
          <w:spacing w:val="-2"/>
          <w:sz w:val="24"/>
        </w:rPr>
        <w:t> </w:t>
      </w:r>
      <w:r>
        <w:rPr>
          <w:b/>
          <w:sz w:val="24"/>
        </w:rPr>
        <w:t>В,</w:t>
      </w:r>
      <w:r>
        <w:rPr>
          <w:b/>
          <w:spacing w:val="1"/>
          <w:sz w:val="24"/>
        </w:rPr>
        <w:t> </w:t>
      </w:r>
      <w:r>
        <w:rPr>
          <w:b/>
          <w:sz w:val="24"/>
        </w:rPr>
        <w:t>УДД</w:t>
      </w:r>
      <w:r>
        <w:rPr>
          <w:b/>
          <w:spacing w:val="-1"/>
          <w:sz w:val="24"/>
        </w:rPr>
        <w:t> </w:t>
      </w:r>
      <w:r>
        <w:rPr>
          <w:b/>
          <w:spacing w:val="-5"/>
          <w:sz w:val="24"/>
        </w:rPr>
        <w:t>2)</w:t>
      </w:r>
    </w:p>
    <w:p>
      <w:pPr>
        <w:spacing w:after="0"/>
        <w:jc w:val="left"/>
        <w:rPr>
          <w:sz w:val="24"/>
        </w:rPr>
        <w:sectPr>
          <w:pgSz w:w="11910" w:h="16840"/>
          <w:pgMar w:header="0" w:footer="710" w:top="1040" w:bottom="900" w:left="440" w:right="280"/>
        </w:sectPr>
      </w:pPr>
    </w:p>
    <w:p>
      <w:pPr>
        <w:pStyle w:val="Heading1"/>
        <w:numPr>
          <w:ilvl w:val="0"/>
          <w:numId w:val="7"/>
        </w:numPr>
        <w:tabs>
          <w:tab w:pos="1665" w:val="left" w:leader="none"/>
        </w:tabs>
        <w:spacing w:line="362" w:lineRule="auto" w:before="74" w:after="0"/>
        <w:ind w:left="2319" w:right="691" w:hanging="936"/>
        <w:jc w:val="both"/>
      </w:pPr>
      <w:bookmarkStart w:name="3. Лечение, включая медикаментозную и не" w:id="37"/>
      <w:bookmarkEnd w:id="37"/>
      <w:r>
        <w:rPr>
          <w:b w:val="0"/>
        </w:rPr>
      </w:r>
      <w:bookmarkStart w:name="_bookmark18" w:id="38"/>
      <w:bookmarkEnd w:id="38"/>
      <w:r>
        <w:rPr/>
        <w:t>Л</w:t>
      </w:r>
      <w:r>
        <w:rPr/>
        <w:t>ечение,</w:t>
      </w:r>
      <w:r>
        <w:rPr>
          <w:spacing w:val="-7"/>
        </w:rPr>
        <w:t> </w:t>
      </w:r>
      <w:r>
        <w:rPr/>
        <w:t>включая</w:t>
      </w:r>
      <w:r>
        <w:rPr>
          <w:spacing w:val="-8"/>
        </w:rPr>
        <w:t> </w:t>
      </w:r>
      <w:r>
        <w:rPr/>
        <w:t>медикаментозную</w:t>
      </w:r>
      <w:r>
        <w:rPr>
          <w:spacing w:val="-8"/>
        </w:rPr>
        <w:t> </w:t>
      </w:r>
      <w:r>
        <w:rPr/>
        <w:t>и</w:t>
      </w:r>
      <w:r>
        <w:rPr>
          <w:spacing w:val="-8"/>
        </w:rPr>
        <w:t> </w:t>
      </w:r>
      <w:r>
        <w:rPr/>
        <w:t>немедикаментозную</w:t>
      </w:r>
      <w:r>
        <w:rPr>
          <w:spacing w:val="-8"/>
        </w:rPr>
        <w:t> </w:t>
      </w:r>
      <w:r>
        <w:rPr/>
        <w:t>терапию, диетотерапию, обезболивание, медицинские показания и</w:t>
      </w:r>
    </w:p>
    <w:p>
      <w:pPr>
        <w:spacing w:line="317" w:lineRule="exact" w:before="0"/>
        <w:ind w:left="2689" w:right="0" w:firstLine="0"/>
        <w:jc w:val="both"/>
        <w:rPr>
          <w:b/>
          <w:sz w:val="28"/>
        </w:rPr>
      </w:pPr>
      <w:r>
        <w:rPr>
          <w:b/>
          <w:sz w:val="28"/>
        </w:rPr>
        <w:t>противопоказания</w:t>
      </w:r>
      <w:r>
        <w:rPr>
          <w:b/>
          <w:spacing w:val="-8"/>
          <w:sz w:val="28"/>
        </w:rPr>
        <w:t> </w:t>
      </w:r>
      <w:r>
        <w:rPr>
          <w:b/>
          <w:sz w:val="28"/>
        </w:rPr>
        <w:t>к</w:t>
      </w:r>
      <w:r>
        <w:rPr>
          <w:b/>
          <w:spacing w:val="-6"/>
          <w:sz w:val="28"/>
        </w:rPr>
        <w:t> </w:t>
      </w:r>
      <w:r>
        <w:rPr>
          <w:b/>
          <w:sz w:val="28"/>
        </w:rPr>
        <w:t>применению</w:t>
      </w:r>
      <w:r>
        <w:rPr>
          <w:b/>
          <w:spacing w:val="-6"/>
          <w:sz w:val="28"/>
        </w:rPr>
        <w:t> </w:t>
      </w:r>
      <w:r>
        <w:rPr>
          <w:b/>
          <w:sz w:val="28"/>
        </w:rPr>
        <w:t>методов</w:t>
      </w:r>
      <w:r>
        <w:rPr>
          <w:b/>
          <w:spacing w:val="-7"/>
          <w:sz w:val="28"/>
        </w:rPr>
        <w:t> </w:t>
      </w:r>
      <w:r>
        <w:rPr>
          <w:b/>
          <w:spacing w:val="-2"/>
          <w:sz w:val="28"/>
        </w:rPr>
        <w:t>лечения</w:t>
      </w:r>
    </w:p>
    <w:p>
      <w:pPr>
        <w:spacing w:line="360" w:lineRule="auto" w:before="160"/>
        <w:ind w:left="1261" w:right="567" w:firstLine="0"/>
        <w:jc w:val="both"/>
        <w:rPr>
          <w:i/>
          <w:sz w:val="24"/>
        </w:rPr>
      </w:pPr>
      <w:r>
        <w:rPr>
          <w:i/>
          <w:sz w:val="24"/>
        </w:rPr>
        <w:t>Решение о тактике лечения рекомендуется принимать в зависимости от исходного уровня сердечно-сосудистого риска. Тактика немедикаментозной и медикаментозной терапии суммирована в таблице 1, Приложение Б4.</w:t>
      </w:r>
    </w:p>
    <w:p>
      <w:pPr>
        <w:pStyle w:val="BodyText"/>
        <w:spacing w:before="11"/>
        <w:ind w:left="0"/>
        <w:rPr>
          <w:i/>
          <w:sz w:val="20"/>
        </w:rPr>
      </w:pPr>
    </w:p>
    <w:p>
      <w:pPr>
        <w:pStyle w:val="Heading3"/>
        <w:numPr>
          <w:ilvl w:val="1"/>
          <w:numId w:val="7"/>
        </w:numPr>
        <w:tabs>
          <w:tab w:pos="2692" w:val="left" w:leader="none"/>
        </w:tabs>
        <w:spacing w:line="240" w:lineRule="auto" w:before="0" w:after="0"/>
        <w:ind w:left="2692" w:right="0" w:hanging="360"/>
        <w:jc w:val="both"/>
        <w:rPr>
          <w:u w:val="thick"/>
        </w:rPr>
      </w:pPr>
      <w:bookmarkStart w:name="3.1 Целевые уровни ХС ЛНП" w:id="39"/>
      <w:bookmarkEnd w:id="39"/>
      <w:r>
        <w:rPr>
          <w:b w:val="0"/>
        </w:rPr>
      </w:r>
      <w:bookmarkStart w:name="_bookmark19" w:id="40"/>
      <w:bookmarkEnd w:id="40"/>
      <w:r>
        <w:rPr>
          <w:u w:val="thick"/>
        </w:rPr>
        <w:t>Ц</w:t>
      </w:r>
      <w:r>
        <w:rPr>
          <w:u w:val="thick"/>
        </w:rPr>
        <w:t>елевые</w:t>
      </w:r>
      <w:r>
        <w:rPr>
          <w:spacing w:val="-3"/>
          <w:u w:val="thick"/>
        </w:rPr>
        <w:t> </w:t>
      </w:r>
      <w:r>
        <w:rPr>
          <w:u w:val="thick"/>
        </w:rPr>
        <w:t>уровни</w:t>
      </w:r>
      <w:r>
        <w:rPr>
          <w:spacing w:val="-2"/>
          <w:u w:val="thick"/>
        </w:rPr>
        <w:t> </w:t>
      </w:r>
      <w:r>
        <w:rPr>
          <w:u w:val="thick"/>
        </w:rPr>
        <w:t>ХС</w:t>
      </w:r>
      <w:r>
        <w:rPr>
          <w:spacing w:val="-2"/>
          <w:u w:val="thick"/>
        </w:rPr>
        <w:t> </w:t>
      </w:r>
      <w:r>
        <w:rPr>
          <w:spacing w:val="-5"/>
          <w:u w:val="thick"/>
        </w:rPr>
        <w:t>ЛНП</w:t>
      </w:r>
    </w:p>
    <w:p>
      <w:pPr>
        <w:pStyle w:val="ListParagraph"/>
        <w:numPr>
          <w:ilvl w:val="0"/>
          <w:numId w:val="13"/>
        </w:numPr>
        <w:tabs>
          <w:tab w:pos="1982" w:val="left" w:leader="none"/>
        </w:tabs>
        <w:spacing w:line="357" w:lineRule="auto" w:before="139" w:after="0"/>
        <w:ind w:left="1981" w:right="567" w:hanging="360"/>
        <w:jc w:val="both"/>
        <w:rPr>
          <w:sz w:val="24"/>
        </w:rPr>
      </w:pPr>
      <w:r>
        <w:rPr>
          <w:sz w:val="24"/>
        </w:rPr>
        <w:t>У</w:t>
      </w:r>
      <w:r>
        <w:rPr>
          <w:spacing w:val="-3"/>
          <w:sz w:val="24"/>
        </w:rPr>
        <w:t> </w:t>
      </w:r>
      <w:r>
        <w:rPr>
          <w:sz w:val="24"/>
        </w:rPr>
        <w:t>пациентов</w:t>
      </w:r>
      <w:r>
        <w:rPr>
          <w:spacing w:val="-4"/>
          <w:sz w:val="24"/>
        </w:rPr>
        <w:t> </w:t>
      </w:r>
      <w:r>
        <w:rPr>
          <w:sz w:val="24"/>
        </w:rPr>
        <w:t>очень</w:t>
      </w:r>
      <w:r>
        <w:rPr>
          <w:spacing w:val="-3"/>
          <w:sz w:val="24"/>
        </w:rPr>
        <w:t> </w:t>
      </w:r>
      <w:r>
        <w:rPr>
          <w:sz w:val="24"/>
        </w:rPr>
        <w:t>высокого</w:t>
      </w:r>
      <w:r>
        <w:rPr>
          <w:spacing w:val="-3"/>
          <w:sz w:val="24"/>
        </w:rPr>
        <w:t> </w:t>
      </w:r>
      <w:r>
        <w:rPr>
          <w:sz w:val="24"/>
        </w:rPr>
        <w:t>риска</w:t>
      </w:r>
      <w:r>
        <w:rPr>
          <w:spacing w:val="-4"/>
          <w:sz w:val="24"/>
        </w:rPr>
        <w:t> </w:t>
      </w:r>
      <w:r>
        <w:rPr>
          <w:sz w:val="24"/>
        </w:rPr>
        <w:t>рекомендовано</w:t>
      </w:r>
      <w:r>
        <w:rPr>
          <w:spacing w:val="-3"/>
          <w:sz w:val="24"/>
        </w:rPr>
        <w:t> </w:t>
      </w:r>
      <w:r>
        <w:rPr>
          <w:sz w:val="24"/>
        </w:rPr>
        <w:t>достижение</w:t>
      </w:r>
      <w:r>
        <w:rPr>
          <w:spacing w:val="-4"/>
          <w:sz w:val="24"/>
        </w:rPr>
        <w:t> </w:t>
      </w:r>
      <w:r>
        <w:rPr>
          <w:sz w:val="24"/>
        </w:rPr>
        <w:t>целевого</w:t>
      </w:r>
      <w:r>
        <w:rPr>
          <w:spacing w:val="-3"/>
          <w:sz w:val="24"/>
        </w:rPr>
        <w:t> </w:t>
      </w:r>
      <w:r>
        <w:rPr>
          <w:sz w:val="24"/>
        </w:rPr>
        <w:t>уровня</w:t>
      </w:r>
      <w:r>
        <w:rPr>
          <w:spacing w:val="-3"/>
          <w:sz w:val="24"/>
        </w:rPr>
        <w:t> </w:t>
      </w:r>
      <w:r>
        <w:rPr>
          <w:sz w:val="24"/>
        </w:rPr>
        <w:t>ХС ЛНП &lt;1,4 ммоль/л и снижение по меньшей мере на 50% от исходного через 8±4 недель терапии как для первичной, так и вторичной профилактики ССО [</w:t>
      </w:r>
      <w:hyperlink w:history="true" w:anchor="_bookmark84">
        <w:r>
          <w:rPr>
            <w:sz w:val="24"/>
          </w:rPr>
          <w:t>39,</w:t>
        </w:r>
      </w:hyperlink>
      <w:r>
        <w:rPr>
          <w:sz w:val="24"/>
        </w:rPr>
        <w:t> </w:t>
      </w:r>
      <w:hyperlink w:history="true" w:anchor="_bookmark87">
        <w:r>
          <w:rPr>
            <w:sz w:val="24"/>
          </w:rPr>
          <w:t>42,</w:t>
        </w:r>
      </w:hyperlink>
      <w:r>
        <w:rPr>
          <w:spacing w:val="80"/>
          <w:sz w:val="24"/>
        </w:rPr>
        <w:t> </w:t>
      </w:r>
      <w:hyperlink w:history="true" w:anchor="_bookmark95">
        <w:r>
          <w:rPr>
            <w:spacing w:val="-4"/>
            <w:sz w:val="24"/>
          </w:rPr>
          <w:t>50</w:t>
        </w:r>
      </w:hyperlink>
      <w:r>
        <w:rPr>
          <w:spacing w:val="-4"/>
          <w:sz w:val="24"/>
        </w:rPr>
        <w:t>].</w:t>
      </w:r>
    </w:p>
    <w:p>
      <w:pPr>
        <w:pStyle w:val="Heading2"/>
        <w:spacing w:line="275" w:lineRule="exact"/>
        <w:ind w:left="1621"/>
      </w:pPr>
      <w:r>
        <w:rPr/>
        <w:t>ЕОК/ЕОА</w:t>
      </w:r>
      <w:r>
        <w:rPr>
          <w:spacing w:val="-3"/>
        </w:rPr>
        <w:t> </w:t>
      </w:r>
      <w:r>
        <w:rPr/>
        <w:t>IС</w:t>
      </w:r>
      <w:r>
        <w:rPr>
          <w:spacing w:val="-2"/>
        </w:rPr>
        <w:t> </w:t>
      </w:r>
      <w:r>
        <w:rPr/>
        <w:t>(УУР</w:t>
      </w:r>
      <w:r>
        <w:rPr>
          <w:spacing w:val="-2"/>
        </w:rPr>
        <w:t> </w:t>
      </w:r>
      <w:r>
        <w:rPr/>
        <w:t>С,</w:t>
      </w:r>
      <w:r>
        <w:rPr>
          <w:spacing w:val="1"/>
        </w:rPr>
        <w:t> </w:t>
      </w:r>
      <w:r>
        <w:rPr/>
        <w:t>УДД</w:t>
      </w:r>
      <w:r>
        <w:rPr>
          <w:spacing w:val="-1"/>
        </w:rPr>
        <w:t> </w:t>
      </w:r>
      <w:r>
        <w:rPr>
          <w:spacing w:val="-5"/>
        </w:rPr>
        <w:t>5)</w:t>
      </w:r>
    </w:p>
    <w:p>
      <w:pPr>
        <w:pStyle w:val="ListParagraph"/>
        <w:numPr>
          <w:ilvl w:val="0"/>
          <w:numId w:val="13"/>
        </w:numPr>
        <w:tabs>
          <w:tab w:pos="1982" w:val="left" w:leader="none"/>
        </w:tabs>
        <w:spacing w:line="355" w:lineRule="auto" w:before="141" w:after="0"/>
        <w:ind w:left="1981" w:right="566" w:hanging="360"/>
        <w:jc w:val="both"/>
        <w:rPr>
          <w:sz w:val="24"/>
        </w:rPr>
      </w:pPr>
      <w:r>
        <w:rPr>
          <w:sz w:val="24"/>
        </w:rPr>
        <w:t>У пациентов с подтвержденным АССЗ, перенесших повторное сосудистое событие в течение 2 лет (в любом сосудистом бассейне), несмотря на прием максимально переносимой дозы ингибитора гидроксиметилглутарил-кофермента А (ГМГ-КоА) редуктазы, рекомендован целевой уровень ХС ЛНП &lt;1,0 ммоль/л [</w:t>
      </w:r>
      <w:hyperlink w:history="true" w:anchor="_bookmark85">
        <w:r>
          <w:rPr>
            <w:sz w:val="24"/>
          </w:rPr>
          <w:t>40</w:t>
        </w:r>
      </w:hyperlink>
      <w:r>
        <w:rPr>
          <w:sz w:val="24"/>
        </w:rPr>
        <w:t>, </w:t>
      </w:r>
      <w:hyperlink w:history="true" w:anchor="_bookmark86">
        <w:r>
          <w:rPr>
            <w:sz w:val="24"/>
          </w:rPr>
          <w:t>41</w:t>
        </w:r>
      </w:hyperlink>
      <w:r>
        <w:rPr>
          <w:sz w:val="24"/>
        </w:rPr>
        <w:t>, </w:t>
      </w:r>
      <w:hyperlink w:history="true" w:anchor="_bookmark95">
        <w:r>
          <w:rPr>
            <w:sz w:val="24"/>
          </w:rPr>
          <w:t>50</w:t>
        </w:r>
      </w:hyperlink>
      <w:r>
        <w:rPr>
          <w:sz w:val="24"/>
        </w:rPr>
        <w:t>].</w:t>
      </w:r>
    </w:p>
    <w:p>
      <w:pPr>
        <w:pStyle w:val="Heading3"/>
        <w:spacing w:before="10"/>
        <w:ind w:left="1621"/>
      </w:pPr>
      <w:r>
        <w:rPr/>
        <w:t>ЕОК/ЕОА</w:t>
      </w:r>
      <w:r>
        <w:rPr>
          <w:spacing w:val="-3"/>
        </w:rPr>
        <w:t> </w:t>
      </w:r>
      <w:r>
        <w:rPr/>
        <w:t>IIbB</w:t>
      </w:r>
      <w:r>
        <w:rPr>
          <w:spacing w:val="-2"/>
        </w:rPr>
        <w:t> </w:t>
      </w:r>
      <w:r>
        <w:rPr/>
        <w:t>(УУРС,</w:t>
      </w:r>
      <w:r>
        <w:rPr>
          <w:spacing w:val="-2"/>
        </w:rPr>
        <w:t> </w:t>
      </w:r>
      <w:r>
        <w:rPr/>
        <w:t>УДД</w:t>
      </w:r>
      <w:r>
        <w:rPr>
          <w:spacing w:val="-1"/>
        </w:rPr>
        <w:t> </w:t>
      </w:r>
      <w:r>
        <w:rPr>
          <w:spacing w:val="-5"/>
        </w:rPr>
        <w:t>5)</w:t>
      </w:r>
    </w:p>
    <w:p>
      <w:pPr>
        <w:pStyle w:val="ListParagraph"/>
        <w:numPr>
          <w:ilvl w:val="0"/>
          <w:numId w:val="13"/>
        </w:numPr>
        <w:tabs>
          <w:tab w:pos="1982" w:val="left" w:leader="none"/>
        </w:tabs>
        <w:spacing w:line="350" w:lineRule="auto" w:before="139" w:after="0"/>
        <w:ind w:left="1981" w:right="567" w:hanging="360"/>
        <w:jc w:val="both"/>
        <w:rPr>
          <w:sz w:val="24"/>
        </w:rPr>
      </w:pPr>
      <w:r>
        <w:rPr>
          <w:sz w:val="24"/>
        </w:rPr>
        <w:t>У пациентов высокого риска рекомендован целевой уровень ХС ЛНП &lt;1,8 ммоль/л и его снижение по меньшей мере на 50% от исходного [</w:t>
      </w:r>
      <w:hyperlink w:history="true" w:anchor="_bookmark84">
        <w:r>
          <w:rPr>
            <w:sz w:val="24"/>
          </w:rPr>
          <w:t>39</w:t>
        </w:r>
      </w:hyperlink>
      <w:r>
        <w:rPr>
          <w:sz w:val="24"/>
        </w:rPr>
        <w:t>, </w:t>
      </w:r>
      <w:hyperlink w:history="true" w:anchor="_bookmark87">
        <w:r>
          <w:rPr>
            <w:sz w:val="24"/>
          </w:rPr>
          <w:t>42</w:t>
        </w:r>
      </w:hyperlink>
      <w:r>
        <w:rPr>
          <w:sz w:val="24"/>
        </w:rPr>
        <w:t>, </w:t>
      </w:r>
      <w:hyperlink w:history="true" w:anchor="_bookmark95">
        <w:r>
          <w:rPr>
            <w:sz w:val="24"/>
          </w:rPr>
          <w:t>50</w:t>
        </w:r>
      </w:hyperlink>
      <w:r>
        <w:rPr>
          <w:sz w:val="24"/>
        </w:rPr>
        <w:t>].</w:t>
      </w:r>
    </w:p>
    <w:p>
      <w:pPr>
        <w:pStyle w:val="Heading2"/>
        <w:spacing w:before="11"/>
        <w:ind w:left="1621"/>
      </w:pPr>
      <w:r>
        <w:rPr/>
        <w:t>ЕОК/ЕОА</w:t>
      </w:r>
      <w:r>
        <w:rPr>
          <w:spacing w:val="-3"/>
        </w:rPr>
        <w:t> </w:t>
      </w:r>
      <w:r>
        <w:rPr/>
        <w:t>IA</w:t>
      </w:r>
      <w:r>
        <w:rPr>
          <w:spacing w:val="-2"/>
        </w:rPr>
        <w:t> </w:t>
      </w:r>
      <w:r>
        <w:rPr/>
        <w:t>(УУР</w:t>
      </w:r>
      <w:r>
        <w:rPr>
          <w:spacing w:val="-2"/>
        </w:rPr>
        <w:t> </w:t>
      </w:r>
      <w:r>
        <w:rPr/>
        <w:t>С,</w:t>
      </w:r>
      <w:r>
        <w:rPr>
          <w:spacing w:val="1"/>
        </w:rPr>
        <w:t> </w:t>
      </w:r>
      <w:r>
        <w:rPr/>
        <w:t>УДД</w:t>
      </w:r>
      <w:r>
        <w:rPr>
          <w:spacing w:val="-1"/>
        </w:rPr>
        <w:t> </w:t>
      </w:r>
      <w:r>
        <w:rPr>
          <w:spacing w:val="-5"/>
        </w:rPr>
        <w:t>5)</w:t>
      </w:r>
    </w:p>
    <w:p>
      <w:pPr>
        <w:pStyle w:val="ListParagraph"/>
        <w:numPr>
          <w:ilvl w:val="0"/>
          <w:numId w:val="13"/>
        </w:numPr>
        <w:tabs>
          <w:tab w:pos="1982" w:val="left" w:leader="none"/>
        </w:tabs>
        <w:spacing w:line="350" w:lineRule="auto" w:before="141" w:after="0"/>
        <w:ind w:left="1981" w:right="569" w:hanging="360"/>
        <w:jc w:val="both"/>
        <w:rPr>
          <w:sz w:val="24"/>
        </w:rPr>
      </w:pPr>
      <w:r>
        <w:rPr>
          <w:sz w:val="24"/>
        </w:rPr>
        <w:t>У пациентов умеренного риска рекомендован целевой уровень ХС ЛНП &lt;2,6 ммоль/л для первичной профилактики ССЗ [</w:t>
      </w:r>
      <w:hyperlink w:history="true" w:anchor="_bookmark84">
        <w:r>
          <w:rPr>
            <w:sz w:val="24"/>
          </w:rPr>
          <w:t>39</w:t>
        </w:r>
      </w:hyperlink>
      <w:r>
        <w:rPr>
          <w:sz w:val="24"/>
        </w:rPr>
        <w:t>, </w:t>
      </w:r>
      <w:hyperlink w:history="true" w:anchor="_bookmark95">
        <w:r>
          <w:rPr>
            <w:sz w:val="24"/>
          </w:rPr>
          <w:t>50</w:t>
        </w:r>
      </w:hyperlink>
      <w:r>
        <w:rPr>
          <w:sz w:val="24"/>
        </w:rPr>
        <w:t>].</w:t>
      </w:r>
    </w:p>
    <w:p>
      <w:pPr>
        <w:pStyle w:val="Heading3"/>
        <w:spacing w:before="11"/>
        <w:ind w:left="1544"/>
      </w:pPr>
      <w:r>
        <w:rPr/>
        <w:t>ЕОК/ЕОА</w:t>
      </w:r>
      <w:r>
        <w:rPr>
          <w:spacing w:val="-2"/>
        </w:rPr>
        <w:t> </w:t>
      </w:r>
      <w:r>
        <w:rPr/>
        <w:t>IIaА</w:t>
      </w:r>
      <w:r>
        <w:rPr>
          <w:spacing w:val="-2"/>
        </w:rPr>
        <w:t> </w:t>
      </w:r>
      <w:r>
        <w:rPr/>
        <w:t>(УУРС,</w:t>
      </w:r>
      <w:r>
        <w:rPr>
          <w:spacing w:val="-1"/>
        </w:rPr>
        <w:t> </w:t>
      </w:r>
      <w:r>
        <w:rPr/>
        <w:t>УДД</w:t>
      </w:r>
      <w:r>
        <w:rPr>
          <w:spacing w:val="-1"/>
        </w:rPr>
        <w:t> </w:t>
      </w:r>
      <w:r>
        <w:rPr>
          <w:spacing w:val="-5"/>
        </w:rPr>
        <w:t>5)</w:t>
      </w:r>
    </w:p>
    <w:p>
      <w:pPr>
        <w:pStyle w:val="ListParagraph"/>
        <w:numPr>
          <w:ilvl w:val="0"/>
          <w:numId w:val="13"/>
        </w:numPr>
        <w:tabs>
          <w:tab w:pos="1981" w:val="left" w:leader="none"/>
          <w:tab w:pos="1982" w:val="left" w:leader="none"/>
        </w:tabs>
        <w:spacing w:line="240" w:lineRule="auto" w:before="141" w:after="0"/>
        <w:ind w:left="1981" w:right="0" w:hanging="361"/>
        <w:jc w:val="left"/>
        <w:rPr>
          <w:sz w:val="24"/>
        </w:rPr>
      </w:pPr>
      <w:r>
        <w:rPr>
          <w:sz w:val="24"/>
        </w:rPr>
        <w:t>У</w:t>
      </w:r>
      <w:r>
        <w:rPr>
          <w:spacing w:val="18"/>
          <w:sz w:val="24"/>
        </w:rPr>
        <w:t> </w:t>
      </w:r>
      <w:r>
        <w:rPr>
          <w:sz w:val="24"/>
        </w:rPr>
        <w:t>пациентов</w:t>
      </w:r>
      <w:r>
        <w:rPr>
          <w:spacing w:val="20"/>
          <w:sz w:val="24"/>
        </w:rPr>
        <w:t> </w:t>
      </w:r>
      <w:r>
        <w:rPr>
          <w:sz w:val="24"/>
        </w:rPr>
        <w:t>низкого</w:t>
      </w:r>
      <w:r>
        <w:rPr>
          <w:spacing w:val="20"/>
          <w:sz w:val="24"/>
        </w:rPr>
        <w:t> </w:t>
      </w:r>
      <w:r>
        <w:rPr>
          <w:sz w:val="24"/>
        </w:rPr>
        <w:t>риска</w:t>
      </w:r>
      <w:r>
        <w:rPr>
          <w:spacing w:val="19"/>
          <w:sz w:val="24"/>
        </w:rPr>
        <w:t> </w:t>
      </w:r>
      <w:r>
        <w:rPr>
          <w:sz w:val="24"/>
        </w:rPr>
        <w:t>рекомендован</w:t>
      </w:r>
      <w:r>
        <w:rPr>
          <w:spacing w:val="21"/>
          <w:sz w:val="24"/>
        </w:rPr>
        <w:t> </w:t>
      </w:r>
      <w:r>
        <w:rPr>
          <w:sz w:val="24"/>
        </w:rPr>
        <w:t>целевой</w:t>
      </w:r>
      <w:r>
        <w:rPr>
          <w:spacing w:val="21"/>
          <w:sz w:val="24"/>
        </w:rPr>
        <w:t> </w:t>
      </w:r>
      <w:r>
        <w:rPr>
          <w:sz w:val="24"/>
        </w:rPr>
        <w:t>уровень</w:t>
      </w:r>
      <w:r>
        <w:rPr>
          <w:spacing w:val="21"/>
          <w:sz w:val="24"/>
        </w:rPr>
        <w:t> </w:t>
      </w:r>
      <w:r>
        <w:rPr>
          <w:sz w:val="24"/>
        </w:rPr>
        <w:t>ХС</w:t>
      </w:r>
      <w:r>
        <w:rPr>
          <w:spacing w:val="21"/>
          <w:sz w:val="24"/>
        </w:rPr>
        <w:t> </w:t>
      </w:r>
      <w:r>
        <w:rPr>
          <w:sz w:val="24"/>
        </w:rPr>
        <w:t>ЛНП</w:t>
      </w:r>
      <w:r>
        <w:rPr>
          <w:spacing w:val="20"/>
          <w:sz w:val="24"/>
        </w:rPr>
        <w:t> </w:t>
      </w:r>
      <w:r>
        <w:rPr>
          <w:sz w:val="24"/>
        </w:rPr>
        <w:t>&lt;3,0</w:t>
      </w:r>
      <w:r>
        <w:rPr>
          <w:spacing w:val="20"/>
          <w:sz w:val="24"/>
        </w:rPr>
        <w:t> </w:t>
      </w:r>
      <w:r>
        <w:rPr>
          <w:spacing w:val="-2"/>
          <w:sz w:val="24"/>
        </w:rPr>
        <w:t>ммоль/л</w:t>
      </w:r>
    </w:p>
    <w:p>
      <w:pPr>
        <w:pStyle w:val="BodyText"/>
        <w:spacing w:before="133"/>
      </w:pPr>
      <w:r>
        <w:rPr/>
        <w:t>[</w:t>
      </w:r>
      <w:hyperlink w:history="true" w:anchor="_bookmark87">
        <w:r>
          <w:rPr/>
          <w:t>42,</w:t>
        </w:r>
      </w:hyperlink>
      <w:r>
        <w:rPr>
          <w:spacing w:val="-3"/>
        </w:rPr>
        <w:t> </w:t>
      </w:r>
      <w:hyperlink w:history="true" w:anchor="_bookmark95">
        <w:r>
          <w:rPr>
            <w:spacing w:val="-4"/>
          </w:rPr>
          <w:t>50</w:t>
        </w:r>
      </w:hyperlink>
      <w:r>
        <w:rPr>
          <w:spacing w:val="-4"/>
        </w:rPr>
        <w:t>].</w:t>
      </w:r>
    </w:p>
    <w:p>
      <w:pPr>
        <w:pStyle w:val="Heading3"/>
        <w:spacing w:before="140"/>
        <w:ind w:left="1621"/>
      </w:pPr>
      <w:r>
        <w:rPr/>
        <w:t>ЕОК/ЕОА</w:t>
      </w:r>
      <w:r>
        <w:rPr>
          <w:spacing w:val="-3"/>
        </w:rPr>
        <w:t> </w:t>
      </w:r>
      <w:r>
        <w:rPr/>
        <w:t>IIbA</w:t>
      </w:r>
      <w:r>
        <w:rPr>
          <w:spacing w:val="-3"/>
        </w:rPr>
        <w:t> </w:t>
      </w:r>
      <w:r>
        <w:rPr/>
        <w:t>(УУРС,</w:t>
      </w:r>
      <w:r>
        <w:rPr>
          <w:spacing w:val="-2"/>
        </w:rPr>
        <w:t> </w:t>
      </w:r>
      <w:r>
        <w:rPr/>
        <w:t>УДД</w:t>
      </w:r>
      <w:r>
        <w:rPr>
          <w:spacing w:val="-1"/>
        </w:rPr>
        <w:t> </w:t>
      </w:r>
      <w:r>
        <w:rPr>
          <w:spacing w:val="-5"/>
        </w:rPr>
        <w:t>5)</w:t>
      </w:r>
    </w:p>
    <w:p>
      <w:pPr>
        <w:pStyle w:val="BodyText"/>
        <w:spacing w:before="4"/>
        <w:ind w:left="0"/>
        <w:rPr>
          <w:b/>
          <w:sz w:val="29"/>
        </w:rPr>
      </w:pPr>
    </w:p>
    <w:p>
      <w:pPr>
        <w:spacing w:before="1"/>
        <w:ind w:left="1621" w:right="0" w:firstLine="0"/>
        <w:jc w:val="left"/>
        <w:rPr>
          <w:i/>
          <w:sz w:val="24"/>
        </w:rPr>
      </w:pPr>
      <w:r>
        <w:rPr>
          <w:b/>
          <w:sz w:val="24"/>
        </w:rPr>
        <w:t>Комментарии.</w:t>
      </w:r>
      <w:r>
        <w:rPr>
          <w:b/>
          <w:spacing w:val="-9"/>
          <w:sz w:val="24"/>
        </w:rPr>
        <w:t> </w:t>
      </w:r>
      <w:r>
        <w:rPr>
          <w:i/>
          <w:sz w:val="24"/>
        </w:rPr>
        <w:t>Статины</w:t>
      </w:r>
      <w:r>
        <w:rPr>
          <w:i/>
          <w:spacing w:val="-4"/>
          <w:sz w:val="24"/>
        </w:rPr>
        <w:t> </w:t>
      </w:r>
      <w:r>
        <w:rPr>
          <w:i/>
          <w:sz w:val="24"/>
        </w:rPr>
        <w:t>-</w:t>
      </w:r>
      <w:r>
        <w:rPr>
          <w:i/>
          <w:spacing w:val="-4"/>
          <w:sz w:val="24"/>
        </w:rPr>
        <w:t> </w:t>
      </w:r>
      <w:r>
        <w:rPr>
          <w:i/>
          <w:sz w:val="24"/>
        </w:rPr>
        <w:t>C10AA</w:t>
      </w:r>
      <w:r>
        <w:rPr>
          <w:i/>
          <w:spacing w:val="-5"/>
          <w:sz w:val="24"/>
        </w:rPr>
        <w:t> </w:t>
      </w:r>
      <w:r>
        <w:rPr>
          <w:i/>
          <w:sz w:val="24"/>
        </w:rPr>
        <w:t>ингибиторы</w:t>
      </w:r>
      <w:r>
        <w:rPr>
          <w:i/>
          <w:spacing w:val="-3"/>
          <w:sz w:val="24"/>
        </w:rPr>
        <w:t> </w:t>
      </w:r>
      <w:r>
        <w:rPr>
          <w:i/>
          <w:sz w:val="24"/>
        </w:rPr>
        <w:t>ГМГ-КоА-</w:t>
      </w:r>
      <w:r>
        <w:rPr>
          <w:i/>
          <w:spacing w:val="-2"/>
          <w:sz w:val="24"/>
        </w:rPr>
        <w:t>редуктазы.</w:t>
      </w:r>
    </w:p>
    <w:p>
      <w:pPr>
        <w:pStyle w:val="BodyText"/>
        <w:spacing w:before="8"/>
        <w:ind w:left="0"/>
        <w:rPr>
          <w:i/>
          <w:sz w:val="32"/>
        </w:rPr>
      </w:pPr>
    </w:p>
    <w:p>
      <w:pPr>
        <w:pStyle w:val="Heading3"/>
        <w:numPr>
          <w:ilvl w:val="1"/>
          <w:numId w:val="7"/>
        </w:numPr>
        <w:tabs>
          <w:tab w:pos="2692" w:val="left" w:leader="none"/>
        </w:tabs>
        <w:spacing w:line="240" w:lineRule="auto" w:before="1" w:after="0"/>
        <w:ind w:left="2692" w:right="0" w:hanging="360"/>
        <w:jc w:val="both"/>
        <w:rPr>
          <w:u w:val="single"/>
        </w:rPr>
      </w:pPr>
      <w:bookmarkStart w:name="3.2 Немедикаментозное лечение ДЛП" w:id="41"/>
      <w:bookmarkEnd w:id="41"/>
      <w:r>
        <w:rPr>
          <w:b w:val="0"/>
        </w:rPr>
      </w:r>
      <w:bookmarkStart w:name="_bookmark20" w:id="42"/>
      <w:bookmarkEnd w:id="42"/>
      <w:r>
        <w:rPr>
          <w:u w:val="thick"/>
        </w:rPr>
        <w:t>Н</w:t>
      </w:r>
      <w:r>
        <w:rPr>
          <w:u w:val="thick"/>
        </w:rPr>
        <w:t>емедикаментозное</w:t>
      </w:r>
      <w:r>
        <w:rPr>
          <w:spacing w:val="-5"/>
          <w:u w:val="thick"/>
        </w:rPr>
        <w:t> </w:t>
      </w:r>
      <w:r>
        <w:rPr>
          <w:u w:val="thick"/>
        </w:rPr>
        <w:t>лечение</w:t>
      </w:r>
      <w:r>
        <w:rPr>
          <w:spacing w:val="-5"/>
          <w:u w:val="thick"/>
        </w:rPr>
        <w:t> ДЛП</w:t>
      </w:r>
    </w:p>
    <w:p>
      <w:pPr>
        <w:spacing w:line="360" w:lineRule="auto" w:before="139"/>
        <w:ind w:left="1261" w:right="567" w:firstLine="0"/>
        <w:jc w:val="both"/>
        <w:rPr>
          <w:i/>
          <w:sz w:val="24"/>
        </w:rPr>
      </w:pPr>
      <w:r>
        <w:rPr>
          <w:i/>
          <w:sz w:val="24"/>
        </w:rPr>
        <w:t>Для профилактики ССЗ доказала свое преимущество диета </w:t>
      </w:r>
      <w:r>
        <w:rPr>
          <w:sz w:val="24"/>
        </w:rPr>
        <w:t>[</w:t>
      </w:r>
      <w:hyperlink w:history="true" w:anchor="_bookmark89">
        <w:r>
          <w:rPr>
            <w:sz w:val="24"/>
          </w:rPr>
          <w:t>44</w:t>
        </w:r>
      </w:hyperlink>
      <w:r>
        <w:rPr>
          <w:sz w:val="24"/>
        </w:rPr>
        <w:t>] </w:t>
      </w:r>
      <w:r>
        <w:rPr>
          <w:i/>
          <w:sz w:val="24"/>
        </w:rPr>
        <w:t>с высоким уровнем употребления фруктов, овощей, цельнозерновых злаков и клетчатки, орехов, рыбы,</w:t>
      </w:r>
      <w:r>
        <w:rPr>
          <w:i/>
          <w:spacing w:val="40"/>
          <w:sz w:val="24"/>
        </w:rPr>
        <w:t> </w:t>
      </w:r>
      <w:r>
        <w:rPr>
          <w:i/>
          <w:sz w:val="24"/>
        </w:rPr>
        <w:t>птицы и молочных продуктов с низким содержанием жира и ограниченным</w:t>
      </w:r>
      <w:r>
        <w:rPr>
          <w:i/>
          <w:spacing w:val="40"/>
          <w:sz w:val="24"/>
        </w:rPr>
        <w:t> </w:t>
      </w:r>
      <w:r>
        <w:rPr>
          <w:i/>
          <w:sz w:val="24"/>
        </w:rPr>
        <w:t>потреблением сладостей, сладких напитков и красного мяса. Рекомендуется использовать</w:t>
      </w:r>
      <w:r>
        <w:rPr>
          <w:i/>
          <w:spacing w:val="45"/>
          <w:sz w:val="24"/>
        </w:rPr>
        <w:t>  </w:t>
      </w:r>
      <w:r>
        <w:rPr>
          <w:i/>
          <w:sz w:val="24"/>
        </w:rPr>
        <w:t>жиры</w:t>
      </w:r>
      <w:r>
        <w:rPr>
          <w:i/>
          <w:spacing w:val="44"/>
          <w:sz w:val="24"/>
        </w:rPr>
        <w:t>  </w:t>
      </w:r>
      <w:r>
        <w:rPr>
          <w:i/>
          <w:sz w:val="24"/>
        </w:rPr>
        <w:t>растительных</w:t>
      </w:r>
      <w:r>
        <w:rPr>
          <w:i/>
          <w:spacing w:val="45"/>
          <w:sz w:val="24"/>
        </w:rPr>
        <w:t>  </w:t>
      </w:r>
      <w:r>
        <w:rPr>
          <w:i/>
          <w:sz w:val="24"/>
        </w:rPr>
        <w:t>масел.</w:t>
      </w:r>
      <w:r>
        <w:rPr>
          <w:i/>
          <w:spacing w:val="45"/>
          <w:sz w:val="24"/>
        </w:rPr>
        <w:t>  </w:t>
      </w:r>
      <w:r>
        <w:rPr>
          <w:i/>
          <w:sz w:val="24"/>
        </w:rPr>
        <w:t>Такая</w:t>
      </w:r>
      <w:r>
        <w:rPr>
          <w:i/>
          <w:spacing w:val="45"/>
          <w:sz w:val="24"/>
        </w:rPr>
        <w:t>  </w:t>
      </w:r>
      <w:r>
        <w:rPr>
          <w:i/>
          <w:sz w:val="24"/>
        </w:rPr>
        <w:t>диета</w:t>
      </w:r>
      <w:r>
        <w:rPr>
          <w:i/>
          <w:spacing w:val="44"/>
          <w:sz w:val="24"/>
        </w:rPr>
        <w:t>  </w:t>
      </w:r>
      <w:r>
        <w:rPr>
          <w:i/>
          <w:sz w:val="24"/>
        </w:rPr>
        <w:t>является</w:t>
      </w:r>
      <w:r>
        <w:rPr>
          <w:i/>
          <w:spacing w:val="46"/>
          <w:sz w:val="24"/>
        </w:rPr>
        <w:t>  </w:t>
      </w:r>
      <w:r>
        <w:rPr>
          <w:i/>
          <w:spacing w:val="-2"/>
          <w:sz w:val="24"/>
        </w:rPr>
        <w:t>эффективным</w:t>
      </w:r>
    </w:p>
    <w:p>
      <w:pPr>
        <w:spacing w:after="0" w:line="360" w:lineRule="auto"/>
        <w:jc w:val="both"/>
        <w:rPr>
          <w:sz w:val="24"/>
        </w:rPr>
        <w:sectPr>
          <w:pgSz w:w="11910" w:h="16840"/>
          <w:pgMar w:header="0" w:footer="710" w:top="1040" w:bottom="900" w:left="440" w:right="280"/>
        </w:sectPr>
      </w:pPr>
    </w:p>
    <w:p>
      <w:pPr>
        <w:spacing w:line="360" w:lineRule="auto" w:before="73"/>
        <w:ind w:left="1261" w:right="566" w:firstLine="0"/>
        <w:jc w:val="both"/>
        <w:rPr>
          <w:i/>
          <w:sz w:val="24"/>
        </w:rPr>
      </w:pPr>
      <w:r>
        <w:rPr>
          <w:i/>
          <w:sz w:val="24"/>
        </w:rPr>
        <w:t>средством первичной и вторичной профилактики атеросклероза </w:t>
      </w:r>
      <w:r>
        <w:rPr>
          <w:sz w:val="24"/>
        </w:rPr>
        <w:t>[</w:t>
      </w:r>
      <w:hyperlink w:history="true" w:anchor="_bookmark90">
        <w:r>
          <w:rPr>
            <w:sz w:val="24"/>
          </w:rPr>
          <w:t>45</w:t>
        </w:r>
      </w:hyperlink>
      <w:r>
        <w:rPr>
          <w:sz w:val="24"/>
        </w:rPr>
        <w:t>]</w:t>
      </w:r>
      <w:r>
        <w:rPr>
          <w:i/>
          <w:sz w:val="24"/>
        </w:rPr>
        <w:t>. В частности, многоцентровое рандомизированное исследование PREDIMED, выполненное в Испании, у лиц из группы высокого риска, но без ССЗ, доказало снижение частоты основных ССО (ИМ, инсульт или смерть от сердечно-сосудистой причины) на 28-31% при ежедневном употреблении оливкового масла или орехов </w:t>
      </w:r>
      <w:r>
        <w:rPr>
          <w:sz w:val="24"/>
        </w:rPr>
        <w:t>[</w:t>
      </w:r>
      <w:hyperlink w:history="true" w:anchor="_bookmark91">
        <w:r>
          <w:rPr>
            <w:sz w:val="24"/>
          </w:rPr>
          <w:t>46</w:t>
        </w:r>
      </w:hyperlink>
      <w:r>
        <w:rPr>
          <w:sz w:val="24"/>
        </w:rPr>
        <w:t>]</w:t>
      </w:r>
      <w:r>
        <w:rPr>
          <w:i/>
          <w:sz w:val="24"/>
        </w:rPr>
        <w:t>. Наблюдательные исследования подтверждают рекомендации о том,</w:t>
      </w:r>
      <w:r>
        <w:rPr>
          <w:i/>
          <w:spacing w:val="-1"/>
          <w:sz w:val="24"/>
        </w:rPr>
        <w:t> </w:t>
      </w:r>
      <w:r>
        <w:rPr>
          <w:i/>
          <w:sz w:val="24"/>
        </w:rPr>
        <w:t>что потребление рыбы, по крайней мере, дважды в неделю и омега-3 полиненасыщенных жирных кислот в низких дозах в качестве пищевой добавки могут снижать риск сердечно-сосудистой смерти и инсульта в первичной профилактике без влияния на метаболизм липопротеидов плазмы </w:t>
      </w:r>
      <w:r>
        <w:rPr>
          <w:sz w:val="24"/>
        </w:rPr>
        <w:t>[</w:t>
      </w:r>
      <w:hyperlink w:history="true" w:anchor="_bookmark92">
        <w:r>
          <w:rPr>
            <w:sz w:val="24"/>
          </w:rPr>
          <w:t>47</w:t>
        </w:r>
      </w:hyperlink>
      <w:r>
        <w:rPr>
          <w:sz w:val="24"/>
        </w:rPr>
        <w:t>]</w:t>
      </w:r>
      <w:r>
        <w:rPr>
          <w:i/>
          <w:sz w:val="24"/>
        </w:rPr>
        <w:t>. Оценка биологически активных добавок и функциональных продуктов питания должна в обязательном порядке включать в себя не только доказательства полезных свойств по влиянию на липидный профиль и атеросклероз, но, также и хорошую переносимость. Важным является производственный стандарт для указанных продуктов, гарантирующий стандартизацию и качество. К пищевым добавкам, влияющим на липидный профиль относится красный дрожжевой рис (монаколин), действие которого, как и статинов, связано с ингибированием ГМГ-КоА-редуктазы. В крупном исследовании, выполненном в Китае у больных с ИБС, монаколин снижал частоту ССО на 45% </w:t>
      </w:r>
      <w:r>
        <w:rPr>
          <w:sz w:val="24"/>
        </w:rPr>
        <w:t>[</w:t>
      </w:r>
      <w:hyperlink w:history="true" w:anchor="_bookmark93">
        <w:r>
          <w:rPr>
            <w:sz w:val="24"/>
          </w:rPr>
          <w:t>48</w:t>
        </w:r>
      </w:hyperlink>
      <w:r>
        <w:rPr>
          <w:sz w:val="24"/>
        </w:rPr>
        <w:t>]</w:t>
      </w:r>
      <w:r>
        <w:rPr>
          <w:i/>
          <w:sz w:val="24"/>
        </w:rPr>
        <w:t>. Гипохолестеринемический эффект (снижение ХС ЛНП на 15-25%) наблюдается при ежедневном приеме монаколина K в дозе 10 мг. </w:t>
      </w:r>
      <w:r>
        <w:rPr>
          <w:sz w:val="24"/>
        </w:rPr>
        <w:t>[</w:t>
      </w:r>
      <w:hyperlink w:history="true" w:anchor="_bookmark94">
        <w:r>
          <w:rPr>
            <w:sz w:val="24"/>
          </w:rPr>
          <w:t>49</w:t>
        </w:r>
      </w:hyperlink>
      <w:r>
        <w:rPr>
          <w:sz w:val="24"/>
        </w:rPr>
        <w:t>]</w:t>
      </w:r>
      <w:r>
        <w:rPr>
          <w:i/>
          <w:sz w:val="24"/>
        </w:rPr>
        <w:t>. Монаколин К можно применять, с учетом доказанной клинической эффективности и безопасности, у лиц низкого и умеренного риска с умеренно повышенным ХС</w:t>
      </w:r>
      <w:r>
        <w:rPr>
          <w:i/>
          <w:spacing w:val="-3"/>
          <w:sz w:val="24"/>
        </w:rPr>
        <w:t> </w:t>
      </w:r>
      <w:r>
        <w:rPr>
          <w:i/>
          <w:sz w:val="24"/>
        </w:rPr>
        <w:t>ЛНП и отсутствием показаний для приема статинов. Влияние изменения образа жизни на уровень липидов и рекомендации по диете для улучшения общего профиля липопротеидов представлены в Приложении В («Информация для пациентов») и таблице П2, приложении Б4.</w:t>
      </w:r>
    </w:p>
    <w:p>
      <w:pPr>
        <w:spacing w:line="360" w:lineRule="auto" w:before="1"/>
        <w:ind w:left="1261" w:right="567" w:firstLine="240"/>
        <w:jc w:val="both"/>
        <w:rPr>
          <w:i/>
          <w:sz w:val="24"/>
        </w:rPr>
      </w:pPr>
      <w:r>
        <w:rPr>
          <w:i/>
          <w:sz w:val="24"/>
        </w:rPr>
        <w:t>Немедикаментозные</w:t>
      </w:r>
      <w:r>
        <w:rPr>
          <w:i/>
          <w:spacing w:val="-1"/>
          <w:sz w:val="24"/>
        </w:rPr>
        <w:t> </w:t>
      </w:r>
      <w:r>
        <w:rPr>
          <w:i/>
          <w:sz w:val="24"/>
        </w:rPr>
        <w:t>методы для</w:t>
      </w:r>
      <w:r>
        <w:rPr>
          <w:i/>
          <w:spacing w:val="-1"/>
          <w:sz w:val="24"/>
        </w:rPr>
        <w:t> </w:t>
      </w:r>
      <w:r>
        <w:rPr>
          <w:i/>
          <w:sz w:val="24"/>
        </w:rPr>
        <w:t>снижения</w:t>
      </w:r>
      <w:r>
        <w:rPr>
          <w:i/>
          <w:spacing w:val="-3"/>
          <w:sz w:val="24"/>
        </w:rPr>
        <w:t> </w:t>
      </w:r>
      <w:r>
        <w:rPr>
          <w:i/>
          <w:sz w:val="24"/>
        </w:rPr>
        <w:t>ТГ включают в</w:t>
      </w:r>
      <w:r>
        <w:rPr>
          <w:i/>
          <w:spacing w:val="-1"/>
          <w:sz w:val="24"/>
        </w:rPr>
        <w:t> </w:t>
      </w:r>
      <w:r>
        <w:rPr>
          <w:i/>
          <w:sz w:val="24"/>
        </w:rPr>
        <w:t>себя снижение</w:t>
      </w:r>
      <w:r>
        <w:rPr>
          <w:i/>
          <w:spacing w:val="-1"/>
          <w:sz w:val="24"/>
        </w:rPr>
        <w:t> </w:t>
      </w:r>
      <w:r>
        <w:rPr>
          <w:i/>
          <w:sz w:val="24"/>
        </w:rPr>
        <w:t>избыточной массы тела [ИМТ 20-25 кг/м2, окружность талии &lt;94 см (мужчины) и &lt;80 см (женщины)], уменьшение потребления алкоголя (пациентам с ГТГ следует полностью воздержаться от приема алкоголя), увеличение регулярной физической активности (физические упражнения минимум 30 мин каждый день), ограничение в потреблении</w:t>
      </w:r>
      <w:r>
        <w:rPr>
          <w:i/>
          <w:spacing w:val="80"/>
          <w:sz w:val="24"/>
        </w:rPr>
        <w:t> </w:t>
      </w:r>
      <w:r>
        <w:rPr>
          <w:i/>
          <w:sz w:val="24"/>
        </w:rPr>
        <w:t>легко всасываемых углевовдов </w:t>
      </w:r>
      <w:r>
        <w:rPr>
          <w:sz w:val="24"/>
        </w:rPr>
        <w:t>[</w:t>
      </w:r>
      <w:hyperlink w:history="true" w:anchor="_bookmark95">
        <w:r>
          <w:rPr>
            <w:sz w:val="24"/>
          </w:rPr>
          <w:t>50</w:t>
        </w:r>
      </w:hyperlink>
      <w:r>
        <w:rPr>
          <w:sz w:val="24"/>
        </w:rPr>
        <w:t>]</w:t>
      </w:r>
      <w:r>
        <w:rPr>
          <w:i/>
          <w:sz w:val="24"/>
        </w:rPr>
        <w:t>.</w:t>
      </w:r>
    </w:p>
    <w:p>
      <w:pPr>
        <w:pStyle w:val="BodyText"/>
        <w:spacing w:before="10"/>
        <w:ind w:left="0"/>
        <w:rPr>
          <w:i/>
          <w:sz w:val="20"/>
        </w:rPr>
      </w:pPr>
    </w:p>
    <w:p>
      <w:pPr>
        <w:pStyle w:val="Heading3"/>
        <w:numPr>
          <w:ilvl w:val="1"/>
          <w:numId w:val="7"/>
        </w:numPr>
        <w:tabs>
          <w:tab w:pos="2692" w:val="left" w:leader="none"/>
        </w:tabs>
        <w:spacing w:line="240" w:lineRule="auto" w:before="0" w:after="0"/>
        <w:ind w:left="2692" w:right="0" w:hanging="360"/>
        <w:jc w:val="left"/>
        <w:rPr>
          <w:u w:val="single"/>
        </w:rPr>
      </w:pPr>
      <w:bookmarkStart w:name="3.3 Медикаментозная терапия ДЛП" w:id="43"/>
      <w:bookmarkEnd w:id="43"/>
      <w:r>
        <w:rPr>
          <w:b w:val="0"/>
        </w:rPr>
      </w:r>
      <w:bookmarkStart w:name="_bookmark21" w:id="44"/>
      <w:bookmarkEnd w:id="44"/>
      <w:r>
        <w:rPr>
          <w:u w:val="thick"/>
        </w:rPr>
        <w:t>М</w:t>
      </w:r>
      <w:r>
        <w:rPr>
          <w:u w:val="thick"/>
        </w:rPr>
        <w:t>едикаментозная</w:t>
      </w:r>
      <w:r>
        <w:rPr>
          <w:spacing w:val="-5"/>
          <w:u w:val="thick"/>
        </w:rPr>
        <w:t> </w:t>
      </w:r>
      <w:r>
        <w:rPr>
          <w:u w:val="thick"/>
        </w:rPr>
        <w:t>терапия</w:t>
      </w:r>
      <w:r>
        <w:rPr>
          <w:spacing w:val="-4"/>
          <w:u w:val="thick"/>
        </w:rPr>
        <w:t> </w:t>
      </w:r>
      <w:r>
        <w:rPr>
          <w:spacing w:val="-5"/>
          <w:u w:val="thick"/>
        </w:rPr>
        <w:t>ДЛП</w:t>
      </w:r>
    </w:p>
    <w:p>
      <w:pPr>
        <w:pStyle w:val="BodyText"/>
        <w:spacing w:before="2"/>
        <w:ind w:left="0"/>
        <w:rPr>
          <w:b/>
          <w:sz w:val="25"/>
        </w:rPr>
      </w:pPr>
    </w:p>
    <w:p>
      <w:pPr>
        <w:pStyle w:val="Heading3"/>
        <w:numPr>
          <w:ilvl w:val="2"/>
          <w:numId w:val="7"/>
        </w:numPr>
        <w:tabs>
          <w:tab w:pos="2872" w:val="left" w:leader="none"/>
        </w:tabs>
        <w:spacing w:line="240" w:lineRule="auto" w:before="90" w:after="0"/>
        <w:ind w:left="2872" w:right="0" w:hanging="540"/>
        <w:jc w:val="left"/>
        <w:rPr>
          <w:u w:val="single"/>
        </w:rPr>
      </w:pPr>
      <w:bookmarkStart w:name="3.3.1 Общие принципы медикаментозной тер" w:id="45"/>
      <w:bookmarkEnd w:id="45"/>
      <w:r>
        <w:rPr>
          <w:b w:val="0"/>
        </w:rPr>
      </w:r>
      <w:bookmarkStart w:name="_bookmark22" w:id="46"/>
      <w:bookmarkEnd w:id="46"/>
      <w:r>
        <w:rPr>
          <w:u w:val="thick"/>
        </w:rPr>
        <w:t>О</w:t>
      </w:r>
      <w:r>
        <w:rPr>
          <w:u w:val="thick"/>
        </w:rPr>
        <w:t>бщие</w:t>
      </w:r>
      <w:r>
        <w:rPr>
          <w:spacing w:val="-7"/>
          <w:u w:val="thick"/>
        </w:rPr>
        <w:t> </w:t>
      </w:r>
      <w:r>
        <w:rPr>
          <w:u w:val="thick"/>
        </w:rPr>
        <w:t>принципы</w:t>
      </w:r>
      <w:r>
        <w:rPr>
          <w:spacing w:val="-4"/>
          <w:u w:val="thick"/>
        </w:rPr>
        <w:t> </w:t>
      </w:r>
      <w:r>
        <w:rPr>
          <w:u w:val="thick"/>
        </w:rPr>
        <w:t>медикаментозной</w:t>
      </w:r>
      <w:r>
        <w:rPr>
          <w:spacing w:val="-3"/>
          <w:u w:val="thick"/>
        </w:rPr>
        <w:t> </w:t>
      </w:r>
      <w:r>
        <w:rPr>
          <w:spacing w:val="-2"/>
          <w:u w:val="thick"/>
        </w:rPr>
        <w:t>терапии</w:t>
      </w:r>
    </w:p>
    <w:p>
      <w:pPr>
        <w:tabs>
          <w:tab w:pos="3373" w:val="left" w:leader="none"/>
          <w:tab w:pos="3966" w:val="left" w:leader="none"/>
          <w:tab w:pos="5607" w:val="left" w:leader="none"/>
          <w:tab w:pos="7938" w:val="left" w:leader="none"/>
          <w:tab w:pos="9051" w:val="left" w:leader="none"/>
        </w:tabs>
        <w:spacing w:line="360" w:lineRule="auto" w:before="137"/>
        <w:ind w:left="1544" w:right="571" w:firstLine="0"/>
        <w:jc w:val="left"/>
        <w:rPr>
          <w:i/>
          <w:sz w:val="24"/>
        </w:rPr>
      </w:pPr>
      <w:r>
        <w:rPr>
          <w:b/>
          <w:spacing w:val="-2"/>
          <w:sz w:val="24"/>
        </w:rPr>
        <w:t>Комментарии:</w:t>
      </w:r>
      <w:r>
        <w:rPr>
          <w:b/>
          <w:sz w:val="24"/>
        </w:rPr>
        <w:tab/>
      </w:r>
      <w:r>
        <w:rPr>
          <w:i/>
          <w:spacing w:val="-4"/>
          <w:sz w:val="24"/>
        </w:rPr>
        <w:t>при</w:t>
      </w:r>
      <w:r>
        <w:rPr>
          <w:i/>
          <w:sz w:val="24"/>
        </w:rPr>
        <w:tab/>
      </w:r>
      <w:r>
        <w:rPr>
          <w:i/>
          <w:spacing w:val="-2"/>
          <w:sz w:val="24"/>
        </w:rPr>
        <w:t>планировании</w:t>
      </w:r>
      <w:r>
        <w:rPr>
          <w:i/>
          <w:sz w:val="24"/>
        </w:rPr>
        <w:tab/>
      </w:r>
      <w:r>
        <w:rPr>
          <w:i/>
          <w:spacing w:val="-2"/>
          <w:sz w:val="24"/>
        </w:rPr>
        <w:t>гиполипидемической</w:t>
      </w:r>
      <w:r>
        <w:rPr>
          <w:i/>
          <w:sz w:val="24"/>
        </w:rPr>
        <w:tab/>
      </w:r>
      <w:r>
        <w:rPr>
          <w:i/>
          <w:spacing w:val="-2"/>
          <w:sz w:val="24"/>
        </w:rPr>
        <w:t>терапии</w:t>
      </w:r>
      <w:r>
        <w:rPr>
          <w:i/>
          <w:sz w:val="24"/>
        </w:rPr>
        <w:tab/>
      </w:r>
      <w:r>
        <w:rPr>
          <w:i/>
          <w:spacing w:val="-2"/>
          <w:sz w:val="24"/>
        </w:rPr>
        <w:t>рекомендуется </w:t>
      </w:r>
      <w:r>
        <w:rPr>
          <w:i/>
          <w:sz w:val="24"/>
        </w:rPr>
        <w:t>придерживаться следующей схемы:</w:t>
      </w:r>
    </w:p>
    <w:p>
      <w:pPr>
        <w:spacing w:after="0" w:line="360" w:lineRule="auto"/>
        <w:jc w:val="left"/>
        <w:rPr>
          <w:sz w:val="24"/>
        </w:rPr>
        <w:sectPr>
          <w:pgSz w:w="11910" w:h="16840"/>
          <w:pgMar w:header="0" w:footer="710" w:top="1040" w:bottom="900" w:left="440" w:right="280"/>
        </w:sectPr>
      </w:pPr>
    </w:p>
    <w:p>
      <w:pPr>
        <w:pStyle w:val="ListParagraph"/>
        <w:numPr>
          <w:ilvl w:val="0"/>
          <w:numId w:val="14"/>
        </w:numPr>
        <w:tabs>
          <w:tab w:pos="1970" w:val="left" w:leader="none"/>
        </w:tabs>
        <w:spacing w:line="240" w:lineRule="auto" w:before="73" w:after="0"/>
        <w:ind w:left="1969" w:right="0" w:hanging="426"/>
        <w:jc w:val="both"/>
        <w:rPr>
          <w:i/>
          <w:sz w:val="24"/>
        </w:rPr>
      </w:pPr>
      <w:r>
        <w:rPr>
          <w:i/>
          <w:sz w:val="24"/>
        </w:rPr>
        <w:t>оценить</w:t>
      </w:r>
      <w:r>
        <w:rPr>
          <w:i/>
          <w:spacing w:val="-1"/>
          <w:sz w:val="24"/>
        </w:rPr>
        <w:t> </w:t>
      </w:r>
      <w:r>
        <w:rPr>
          <w:i/>
          <w:sz w:val="24"/>
        </w:rPr>
        <w:t>общий</w:t>
      </w:r>
      <w:r>
        <w:rPr>
          <w:i/>
          <w:spacing w:val="-1"/>
          <w:sz w:val="24"/>
        </w:rPr>
        <w:t> </w:t>
      </w:r>
      <w:r>
        <w:rPr>
          <w:i/>
          <w:sz w:val="24"/>
        </w:rPr>
        <w:t>риск</w:t>
      </w:r>
      <w:r>
        <w:rPr>
          <w:i/>
          <w:spacing w:val="-1"/>
          <w:sz w:val="24"/>
        </w:rPr>
        <w:t> </w:t>
      </w:r>
      <w:r>
        <w:rPr>
          <w:i/>
          <w:sz w:val="24"/>
        </w:rPr>
        <w:t>развития </w:t>
      </w:r>
      <w:r>
        <w:rPr>
          <w:i/>
          <w:spacing w:val="-4"/>
          <w:sz w:val="24"/>
        </w:rPr>
        <w:t>ССЗ;</w:t>
      </w:r>
    </w:p>
    <w:p>
      <w:pPr>
        <w:pStyle w:val="ListParagraph"/>
        <w:numPr>
          <w:ilvl w:val="0"/>
          <w:numId w:val="14"/>
        </w:numPr>
        <w:tabs>
          <w:tab w:pos="1970" w:val="left" w:leader="none"/>
        </w:tabs>
        <w:spacing w:line="240" w:lineRule="auto" w:before="139" w:after="0"/>
        <w:ind w:left="1969" w:right="0" w:hanging="426"/>
        <w:jc w:val="both"/>
        <w:rPr>
          <w:i/>
          <w:sz w:val="24"/>
        </w:rPr>
      </w:pPr>
      <w:r>
        <w:rPr>
          <w:i/>
          <w:sz w:val="24"/>
        </w:rPr>
        <w:t>обсудить</w:t>
      </w:r>
      <w:r>
        <w:rPr>
          <w:i/>
          <w:spacing w:val="-2"/>
          <w:sz w:val="24"/>
        </w:rPr>
        <w:t> </w:t>
      </w:r>
      <w:r>
        <w:rPr>
          <w:i/>
          <w:sz w:val="24"/>
        </w:rPr>
        <w:t>с</w:t>
      </w:r>
      <w:r>
        <w:rPr>
          <w:i/>
          <w:spacing w:val="-3"/>
          <w:sz w:val="24"/>
        </w:rPr>
        <w:t> </w:t>
      </w:r>
      <w:r>
        <w:rPr>
          <w:i/>
          <w:sz w:val="24"/>
        </w:rPr>
        <w:t>пациентом особенности</w:t>
      </w:r>
      <w:r>
        <w:rPr>
          <w:i/>
          <w:spacing w:val="-2"/>
          <w:sz w:val="24"/>
        </w:rPr>
        <w:t> </w:t>
      </w:r>
      <w:r>
        <w:rPr>
          <w:i/>
          <w:sz w:val="24"/>
        </w:rPr>
        <w:t>профилактики</w:t>
      </w:r>
      <w:r>
        <w:rPr>
          <w:i/>
          <w:spacing w:val="-2"/>
          <w:sz w:val="24"/>
        </w:rPr>
        <w:t> </w:t>
      </w:r>
      <w:r>
        <w:rPr>
          <w:i/>
          <w:spacing w:val="-4"/>
          <w:sz w:val="24"/>
        </w:rPr>
        <w:t>ССЗ;</w:t>
      </w:r>
    </w:p>
    <w:p>
      <w:pPr>
        <w:pStyle w:val="ListParagraph"/>
        <w:numPr>
          <w:ilvl w:val="0"/>
          <w:numId w:val="14"/>
        </w:numPr>
        <w:tabs>
          <w:tab w:pos="1970" w:val="left" w:leader="none"/>
        </w:tabs>
        <w:spacing w:line="240" w:lineRule="auto" w:before="137" w:after="0"/>
        <w:ind w:left="1969" w:right="0" w:hanging="426"/>
        <w:jc w:val="both"/>
        <w:rPr>
          <w:i/>
          <w:sz w:val="24"/>
        </w:rPr>
      </w:pPr>
      <w:r>
        <w:rPr>
          <w:i/>
          <w:sz w:val="24"/>
        </w:rPr>
        <w:t>определить</w:t>
      </w:r>
      <w:r>
        <w:rPr>
          <w:i/>
          <w:spacing w:val="-4"/>
          <w:sz w:val="24"/>
        </w:rPr>
        <w:t> </w:t>
      </w:r>
      <w:r>
        <w:rPr>
          <w:i/>
          <w:sz w:val="24"/>
        </w:rPr>
        <w:t>ЦУ</w:t>
      </w:r>
      <w:r>
        <w:rPr>
          <w:i/>
          <w:spacing w:val="-2"/>
          <w:sz w:val="24"/>
        </w:rPr>
        <w:t> </w:t>
      </w:r>
      <w:r>
        <w:rPr>
          <w:i/>
          <w:sz w:val="24"/>
        </w:rPr>
        <w:t>ХС</w:t>
      </w:r>
      <w:r>
        <w:rPr>
          <w:i/>
          <w:spacing w:val="-3"/>
          <w:sz w:val="24"/>
        </w:rPr>
        <w:t> </w:t>
      </w:r>
      <w:r>
        <w:rPr>
          <w:i/>
          <w:sz w:val="24"/>
        </w:rPr>
        <w:t>ЛНП</w:t>
      </w:r>
      <w:r>
        <w:rPr>
          <w:i/>
          <w:spacing w:val="-2"/>
          <w:sz w:val="24"/>
        </w:rPr>
        <w:t> </w:t>
      </w:r>
      <w:r>
        <w:rPr>
          <w:i/>
          <w:sz w:val="24"/>
        </w:rPr>
        <w:t>в</w:t>
      </w:r>
      <w:r>
        <w:rPr>
          <w:i/>
          <w:spacing w:val="-3"/>
          <w:sz w:val="24"/>
        </w:rPr>
        <w:t> </w:t>
      </w:r>
      <w:r>
        <w:rPr>
          <w:i/>
          <w:sz w:val="24"/>
        </w:rPr>
        <w:t>соответствии</w:t>
      </w:r>
      <w:r>
        <w:rPr>
          <w:i/>
          <w:spacing w:val="-1"/>
          <w:sz w:val="24"/>
        </w:rPr>
        <w:t> </w:t>
      </w:r>
      <w:r>
        <w:rPr>
          <w:i/>
          <w:sz w:val="24"/>
        </w:rPr>
        <w:t>с</w:t>
      </w:r>
      <w:r>
        <w:rPr>
          <w:i/>
          <w:spacing w:val="-2"/>
          <w:sz w:val="24"/>
        </w:rPr>
        <w:t> </w:t>
      </w:r>
      <w:r>
        <w:rPr>
          <w:i/>
          <w:sz w:val="24"/>
        </w:rPr>
        <w:t>категорией</w:t>
      </w:r>
      <w:r>
        <w:rPr>
          <w:i/>
          <w:spacing w:val="-2"/>
          <w:sz w:val="24"/>
        </w:rPr>
        <w:t> риска;</w:t>
      </w:r>
    </w:p>
    <w:p>
      <w:pPr>
        <w:pStyle w:val="ListParagraph"/>
        <w:numPr>
          <w:ilvl w:val="0"/>
          <w:numId w:val="14"/>
        </w:numPr>
        <w:tabs>
          <w:tab w:pos="1970" w:val="left" w:leader="none"/>
        </w:tabs>
        <w:spacing w:line="360" w:lineRule="auto" w:before="140" w:after="0"/>
        <w:ind w:left="1544" w:right="568" w:firstLine="0"/>
        <w:jc w:val="both"/>
        <w:rPr>
          <w:i/>
          <w:sz w:val="24"/>
        </w:rPr>
      </w:pPr>
      <w:r>
        <w:rPr>
          <w:i/>
          <w:sz w:val="24"/>
        </w:rPr>
        <w:t>подсчитать в процентах степень снижения уровня ХС ЛНП, необходимого для достижения целевого значения;</w:t>
      </w:r>
    </w:p>
    <w:p>
      <w:pPr>
        <w:pStyle w:val="ListParagraph"/>
        <w:numPr>
          <w:ilvl w:val="0"/>
          <w:numId w:val="14"/>
        </w:numPr>
        <w:tabs>
          <w:tab w:pos="1970" w:val="left" w:leader="none"/>
        </w:tabs>
        <w:spacing w:line="360" w:lineRule="auto" w:before="0" w:after="0"/>
        <w:ind w:left="1544" w:right="569" w:firstLine="0"/>
        <w:jc w:val="both"/>
        <w:rPr>
          <w:i/>
          <w:sz w:val="24"/>
        </w:rPr>
      </w:pPr>
      <w:r>
        <w:rPr>
          <w:i/>
          <w:sz w:val="24"/>
        </w:rPr>
        <w:t>выбрать из группы статинов препарат, который может обеспечить такой уровень снижения ХС ЛНП;</w:t>
      </w:r>
    </w:p>
    <w:p>
      <w:pPr>
        <w:pStyle w:val="ListParagraph"/>
        <w:numPr>
          <w:ilvl w:val="0"/>
          <w:numId w:val="14"/>
        </w:numPr>
        <w:tabs>
          <w:tab w:pos="1970" w:val="left" w:leader="none"/>
        </w:tabs>
        <w:spacing w:line="360" w:lineRule="auto" w:before="0" w:after="0"/>
        <w:ind w:left="1544" w:right="566" w:firstLine="0"/>
        <w:jc w:val="both"/>
        <w:rPr>
          <w:i/>
          <w:sz w:val="24"/>
        </w:rPr>
      </w:pPr>
      <w:r>
        <w:rPr>
          <w:i/>
          <w:sz w:val="24"/>
        </w:rPr>
        <w:t>эффективность и переносимость терапии статинами вариабельны, поэтому может потребоваться титрация дозы препарата;</w:t>
      </w:r>
    </w:p>
    <w:p>
      <w:pPr>
        <w:pStyle w:val="ListParagraph"/>
        <w:numPr>
          <w:ilvl w:val="0"/>
          <w:numId w:val="14"/>
        </w:numPr>
        <w:tabs>
          <w:tab w:pos="1970" w:val="left" w:leader="none"/>
        </w:tabs>
        <w:spacing w:line="360" w:lineRule="auto" w:before="0" w:after="0"/>
        <w:ind w:left="1544" w:right="566" w:firstLine="0"/>
        <w:jc w:val="both"/>
        <w:rPr>
          <w:i/>
          <w:sz w:val="24"/>
        </w:rPr>
      </w:pPr>
      <w:r>
        <w:rPr>
          <w:i/>
          <w:sz w:val="24"/>
        </w:rPr>
        <w:t>если монотерапия статином не позволяет достичь цели, следует рассмотреть возможность комбинированной терапии, в том числе статина с эзетимибом, предпочтительно в одной таблетке или капсуле (зарегистрированы розувастатин+эзетимиб и аторвастатин+эзетимиб) (у лиц очень высокого риска возможно начать гиполипидемическую терапию сразу с комбинации статина с </w:t>
      </w:r>
      <w:r>
        <w:rPr>
          <w:i/>
          <w:spacing w:val="-2"/>
          <w:sz w:val="24"/>
        </w:rPr>
        <w:t>эзетимибом).</w:t>
      </w:r>
    </w:p>
    <w:p>
      <w:pPr>
        <w:pStyle w:val="ListParagraph"/>
        <w:numPr>
          <w:ilvl w:val="0"/>
          <w:numId w:val="14"/>
        </w:numPr>
        <w:tabs>
          <w:tab w:pos="2124" w:val="left" w:leader="none"/>
        </w:tabs>
        <w:spacing w:line="360" w:lineRule="auto" w:before="0" w:after="0"/>
        <w:ind w:left="1544" w:right="566" w:firstLine="0"/>
        <w:jc w:val="both"/>
        <w:rPr>
          <w:i/>
          <w:sz w:val="24"/>
        </w:rPr>
      </w:pPr>
      <w:r>
        <w:rPr>
          <w:i/>
          <w:sz w:val="24"/>
        </w:rPr>
        <w:t>врачу убедить пациента в необходимости непрерывной (пожизненной) гиполипидемической терапии.</w:t>
      </w:r>
    </w:p>
    <w:p>
      <w:pPr>
        <w:pStyle w:val="BodyText"/>
        <w:spacing w:before="10"/>
        <w:ind w:left="0"/>
        <w:rPr>
          <w:i/>
          <w:sz w:val="20"/>
        </w:rPr>
      </w:pPr>
    </w:p>
    <w:p>
      <w:pPr>
        <w:pStyle w:val="Heading3"/>
        <w:numPr>
          <w:ilvl w:val="2"/>
          <w:numId w:val="7"/>
        </w:numPr>
        <w:tabs>
          <w:tab w:pos="2872" w:val="left" w:leader="none"/>
        </w:tabs>
        <w:spacing w:line="240" w:lineRule="auto" w:before="0" w:after="0"/>
        <w:ind w:left="2872" w:right="0" w:hanging="540"/>
        <w:jc w:val="both"/>
        <w:rPr>
          <w:u w:val="single"/>
        </w:rPr>
      </w:pPr>
      <w:bookmarkStart w:name="3.3.2 Основные классы препаратов для леч" w:id="47"/>
      <w:bookmarkEnd w:id="47"/>
      <w:r>
        <w:rPr>
          <w:b w:val="0"/>
        </w:rPr>
      </w:r>
      <w:bookmarkStart w:name="_bookmark23" w:id="48"/>
      <w:bookmarkEnd w:id="48"/>
      <w:r>
        <w:rPr>
          <w:u w:val="single"/>
        </w:rPr>
        <w:t>О</w:t>
      </w:r>
      <w:r>
        <w:rPr>
          <w:u w:val="single"/>
        </w:rPr>
        <w:t>сновные</w:t>
      </w:r>
      <w:r>
        <w:rPr>
          <w:spacing w:val="-6"/>
          <w:u w:val="single"/>
        </w:rPr>
        <w:t> </w:t>
      </w:r>
      <w:r>
        <w:rPr>
          <w:u w:val="single"/>
        </w:rPr>
        <w:t>классы</w:t>
      </w:r>
      <w:r>
        <w:rPr>
          <w:spacing w:val="-3"/>
          <w:u w:val="single"/>
        </w:rPr>
        <w:t> </w:t>
      </w:r>
      <w:r>
        <w:rPr>
          <w:u w:val="single"/>
        </w:rPr>
        <w:t>препаратов</w:t>
      </w:r>
      <w:r>
        <w:rPr>
          <w:spacing w:val="-2"/>
          <w:u w:val="single"/>
        </w:rPr>
        <w:t> </w:t>
      </w:r>
      <w:r>
        <w:rPr>
          <w:u w:val="single"/>
        </w:rPr>
        <w:t>для</w:t>
      </w:r>
      <w:r>
        <w:rPr>
          <w:spacing w:val="-3"/>
          <w:u w:val="single"/>
        </w:rPr>
        <w:t> </w:t>
      </w:r>
      <w:r>
        <w:rPr>
          <w:u w:val="single"/>
        </w:rPr>
        <w:t>лечения</w:t>
      </w:r>
      <w:r>
        <w:rPr>
          <w:spacing w:val="-3"/>
          <w:u w:val="single"/>
        </w:rPr>
        <w:t> </w:t>
      </w:r>
      <w:r>
        <w:rPr>
          <w:spacing w:val="-2"/>
          <w:u w:val="single"/>
        </w:rPr>
        <w:t>дислипидемий</w:t>
      </w:r>
    </w:p>
    <w:p>
      <w:pPr>
        <w:spacing w:line="357" w:lineRule="auto" w:before="137"/>
        <w:ind w:left="1261" w:right="567" w:firstLine="0"/>
        <w:jc w:val="both"/>
        <w:rPr>
          <w:i/>
          <w:sz w:val="24"/>
        </w:rPr>
      </w:pPr>
      <w:r>
        <w:rPr>
          <w:i/>
          <w:sz w:val="24"/>
        </w:rPr>
        <w:t>К средствам, корригирующим ДЛП, относятся </w:t>
      </w:r>
      <w:r>
        <w:rPr>
          <w:rFonts w:ascii="Calibri" w:hAnsi="Calibri"/>
          <w:i/>
          <w:sz w:val="22"/>
        </w:rPr>
        <w:t>с</w:t>
      </w:r>
      <w:r>
        <w:rPr>
          <w:i/>
          <w:sz w:val="24"/>
        </w:rPr>
        <w:t>татин</w:t>
      </w:r>
      <w:r>
        <w:rPr>
          <w:rFonts w:ascii="Calibri" w:hAnsi="Calibri"/>
          <w:i/>
          <w:sz w:val="22"/>
        </w:rPr>
        <w:t>ы</w:t>
      </w:r>
      <w:r>
        <w:rPr>
          <w:i/>
          <w:sz w:val="24"/>
        </w:rPr>
        <w:t>, эзетимиб, фибраты, другие гиполипидемические средства (эзетимиб, омега-3 триглицериды, включая другие эфиры и кислоты (омега-3 ПНЖК), алирокумаб**, эволокумаб**, инклисиран**).</w:t>
      </w:r>
    </w:p>
    <w:p>
      <w:pPr>
        <w:spacing w:line="360" w:lineRule="auto" w:before="209"/>
        <w:ind w:left="1261" w:right="566" w:firstLine="0"/>
        <w:jc w:val="both"/>
        <w:rPr>
          <w:i/>
          <w:sz w:val="24"/>
        </w:rPr>
      </w:pPr>
      <w:r>
        <w:rPr>
          <w:rFonts w:ascii="Calibri" w:hAnsi="Calibri"/>
          <w:i/>
          <w:sz w:val="22"/>
        </w:rPr>
        <w:t>С</w:t>
      </w:r>
      <w:r>
        <w:rPr>
          <w:i/>
          <w:sz w:val="24"/>
        </w:rPr>
        <w:t>татины являются одними из наиболее изученных классов препаратов в профилактике ССЗ. Результаты многочисленных клинических исследований свидетельствуют о том, что </w:t>
      </w:r>
      <w:r>
        <w:rPr>
          <w:rFonts w:ascii="Calibri" w:hAnsi="Calibri"/>
          <w:i/>
          <w:sz w:val="22"/>
        </w:rPr>
        <w:t>с</w:t>
      </w:r>
      <w:r>
        <w:rPr>
          <w:i/>
          <w:sz w:val="24"/>
        </w:rPr>
        <w:t>татин</w:t>
      </w:r>
      <w:r>
        <w:rPr>
          <w:rFonts w:ascii="Calibri" w:hAnsi="Calibri"/>
          <w:i/>
          <w:sz w:val="22"/>
        </w:rPr>
        <w:t>ы </w:t>
      </w:r>
      <w:r>
        <w:rPr>
          <w:i/>
          <w:sz w:val="24"/>
        </w:rPr>
        <w:t>значительно снижают заболеваемость и смертность от ССЗ при первичной и вторичной профилактике во всех возрастных группах, как у мужчин, так и у женщин. В клинических исследованиях </w:t>
      </w:r>
      <w:r>
        <w:rPr>
          <w:rFonts w:ascii="Calibri" w:hAnsi="Calibri"/>
          <w:i/>
          <w:sz w:val="22"/>
        </w:rPr>
        <w:t>с</w:t>
      </w:r>
      <w:r>
        <w:rPr>
          <w:i/>
          <w:sz w:val="24"/>
        </w:rPr>
        <w:t>татины замедляли прогрессирование и даже вызывали регрессию атеросклеротической бляшки. Крупнейший метаанализ 19 исследований с различными </w:t>
      </w:r>
      <w:r>
        <w:rPr>
          <w:rFonts w:ascii="Calibri" w:hAnsi="Calibri"/>
          <w:i/>
          <w:sz w:val="22"/>
        </w:rPr>
        <w:t>с</w:t>
      </w:r>
      <w:r>
        <w:rPr>
          <w:i/>
          <w:sz w:val="24"/>
        </w:rPr>
        <w:t>татинами показал снижение смертности от всех причин на 14%, частоты сердечно-сосудистых событий на 27%, нефатальных и фатальных коронарных осложнений на 27%, инсульта на 22% при снижении уровня ХС ЛНП на 1,0 ммоль/л </w:t>
      </w:r>
      <w:r>
        <w:rPr>
          <w:sz w:val="24"/>
        </w:rPr>
        <w:t>[</w:t>
      </w:r>
      <w:hyperlink w:history="true" w:anchor="_bookmark96">
        <w:r>
          <w:rPr>
            <w:sz w:val="24"/>
          </w:rPr>
          <w:t>51</w:t>
        </w:r>
      </w:hyperlink>
      <w:r>
        <w:rPr>
          <w:sz w:val="24"/>
        </w:rPr>
        <w:t>]</w:t>
      </w:r>
      <w:r>
        <w:rPr>
          <w:i/>
          <w:sz w:val="24"/>
        </w:rPr>
        <w:t>. Относительное снижение риска при первичной профилактике сопоставимо с таковым во вторичной профилактике. Доступные данные позволяют предположить, что клинический эффект в значительной степени зависит не от препарата, а от</w:t>
      </w:r>
      <w:r>
        <w:rPr>
          <w:i/>
          <w:spacing w:val="40"/>
          <w:sz w:val="24"/>
        </w:rPr>
        <w:t> </w:t>
      </w:r>
      <w:r>
        <w:rPr>
          <w:i/>
          <w:sz w:val="24"/>
        </w:rPr>
        <w:t>степени</w:t>
      </w:r>
      <w:r>
        <w:rPr>
          <w:i/>
          <w:spacing w:val="59"/>
          <w:w w:val="150"/>
          <w:sz w:val="24"/>
        </w:rPr>
        <w:t>  </w:t>
      </w:r>
      <w:r>
        <w:rPr>
          <w:i/>
          <w:sz w:val="24"/>
        </w:rPr>
        <w:t>снижения</w:t>
      </w:r>
      <w:r>
        <w:rPr>
          <w:i/>
          <w:spacing w:val="59"/>
          <w:w w:val="150"/>
          <w:sz w:val="24"/>
        </w:rPr>
        <w:t>  </w:t>
      </w:r>
      <w:r>
        <w:rPr>
          <w:i/>
          <w:sz w:val="24"/>
        </w:rPr>
        <w:t>ХС</w:t>
      </w:r>
      <w:r>
        <w:rPr>
          <w:i/>
          <w:spacing w:val="59"/>
          <w:w w:val="150"/>
          <w:sz w:val="24"/>
        </w:rPr>
        <w:t>  </w:t>
      </w:r>
      <w:r>
        <w:rPr>
          <w:i/>
          <w:sz w:val="24"/>
        </w:rPr>
        <w:t>ЛНП.</w:t>
      </w:r>
      <w:r>
        <w:rPr>
          <w:i/>
          <w:spacing w:val="59"/>
          <w:w w:val="150"/>
          <w:sz w:val="24"/>
        </w:rPr>
        <w:t>  </w:t>
      </w:r>
      <w:r>
        <w:rPr>
          <w:i/>
          <w:sz w:val="24"/>
        </w:rPr>
        <w:t>В</w:t>
      </w:r>
      <w:r>
        <w:rPr>
          <w:i/>
          <w:spacing w:val="58"/>
          <w:w w:val="150"/>
          <w:sz w:val="24"/>
        </w:rPr>
        <w:t>  </w:t>
      </w:r>
      <w:r>
        <w:rPr>
          <w:i/>
          <w:sz w:val="24"/>
        </w:rPr>
        <w:t>РФ</w:t>
      </w:r>
      <w:r>
        <w:rPr>
          <w:i/>
          <w:spacing w:val="58"/>
          <w:w w:val="150"/>
          <w:sz w:val="24"/>
        </w:rPr>
        <w:t>  </w:t>
      </w:r>
      <w:r>
        <w:rPr>
          <w:i/>
          <w:sz w:val="24"/>
        </w:rPr>
        <w:t>представлены</w:t>
      </w:r>
      <w:r>
        <w:rPr>
          <w:i/>
          <w:spacing w:val="59"/>
          <w:w w:val="150"/>
          <w:sz w:val="24"/>
        </w:rPr>
        <w:t>  </w:t>
      </w:r>
      <w:r>
        <w:rPr>
          <w:i/>
          <w:sz w:val="24"/>
        </w:rPr>
        <w:t>(в</w:t>
      </w:r>
      <w:r>
        <w:rPr>
          <w:i/>
          <w:spacing w:val="59"/>
          <w:w w:val="150"/>
          <w:sz w:val="24"/>
        </w:rPr>
        <w:t>  </w:t>
      </w:r>
      <w:r>
        <w:rPr>
          <w:i/>
          <w:sz w:val="24"/>
        </w:rPr>
        <w:t>порядке</w:t>
      </w:r>
      <w:r>
        <w:rPr>
          <w:i/>
          <w:spacing w:val="58"/>
          <w:w w:val="150"/>
          <w:sz w:val="24"/>
        </w:rPr>
        <w:t>  </w:t>
      </w:r>
      <w:r>
        <w:rPr>
          <w:i/>
          <w:spacing w:val="-2"/>
          <w:sz w:val="24"/>
        </w:rPr>
        <w:t>убывания</w:t>
      </w:r>
    </w:p>
    <w:p>
      <w:pPr>
        <w:spacing w:after="0" w:line="360" w:lineRule="auto"/>
        <w:jc w:val="both"/>
        <w:rPr>
          <w:sz w:val="24"/>
        </w:rPr>
        <w:sectPr>
          <w:pgSz w:w="11910" w:h="16840"/>
          <w:pgMar w:header="0" w:footer="710" w:top="1040" w:bottom="900" w:left="440" w:right="280"/>
        </w:sectPr>
      </w:pPr>
    </w:p>
    <w:p>
      <w:pPr>
        <w:spacing w:before="73"/>
        <w:ind w:left="1261" w:right="0" w:firstLine="0"/>
        <w:jc w:val="both"/>
        <w:rPr>
          <w:i/>
          <w:sz w:val="24"/>
        </w:rPr>
      </w:pPr>
      <w:r>
        <w:rPr>
          <w:i/>
          <w:sz w:val="24"/>
        </w:rPr>
        <w:t>гиполипидемического</w:t>
      </w:r>
      <w:r>
        <w:rPr>
          <w:i/>
          <w:spacing w:val="43"/>
          <w:sz w:val="24"/>
        </w:rPr>
        <w:t>  </w:t>
      </w:r>
      <w:r>
        <w:rPr>
          <w:i/>
          <w:sz w:val="24"/>
        </w:rPr>
        <w:t>эффекта)</w:t>
      </w:r>
      <w:r>
        <w:rPr>
          <w:i/>
          <w:spacing w:val="44"/>
          <w:sz w:val="24"/>
        </w:rPr>
        <w:t>  </w:t>
      </w:r>
      <w:r>
        <w:rPr>
          <w:i/>
          <w:sz w:val="24"/>
        </w:rPr>
        <w:t>розувастатин</w:t>
      </w:r>
      <w:r>
        <w:rPr>
          <w:i/>
          <w:spacing w:val="44"/>
          <w:sz w:val="24"/>
        </w:rPr>
        <w:t>  </w:t>
      </w:r>
      <w:r>
        <w:rPr>
          <w:i/>
          <w:sz w:val="24"/>
        </w:rPr>
        <w:t>в</w:t>
      </w:r>
      <w:r>
        <w:rPr>
          <w:i/>
          <w:spacing w:val="43"/>
          <w:sz w:val="24"/>
        </w:rPr>
        <w:t>  </w:t>
      </w:r>
      <w:r>
        <w:rPr>
          <w:i/>
          <w:sz w:val="24"/>
        </w:rPr>
        <w:t>дозах</w:t>
      </w:r>
      <w:r>
        <w:rPr>
          <w:i/>
          <w:spacing w:val="43"/>
          <w:sz w:val="24"/>
        </w:rPr>
        <w:t>  </w:t>
      </w:r>
      <w:r>
        <w:rPr>
          <w:i/>
          <w:sz w:val="24"/>
        </w:rPr>
        <w:t>5,</w:t>
      </w:r>
      <w:r>
        <w:rPr>
          <w:i/>
          <w:spacing w:val="43"/>
          <w:sz w:val="24"/>
        </w:rPr>
        <w:t>  </w:t>
      </w:r>
      <w:r>
        <w:rPr>
          <w:i/>
          <w:sz w:val="24"/>
        </w:rPr>
        <w:t>10,</w:t>
      </w:r>
      <w:r>
        <w:rPr>
          <w:i/>
          <w:spacing w:val="44"/>
          <w:sz w:val="24"/>
        </w:rPr>
        <w:t>  </w:t>
      </w:r>
      <w:r>
        <w:rPr>
          <w:i/>
          <w:sz w:val="24"/>
        </w:rPr>
        <w:t>15,</w:t>
      </w:r>
      <w:r>
        <w:rPr>
          <w:i/>
          <w:spacing w:val="43"/>
          <w:sz w:val="24"/>
        </w:rPr>
        <w:t>  </w:t>
      </w:r>
      <w:r>
        <w:rPr>
          <w:i/>
          <w:sz w:val="24"/>
        </w:rPr>
        <w:t>20</w:t>
      </w:r>
      <w:r>
        <w:rPr>
          <w:i/>
          <w:spacing w:val="44"/>
          <w:sz w:val="24"/>
        </w:rPr>
        <w:t>  </w:t>
      </w:r>
      <w:r>
        <w:rPr>
          <w:i/>
          <w:sz w:val="24"/>
        </w:rPr>
        <w:t>и</w:t>
      </w:r>
      <w:r>
        <w:rPr>
          <w:i/>
          <w:spacing w:val="43"/>
          <w:sz w:val="24"/>
        </w:rPr>
        <w:t>  </w:t>
      </w:r>
      <w:r>
        <w:rPr>
          <w:i/>
          <w:sz w:val="24"/>
        </w:rPr>
        <w:t>40</w:t>
      </w:r>
      <w:r>
        <w:rPr>
          <w:i/>
          <w:spacing w:val="44"/>
          <w:sz w:val="24"/>
        </w:rPr>
        <w:t>  </w:t>
      </w:r>
      <w:r>
        <w:rPr>
          <w:i/>
          <w:spacing w:val="-5"/>
          <w:sz w:val="24"/>
        </w:rPr>
        <w:t>мг,</w:t>
      </w:r>
    </w:p>
    <w:p>
      <w:pPr>
        <w:spacing w:line="360" w:lineRule="auto" w:before="139"/>
        <w:ind w:left="1261" w:right="566" w:firstLine="0"/>
        <w:jc w:val="both"/>
        <w:rPr>
          <w:i/>
          <w:sz w:val="24"/>
        </w:rPr>
      </w:pPr>
      <w:r>
        <w:rPr>
          <w:i/>
          <w:sz w:val="24"/>
        </w:rPr>
        <w:t>аторвастатин** — 10, 20, 30, 40 и 80 мг/сут, питавастатин — 1, 2 и 4 мг, симвастатин** — 10, 20 и 40 мг. Максимальное снижение ХС ЛНП на 50–55% возможно при применении высоких доз розувастатина и аторвастатина**. Статины различаются по своим свойствам всасывания, биодоступности, связывания с белками плазмы, выведения и растворимости. Всасывание препаратов варьирует от 20 до 98%. Многие </w:t>
      </w:r>
      <w:r>
        <w:rPr>
          <w:rFonts w:ascii="Calibri" w:hAnsi="Calibri"/>
          <w:i/>
          <w:sz w:val="22"/>
        </w:rPr>
        <w:t>с</w:t>
      </w:r>
      <w:r>
        <w:rPr>
          <w:i/>
          <w:sz w:val="24"/>
        </w:rPr>
        <w:t>татины в значительной степени подвергаются метаболизму в печени с участием изоферментов цитохрома P450, за исключением правастатина, розувастатина и питавастатина. Препараты, потенциально взаимодействующие с </w:t>
      </w:r>
      <w:r>
        <w:rPr>
          <w:rFonts w:ascii="Calibri" w:hAnsi="Calibri"/>
          <w:i/>
          <w:sz w:val="22"/>
        </w:rPr>
        <w:t>с</w:t>
      </w:r>
      <w:r>
        <w:rPr>
          <w:i/>
          <w:sz w:val="24"/>
        </w:rPr>
        <w:t>татин</w:t>
      </w:r>
      <w:r>
        <w:rPr>
          <w:rFonts w:ascii="Calibri" w:hAnsi="Calibri"/>
          <w:i/>
          <w:sz w:val="22"/>
        </w:rPr>
        <w:t>ами</w:t>
      </w:r>
      <w:r>
        <w:rPr>
          <w:i/>
          <w:sz w:val="24"/>
        </w:rPr>
        <w:t>, представлены в таблице П3, приложении Г4 </w:t>
      </w:r>
      <w:r>
        <w:rPr>
          <w:sz w:val="24"/>
        </w:rPr>
        <w:t>[</w:t>
      </w:r>
      <w:hyperlink w:history="true" w:anchor="_bookmark97">
        <w:r>
          <w:rPr>
            <w:sz w:val="24"/>
          </w:rPr>
          <w:t>52,</w:t>
        </w:r>
      </w:hyperlink>
      <w:r>
        <w:rPr>
          <w:sz w:val="24"/>
        </w:rPr>
        <w:t> </w:t>
      </w:r>
      <w:hyperlink w:history="true" w:anchor="_bookmark98">
        <w:r>
          <w:rPr>
            <w:sz w:val="24"/>
          </w:rPr>
          <w:t>53,</w:t>
        </w:r>
      </w:hyperlink>
      <w:r>
        <w:rPr>
          <w:sz w:val="24"/>
        </w:rPr>
        <w:t> </w:t>
      </w:r>
      <w:hyperlink w:history="true" w:anchor="_bookmark99">
        <w:r>
          <w:rPr>
            <w:sz w:val="24"/>
          </w:rPr>
          <w:t>54,</w:t>
        </w:r>
      </w:hyperlink>
      <w:r>
        <w:rPr>
          <w:sz w:val="24"/>
        </w:rPr>
        <w:t> </w:t>
      </w:r>
      <w:hyperlink w:history="true" w:anchor="_bookmark100">
        <w:r>
          <w:rPr>
            <w:sz w:val="24"/>
          </w:rPr>
          <w:t>55,</w:t>
        </w:r>
      </w:hyperlink>
      <w:r>
        <w:rPr>
          <w:sz w:val="24"/>
        </w:rPr>
        <w:t> </w:t>
      </w:r>
      <w:hyperlink w:history="true" w:anchor="_bookmark101">
        <w:r>
          <w:rPr>
            <w:sz w:val="24"/>
          </w:rPr>
          <w:t>56,</w:t>
        </w:r>
      </w:hyperlink>
      <w:r>
        <w:rPr>
          <w:sz w:val="24"/>
        </w:rPr>
        <w:t> </w:t>
      </w:r>
      <w:hyperlink w:history="true" w:anchor="_bookmark102">
        <w:r>
          <w:rPr>
            <w:sz w:val="24"/>
          </w:rPr>
          <w:t>57</w:t>
        </w:r>
      </w:hyperlink>
      <w:r>
        <w:rPr>
          <w:sz w:val="24"/>
        </w:rPr>
        <w:t>, </w:t>
      </w:r>
      <w:hyperlink w:history="true" w:anchor="_bookmark103">
        <w:r>
          <w:rPr>
            <w:sz w:val="24"/>
          </w:rPr>
          <w:t>58</w:t>
        </w:r>
      </w:hyperlink>
      <w:r>
        <w:rPr>
          <w:sz w:val="24"/>
        </w:rPr>
        <w:t>, </w:t>
      </w:r>
      <w:hyperlink w:history="true" w:anchor="_bookmark104">
        <w:r>
          <w:rPr>
            <w:sz w:val="24"/>
          </w:rPr>
          <w:t>59</w:t>
        </w:r>
      </w:hyperlink>
      <w:r>
        <w:rPr>
          <w:sz w:val="24"/>
        </w:rPr>
        <w:t>, </w:t>
      </w:r>
      <w:hyperlink w:history="true" w:anchor="_bookmark105">
        <w:r>
          <w:rPr>
            <w:sz w:val="24"/>
          </w:rPr>
          <w:t>60</w:t>
        </w:r>
      </w:hyperlink>
      <w:r>
        <w:rPr>
          <w:sz w:val="24"/>
        </w:rPr>
        <w:t>]</w:t>
      </w:r>
      <w:r>
        <w:rPr>
          <w:i/>
          <w:sz w:val="24"/>
        </w:rPr>
        <w:t>. Важно отметить, что по данным опубликованного в 2014 году метаанализа 8 важнейших рандомизированных клинических исследований с </w:t>
      </w:r>
      <w:r>
        <w:rPr>
          <w:rFonts w:ascii="Calibri" w:hAnsi="Calibri"/>
          <w:i/>
          <w:sz w:val="22"/>
        </w:rPr>
        <w:t>с</w:t>
      </w:r>
      <w:r>
        <w:rPr>
          <w:i/>
          <w:sz w:val="24"/>
        </w:rPr>
        <w:t>татин</w:t>
      </w:r>
      <w:r>
        <w:rPr>
          <w:rFonts w:ascii="Calibri" w:hAnsi="Calibri"/>
          <w:i/>
          <w:sz w:val="22"/>
        </w:rPr>
        <w:t>ами </w:t>
      </w:r>
      <w:r>
        <w:rPr>
          <w:i/>
          <w:sz w:val="24"/>
        </w:rPr>
        <w:t>(n=38153, 6286 ССО у 5387 человек) была продемонстрирована меньшая частота ССО при уровне ХС ЛНП &lt;1,3 ммоль/л (50 мг/дл). При сравнении с участниками с уровнем ХС ЛНП &gt;4,5 ммоль/л (175 мг/дл)</w:t>
      </w:r>
      <w:r>
        <w:rPr>
          <w:i/>
          <w:spacing w:val="-5"/>
          <w:sz w:val="24"/>
        </w:rPr>
        <w:t> </w:t>
      </w:r>
      <w:r>
        <w:rPr>
          <w:i/>
          <w:sz w:val="24"/>
        </w:rPr>
        <w:t>было</w:t>
      </w:r>
      <w:r>
        <w:rPr>
          <w:i/>
          <w:spacing w:val="-4"/>
          <w:sz w:val="24"/>
        </w:rPr>
        <w:t> </w:t>
      </w:r>
      <w:r>
        <w:rPr>
          <w:i/>
          <w:sz w:val="24"/>
        </w:rPr>
        <w:t>отмечено</w:t>
      </w:r>
      <w:r>
        <w:rPr>
          <w:i/>
          <w:spacing w:val="-4"/>
          <w:sz w:val="24"/>
        </w:rPr>
        <w:t> </w:t>
      </w:r>
      <w:r>
        <w:rPr>
          <w:i/>
          <w:sz w:val="24"/>
        </w:rPr>
        <w:t>прогрессивное</w:t>
      </w:r>
      <w:r>
        <w:rPr>
          <w:i/>
          <w:spacing w:val="-5"/>
          <w:sz w:val="24"/>
        </w:rPr>
        <w:t> </w:t>
      </w:r>
      <w:r>
        <w:rPr>
          <w:i/>
          <w:sz w:val="24"/>
        </w:rPr>
        <w:t>снижение</w:t>
      </w:r>
      <w:r>
        <w:rPr>
          <w:i/>
          <w:spacing w:val="-3"/>
          <w:sz w:val="24"/>
        </w:rPr>
        <w:t> </w:t>
      </w:r>
      <w:r>
        <w:rPr>
          <w:i/>
          <w:sz w:val="24"/>
        </w:rPr>
        <w:t>относительного</w:t>
      </w:r>
      <w:r>
        <w:rPr>
          <w:i/>
          <w:spacing w:val="-4"/>
          <w:sz w:val="24"/>
        </w:rPr>
        <w:t> </w:t>
      </w:r>
      <w:r>
        <w:rPr>
          <w:i/>
          <w:sz w:val="24"/>
        </w:rPr>
        <w:t>риска</w:t>
      </w:r>
      <w:r>
        <w:rPr>
          <w:i/>
          <w:spacing w:val="-2"/>
          <w:sz w:val="24"/>
        </w:rPr>
        <w:t> </w:t>
      </w:r>
      <w:r>
        <w:rPr>
          <w:i/>
          <w:sz w:val="24"/>
        </w:rPr>
        <w:t>развития</w:t>
      </w:r>
      <w:r>
        <w:rPr>
          <w:i/>
          <w:spacing w:val="-3"/>
          <w:sz w:val="24"/>
        </w:rPr>
        <w:t> </w:t>
      </w:r>
      <w:r>
        <w:rPr>
          <w:i/>
          <w:sz w:val="24"/>
        </w:rPr>
        <w:t>сердечно- сосудистых осложнений в зависимости от уровня ХС ЛНП: 2,0–2,6 ммоль/л (75–100 мг/дл),</w:t>
      </w:r>
      <w:r>
        <w:rPr>
          <w:i/>
          <w:spacing w:val="13"/>
          <w:sz w:val="24"/>
        </w:rPr>
        <w:t> </w:t>
      </w:r>
      <w:r>
        <w:rPr>
          <w:i/>
          <w:sz w:val="24"/>
        </w:rPr>
        <w:t>1,3–2,0</w:t>
      </w:r>
      <w:r>
        <w:rPr>
          <w:i/>
          <w:spacing w:val="15"/>
          <w:sz w:val="24"/>
        </w:rPr>
        <w:t> </w:t>
      </w:r>
      <w:r>
        <w:rPr>
          <w:i/>
          <w:sz w:val="24"/>
        </w:rPr>
        <w:t>ммоль/л</w:t>
      </w:r>
      <w:r>
        <w:rPr>
          <w:i/>
          <w:spacing w:val="15"/>
          <w:sz w:val="24"/>
        </w:rPr>
        <w:t> </w:t>
      </w:r>
      <w:r>
        <w:rPr>
          <w:i/>
          <w:sz w:val="24"/>
        </w:rPr>
        <w:t>(50–75</w:t>
      </w:r>
      <w:r>
        <w:rPr>
          <w:i/>
          <w:spacing w:val="15"/>
          <w:sz w:val="24"/>
        </w:rPr>
        <w:t> </w:t>
      </w:r>
      <w:r>
        <w:rPr>
          <w:i/>
          <w:sz w:val="24"/>
        </w:rPr>
        <w:t>мг/дл),</w:t>
      </w:r>
      <w:r>
        <w:rPr>
          <w:i/>
          <w:spacing w:val="16"/>
          <w:sz w:val="24"/>
        </w:rPr>
        <w:t> </w:t>
      </w:r>
      <w:r>
        <w:rPr>
          <w:i/>
          <w:sz w:val="24"/>
        </w:rPr>
        <w:t>и</w:t>
      </w:r>
      <w:r>
        <w:rPr>
          <w:i/>
          <w:spacing w:val="15"/>
          <w:sz w:val="24"/>
        </w:rPr>
        <w:t> </w:t>
      </w:r>
      <w:r>
        <w:rPr>
          <w:i/>
          <w:sz w:val="24"/>
        </w:rPr>
        <w:t>&lt;1,3</w:t>
      </w:r>
      <w:r>
        <w:rPr>
          <w:i/>
          <w:spacing w:val="16"/>
          <w:sz w:val="24"/>
        </w:rPr>
        <w:t> </w:t>
      </w:r>
      <w:r>
        <w:rPr>
          <w:i/>
          <w:sz w:val="24"/>
        </w:rPr>
        <w:t>ммоль/л</w:t>
      </w:r>
      <w:r>
        <w:rPr>
          <w:i/>
          <w:spacing w:val="16"/>
          <w:sz w:val="24"/>
        </w:rPr>
        <w:t> </w:t>
      </w:r>
      <w:r>
        <w:rPr>
          <w:i/>
          <w:sz w:val="24"/>
        </w:rPr>
        <w:t>(50</w:t>
      </w:r>
      <w:r>
        <w:rPr>
          <w:i/>
          <w:spacing w:val="16"/>
          <w:sz w:val="24"/>
        </w:rPr>
        <w:t> </w:t>
      </w:r>
      <w:r>
        <w:rPr>
          <w:i/>
          <w:sz w:val="24"/>
        </w:rPr>
        <w:t>мг/дл):</w:t>
      </w:r>
      <w:r>
        <w:rPr>
          <w:i/>
          <w:spacing w:val="15"/>
          <w:sz w:val="24"/>
        </w:rPr>
        <w:t> </w:t>
      </w:r>
      <w:r>
        <w:rPr>
          <w:i/>
          <w:sz w:val="24"/>
        </w:rPr>
        <w:t>0,56</w:t>
      </w:r>
      <w:r>
        <w:rPr>
          <w:i/>
          <w:spacing w:val="16"/>
          <w:sz w:val="24"/>
        </w:rPr>
        <w:t> </w:t>
      </w:r>
      <w:r>
        <w:rPr>
          <w:i/>
          <w:sz w:val="24"/>
        </w:rPr>
        <w:t>(95%</w:t>
      </w:r>
      <w:r>
        <w:rPr>
          <w:i/>
          <w:spacing w:val="17"/>
          <w:sz w:val="24"/>
        </w:rPr>
        <w:t> </w:t>
      </w:r>
      <w:r>
        <w:rPr>
          <w:i/>
          <w:sz w:val="24"/>
        </w:rPr>
        <w:t>ДИ</w:t>
      </w:r>
      <w:r>
        <w:rPr>
          <w:i/>
          <w:spacing w:val="16"/>
          <w:sz w:val="24"/>
        </w:rPr>
        <w:t> </w:t>
      </w:r>
      <w:r>
        <w:rPr>
          <w:i/>
          <w:spacing w:val="-2"/>
          <w:sz w:val="24"/>
        </w:rPr>
        <w:t>0,46–0,67),</w:t>
      </w:r>
    </w:p>
    <w:p>
      <w:pPr>
        <w:spacing w:line="360" w:lineRule="auto" w:before="1"/>
        <w:ind w:left="1261" w:right="566" w:firstLine="0"/>
        <w:jc w:val="both"/>
        <w:rPr>
          <w:i/>
          <w:sz w:val="24"/>
        </w:rPr>
      </w:pPr>
      <w:r>
        <w:rPr>
          <w:i/>
          <w:sz w:val="24"/>
        </w:rPr>
        <w:t>0,51 (0,42–0,62) и 0,44 (0,35–0,55), соответственно </w:t>
      </w:r>
      <w:r>
        <w:rPr>
          <w:sz w:val="24"/>
        </w:rPr>
        <w:t>[</w:t>
      </w:r>
      <w:hyperlink w:history="true" w:anchor="_bookmark106">
        <w:r>
          <w:rPr>
            <w:sz w:val="24"/>
          </w:rPr>
          <w:t>61</w:t>
        </w:r>
      </w:hyperlink>
      <w:r>
        <w:rPr>
          <w:sz w:val="24"/>
        </w:rPr>
        <w:t>]</w:t>
      </w:r>
      <w:r>
        <w:rPr>
          <w:i/>
          <w:sz w:val="24"/>
        </w:rPr>
        <w:t>. В настоящее время для достижения ЦУ ХС ЛНП и снижения риска ССО оправдано использования трех </w:t>
      </w:r>
      <w:r>
        <w:rPr>
          <w:rFonts w:ascii="Calibri" w:hAnsi="Calibri"/>
          <w:i/>
          <w:sz w:val="22"/>
        </w:rPr>
        <w:t>с</w:t>
      </w:r>
      <w:r>
        <w:rPr>
          <w:i/>
          <w:sz w:val="24"/>
        </w:rPr>
        <w:t>татин</w:t>
      </w:r>
      <w:r>
        <w:rPr>
          <w:rFonts w:ascii="Calibri" w:hAnsi="Calibri"/>
          <w:i/>
          <w:sz w:val="22"/>
        </w:rPr>
        <w:t>ов</w:t>
      </w:r>
      <w:r>
        <w:rPr>
          <w:i/>
          <w:sz w:val="24"/>
        </w:rPr>
        <w:t>: розувастатина, аторвастатина**, питавастатина, симвастатина.</w:t>
      </w:r>
    </w:p>
    <w:p>
      <w:pPr>
        <w:spacing w:line="360" w:lineRule="auto" w:before="198"/>
        <w:ind w:left="1261" w:right="566" w:firstLine="0"/>
        <w:jc w:val="both"/>
        <w:rPr>
          <w:i/>
          <w:sz w:val="24"/>
        </w:rPr>
      </w:pPr>
      <w:r>
        <w:rPr>
          <w:b/>
          <w:i/>
          <w:sz w:val="24"/>
        </w:rPr>
        <w:t>Фибраты. </w:t>
      </w:r>
      <w:r>
        <w:rPr>
          <w:i/>
          <w:sz w:val="24"/>
        </w:rPr>
        <w:t>Механизм их действия заключается в активации альфа-рецепторов, активируемых активатором пероксисом (РРARα), расположенных в печени, мышцах, жировой ткани, сердце, почках, макрофагах и тромбоцитах. Основная роль PPARα- рецепторов заключается в регуляции метаболизма липидов и липопротеидов, воспаления, функции</w:t>
      </w:r>
      <w:r>
        <w:rPr>
          <w:i/>
          <w:spacing w:val="-4"/>
          <w:sz w:val="24"/>
        </w:rPr>
        <w:t> </w:t>
      </w:r>
      <w:r>
        <w:rPr>
          <w:i/>
          <w:sz w:val="24"/>
        </w:rPr>
        <w:t>эндотелия.</w:t>
      </w:r>
      <w:r>
        <w:rPr>
          <w:i/>
          <w:spacing w:val="-4"/>
          <w:sz w:val="24"/>
        </w:rPr>
        <w:t> </w:t>
      </w:r>
      <w:r>
        <w:rPr>
          <w:i/>
          <w:sz w:val="24"/>
        </w:rPr>
        <w:t>Активированные</w:t>
      </w:r>
      <w:r>
        <w:rPr>
          <w:i/>
          <w:spacing w:val="-5"/>
          <w:sz w:val="24"/>
        </w:rPr>
        <w:t> </w:t>
      </w:r>
      <w:r>
        <w:rPr>
          <w:i/>
          <w:sz w:val="24"/>
        </w:rPr>
        <w:t>PPARα-рецепторы</w:t>
      </w:r>
      <w:r>
        <w:rPr>
          <w:i/>
          <w:spacing w:val="-4"/>
          <w:sz w:val="24"/>
        </w:rPr>
        <w:t> </w:t>
      </w:r>
      <w:r>
        <w:rPr>
          <w:i/>
          <w:sz w:val="24"/>
        </w:rPr>
        <w:t>связываются</w:t>
      </w:r>
      <w:r>
        <w:rPr>
          <w:i/>
          <w:spacing w:val="-4"/>
          <w:sz w:val="24"/>
        </w:rPr>
        <w:t> </w:t>
      </w:r>
      <w:r>
        <w:rPr>
          <w:i/>
          <w:sz w:val="24"/>
        </w:rPr>
        <w:t>со</w:t>
      </w:r>
      <w:r>
        <w:rPr>
          <w:i/>
          <w:spacing w:val="-4"/>
          <w:sz w:val="24"/>
        </w:rPr>
        <w:t> </w:t>
      </w:r>
      <w:r>
        <w:rPr>
          <w:i/>
          <w:sz w:val="24"/>
        </w:rPr>
        <w:t>специфическими участками ДНК, стимулируя или угнетая основные гены, кодирующие метаболические процессы. При этом необходимо отметить, что из класса фибратов только фенофибрат** может использоваться в комбинации со </w:t>
      </w:r>
      <w:r>
        <w:rPr>
          <w:rFonts w:ascii="Calibri" w:hAnsi="Calibri"/>
          <w:i/>
          <w:sz w:val="22"/>
        </w:rPr>
        <w:t>с</w:t>
      </w:r>
      <w:r>
        <w:rPr>
          <w:i/>
          <w:sz w:val="24"/>
        </w:rPr>
        <w:t>татин</w:t>
      </w:r>
      <w:r>
        <w:rPr>
          <w:rFonts w:ascii="Calibri" w:hAnsi="Calibri"/>
          <w:i/>
          <w:sz w:val="22"/>
        </w:rPr>
        <w:t>ами </w:t>
      </w:r>
      <w:r>
        <w:rPr>
          <w:sz w:val="24"/>
        </w:rPr>
        <w:t>[</w:t>
      </w:r>
      <w:hyperlink w:history="true" w:anchor="_bookmark89">
        <w:r>
          <w:rPr>
            <w:sz w:val="24"/>
          </w:rPr>
          <w:t>44</w:t>
        </w:r>
      </w:hyperlink>
      <w:r>
        <w:rPr>
          <w:sz w:val="24"/>
        </w:rPr>
        <w:t>]</w:t>
      </w:r>
      <w:r>
        <w:rPr>
          <w:i/>
          <w:sz w:val="24"/>
        </w:rPr>
        <w:t>. Фенофибрат** увеличивает синтез апоА1, апоА2, активность ЛПЛ и снижает синтез апоСIII, апоВ100</w:t>
      </w:r>
      <w:r>
        <w:rPr>
          <w:i/>
          <w:spacing w:val="40"/>
          <w:sz w:val="24"/>
        </w:rPr>
        <w:t> </w:t>
      </w:r>
      <w:r>
        <w:rPr>
          <w:i/>
          <w:sz w:val="24"/>
        </w:rPr>
        <w:t>и концентрацию малых</w:t>
      </w:r>
      <w:r>
        <w:rPr>
          <w:i/>
          <w:spacing w:val="-1"/>
          <w:sz w:val="24"/>
        </w:rPr>
        <w:t> </w:t>
      </w:r>
      <w:r>
        <w:rPr>
          <w:i/>
          <w:sz w:val="24"/>
        </w:rPr>
        <w:t>плотных</w:t>
      </w:r>
      <w:r>
        <w:rPr>
          <w:i/>
          <w:spacing w:val="-1"/>
          <w:sz w:val="24"/>
        </w:rPr>
        <w:t> </w:t>
      </w:r>
      <w:r>
        <w:rPr>
          <w:i/>
          <w:sz w:val="24"/>
        </w:rPr>
        <w:t>частиц ЛНП на 50%. Это ведет</w:t>
      </w:r>
      <w:r>
        <w:rPr>
          <w:i/>
          <w:spacing w:val="-1"/>
          <w:sz w:val="24"/>
        </w:rPr>
        <w:t> </w:t>
      </w:r>
      <w:r>
        <w:rPr>
          <w:i/>
          <w:sz w:val="24"/>
        </w:rPr>
        <w:t>к увеличению уровня ХС ЛВП на 10–30%, ускорению превращения ХМ в их ремнанты, снижению уровня ХС ЛНП</w:t>
      </w:r>
      <w:r>
        <w:rPr>
          <w:i/>
          <w:spacing w:val="40"/>
          <w:sz w:val="24"/>
        </w:rPr>
        <w:t> </w:t>
      </w:r>
      <w:r>
        <w:rPr>
          <w:i/>
          <w:sz w:val="24"/>
        </w:rPr>
        <w:t>на 25%, уменьшению синтеза ТГ и ЛОНП. Уровень ТГ может снижаться до 50% </w:t>
      </w:r>
      <w:r>
        <w:rPr>
          <w:sz w:val="24"/>
        </w:rPr>
        <w:t>[</w:t>
      </w:r>
      <w:hyperlink w:history="true" w:anchor="_bookmark107">
        <w:r>
          <w:rPr>
            <w:sz w:val="24"/>
          </w:rPr>
          <w:t>62</w:t>
        </w:r>
      </w:hyperlink>
      <w:r>
        <w:rPr>
          <w:sz w:val="24"/>
        </w:rPr>
        <w:t>,</w:t>
      </w:r>
      <w:r>
        <w:rPr>
          <w:spacing w:val="80"/>
          <w:sz w:val="24"/>
        </w:rPr>
        <w:t> </w:t>
      </w:r>
      <w:hyperlink w:history="true" w:anchor="_bookmark108">
        <w:r>
          <w:rPr>
            <w:sz w:val="24"/>
          </w:rPr>
          <w:t>63</w:t>
        </w:r>
      </w:hyperlink>
      <w:r>
        <w:rPr>
          <w:sz w:val="24"/>
        </w:rPr>
        <w:t>]</w:t>
      </w:r>
      <w:r>
        <w:rPr>
          <w:i/>
          <w:sz w:val="24"/>
        </w:rPr>
        <w:t>. Помимо влияния на обмен липидов, фенофибрат** снижает уровень мочевой кислоты в среднем на 25%, фибриногена на 21%, С-реактивного белка на 34% </w:t>
      </w:r>
      <w:r>
        <w:rPr>
          <w:sz w:val="24"/>
        </w:rPr>
        <w:t>[</w:t>
      </w:r>
      <w:hyperlink w:history="true" w:anchor="_bookmark107">
        <w:r>
          <w:rPr>
            <w:sz w:val="24"/>
          </w:rPr>
          <w:t>62</w:t>
        </w:r>
      </w:hyperlink>
      <w:r>
        <w:rPr>
          <w:sz w:val="24"/>
        </w:rPr>
        <w:t>, </w:t>
      </w:r>
      <w:hyperlink w:history="true" w:anchor="_bookmark108">
        <w:r>
          <w:rPr>
            <w:sz w:val="24"/>
          </w:rPr>
          <w:t>63</w:t>
        </w:r>
      </w:hyperlink>
      <w:r>
        <w:rPr>
          <w:sz w:val="24"/>
        </w:rPr>
        <w:t>]</w:t>
      </w:r>
      <w:r>
        <w:rPr>
          <w:i/>
          <w:sz w:val="24"/>
        </w:rPr>
        <w:t>.</w:t>
      </w:r>
    </w:p>
    <w:p>
      <w:pPr>
        <w:spacing w:after="0" w:line="360" w:lineRule="auto"/>
        <w:jc w:val="both"/>
        <w:rPr>
          <w:sz w:val="24"/>
        </w:rPr>
        <w:sectPr>
          <w:pgSz w:w="11910" w:h="16840"/>
          <w:pgMar w:header="0" w:footer="710" w:top="1040" w:bottom="900" w:left="440" w:right="280"/>
        </w:sectPr>
      </w:pPr>
    </w:p>
    <w:p>
      <w:pPr>
        <w:spacing w:line="360" w:lineRule="auto" w:before="73"/>
        <w:ind w:left="1261" w:right="564" w:firstLine="0"/>
        <w:jc w:val="both"/>
        <w:rPr>
          <w:i/>
          <w:sz w:val="24"/>
        </w:rPr>
      </w:pPr>
      <w:r>
        <w:rPr>
          <w:b/>
          <w:i/>
          <w:sz w:val="24"/>
        </w:rPr>
        <w:t>Ингибиторы абсорбции холестерина. </w:t>
      </w:r>
      <w:r>
        <w:rPr>
          <w:i/>
          <w:sz w:val="24"/>
        </w:rPr>
        <w:t>Эзетимиб ингибирует всасывание в кишечнике холестерина, поступающего с пищей и из желчи, не влияя на всасывание других жирорастворимых пищевых веществ. Ингибируя всасывание ХС на уровне ворсинок слизистой тонкого кишечника (путем взаимодействия с белком NPC1L1), эзетимиб снижает количество холестерина, поступающего в печень. В ответ на снижение поступления ХС печень активирует на своей поверхности рецепторы ЛНП, что ведет к увеличению клиренса ХС ЛНП из крови. В клинических исследованиях монотерапия эзетимибом сопровождалась снижением уровня ХС ЛНП на 15–22%. Комбинация эзетимиба с </w:t>
      </w:r>
      <w:r>
        <w:rPr>
          <w:rFonts w:ascii="Calibri" w:hAnsi="Calibri"/>
          <w:i/>
          <w:sz w:val="22"/>
        </w:rPr>
        <w:t>с</w:t>
      </w:r>
      <w:r>
        <w:rPr>
          <w:i/>
          <w:sz w:val="24"/>
        </w:rPr>
        <w:t>татин</w:t>
      </w:r>
      <w:r>
        <w:rPr>
          <w:rFonts w:ascii="Calibri" w:hAnsi="Calibri"/>
          <w:i/>
          <w:sz w:val="22"/>
        </w:rPr>
        <w:t>ами </w:t>
      </w:r>
      <w:r>
        <w:rPr>
          <w:i/>
          <w:sz w:val="24"/>
        </w:rPr>
        <w:t>обеспечивала дополнительное снижение уровня ХС ЛНП на 15- 20%. В исследовании SHARP</w:t>
      </w:r>
      <w:r>
        <w:rPr>
          <w:i/>
          <w:spacing w:val="31"/>
          <w:sz w:val="24"/>
        </w:rPr>
        <w:t> </w:t>
      </w:r>
      <w:r>
        <w:rPr>
          <w:rFonts w:ascii="Calibri" w:hAnsi="Calibri"/>
          <w:sz w:val="24"/>
        </w:rPr>
        <w:t>(</w:t>
      </w:r>
      <w:r>
        <w:rPr>
          <w:i/>
          <w:sz w:val="24"/>
        </w:rPr>
        <w:t>Study of Heart and Renal Protection) у пациентов с ХБП было отмечено снижение частоты развития ССЗ в основной группе, получавшей терапию эзетимибом в сочетании с симвастатином** по сравнению с группой, получавшей плацебо, на 17% </w:t>
      </w:r>
      <w:r>
        <w:rPr>
          <w:sz w:val="24"/>
        </w:rPr>
        <w:t>[</w:t>
      </w:r>
      <w:hyperlink w:history="true" w:anchor="_bookmark109">
        <w:r>
          <w:rPr>
            <w:sz w:val="24"/>
          </w:rPr>
          <w:t>64</w:t>
        </w:r>
      </w:hyperlink>
      <w:r>
        <w:rPr>
          <w:sz w:val="24"/>
        </w:rPr>
        <w:t>]</w:t>
      </w:r>
      <w:r>
        <w:rPr>
          <w:i/>
          <w:sz w:val="24"/>
        </w:rPr>
        <w:t>. Исследование IMPROVE-IT (Improved Reduction of Outcomes: Vytorin Efficacy International Trial)</w:t>
      </w:r>
      <w:r>
        <w:rPr>
          <w:i/>
          <w:spacing w:val="-2"/>
          <w:sz w:val="24"/>
        </w:rPr>
        <w:t> </w:t>
      </w:r>
      <w:r>
        <w:rPr>
          <w:i/>
          <w:sz w:val="24"/>
        </w:rPr>
        <w:t>— самое крупное и продолжительное рандомизированное клиническое исследование по применению эзетимиба, включившее 18144 больных, госпитализированных по поводу острого коронарного синдрома </w:t>
      </w:r>
      <w:r>
        <w:rPr>
          <w:sz w:val="24"/>
        </w:rPr>
        <w:t>[</w:t>
      </w:r>
      <w:hyperlink w:history="true" w:anchor="_bookmark83">
        <w:r>
          <w:rPr>
            <w:sz w:val="24"/>
          </w:rPr>
          <w:t>38</w:t>
        </w:r>
      </w:hyperlink>
      <w:r>
        <w:rPr>
          <w:sz w:val="24"/>
        </w:rPr>
        <w:t>]</w:t>
      </w:r>
      <w:r>
        <w:rPr>
          <w:i/>
          <w:sz w:val="24"/>
        </w:rPr>
        <w:t>. На момент включения больные не получали эзетимиба или максимальной дозы любого </w:t>
      </w:r>
      <w:r>
        <w:rPr>
          <w:rFonts w:ascii="Calibri" w:hAnsi="Calibri"/>
          <w:i/>
          <w:sz w:val="22"/>
        </w:rPr>
        <w:t>с</w:t>
      </w:r>
      <w:r>
        <w:rPr>
          <w:i/>
          <w:sz w:val="24"/>
        </w:rPr>
        <w:t>татин</w:t>
      </w:r>
      <w:r>
        <w:rPr>
          <w:rFonts w:ascii="Calibri" w:hAnsi="Calibri"/>
          <w:i/>
          <w:sz w:val="22"/>
        </w:rPr>
        <w:t>а</w:t>
      </w:r>
      <w:r>
        <w:rPr>
          <w:i/>
          <w:sz w:val="24"/>
        </w:rPr>
        <w:t>, но должны были иметь относительно невысокий уровень ХС ЛНП (1,3-3,2 ммоль/л или 50- 125 мг/дл). Период наблюдения за больными достигал 7 лет. Через 1 год наблюдения средний уровень ХС ЛНП в группе эзетимиба составил 1,4 ммоль/л (54 мг/дл), что на 0,4 ммоль/л (14 мг/дл) меньше, чем в группе симвастатина**. В группе комбинированного лечения было продемонстрировано значимое снижение суммарного количества смертельных исходов вследствие сердечно-сосудистых причин, ИМ, госпитализации по поводу нестабильной стенокардии, коронарной реваскуляризации и инсульта на 6,4% (относительный риск (ОР)=0,936; 95% доверительный интервал (ДИ)=0,89–0,99, р=0,016), снижение</w:t>
      </w:r>
      <w:r>
        <w:rPr>
          <w:i/>
          <w:spacing w:val="-1"/>
          <w:sz w:val="24"/>
        </w:rPr>
        <w:t> </w:t>
      </w:r>
      <w:r>
        <w:rPr>
          <w:i/>
          <w:sz w:val="24"/>
        </w:rPr>
        <w:t>абсолютного риска — на 2,0% </w:t>
      </w:r>
      <w:r>
        <w:rPr>
          <w:sz w:val="24"/>
        </w:rPr>
        <w:t>[</w:t>
      </w:r>
      <w:hyperlink w:history="true" w:anchor="_bookmark83">
        <w:r>
          <w:rPr>
            <w:sz w:val="24"/>
          </w:rPr>
          <w:t>38</w:t>
        </w:r>
      </w:hyperlink>
      <w:r>
        <w:rPr>
          <w:sz w:val="24"/>
        </w:rPr>
        <w:t>]</w:t>
      </w:r>
      <w:r>
        <w:rPr>
          <w:i/>
          <w:sz w:val="24"/>
        </w:rPr>
        <w:t>. Таким образом, эзетимиб может быть использован в качестве средства второй линии в комбинации со </w:t>
      </w:r>
      <w:r>
        <w:rPr>
          <w:rFonts w:ascii="Calibri" w:hAnsi="Calibri"/>
          <w:i/>
          <w:sz w:val="22"/>
        </w:rPr>
        <w:t>с</w:t>
      </w:r>
      <w:r>
        <w:rPr>
          <w:i/>
          <w:sz w:val="24"/>
        </w:rPr>
        <w:t>татин</w:t>
      </w:r>
      <w:r>
        <w:rPr>
          <w:rFonts w:ascii="Calibri" w:hAnsi="Calibri"/>
          <w:i/>
          <w:sz w:val="22"/>
        </w:rPr>
        <w:t>ами</w:t>
      </w:r>
      <w:r>
        <w:rPr>
          <w:i/>
          <w:sz w:val="24"/>
        </w:rPr>
        <w:t>, когда монотерапия </w:t>
      </w:r>
      <w:r>
        <w:rPr>
          <w:rFonts w:ascii="Calibri" w:hAnsi="Calibri"/>
          <w:i/>
          <w:sz w:val="22"/>
        </w:rPr>
        <w:t>с</w:t>
      </w:r>
      <w:r>
        <w:rPr>
          <w:i/>
          <w:sz w:val="24"/>
        </w:rPr>
        <w:t>татин</w:t>
      </w:r>
      <w:r>
        <w:rPr>
          <w:rFonts w:ascii="Calibri" w:hAnsi="Calibri"/>
          <w:i/>
          <w:sz w:val="22"/>
        </w:rPr>
        <w:t>ами </w:t>
      </w:r>
      <w:r>
        <w:rPr>
          <w:i/>
          <w:sz w:val="24"/>
        </w:rPr>
        <w:t>не</w:t>
      </w:r>
      <w:r>
        <w:rPr>
          <w:i/>
          <w:spacing w:val="-2"/>
          <w:sz w:val="24"/>
        </w:rPr>
        <w:t> </w:t>
      </w:r>
      <w:r>
        <w:rPr>
          <w:i/>
          <w:sz w:val="24"/>
        </w:rPr>
        <w:t>позволяет</w:t>
      </w:r>
      <w:r>
        <w:rPr>
          <w:i/>
          <w:spacing w:val="-2"/>
          <w:sz w:val="24"/>
        </w:rPr>
        <w:t> </w:t>
      </w:r>
      <w:r>
        <w:rPr>
          <w:i/>
          <w:sz w:val="24"/>
        </w:rPr>
        <w:t>достичь целевого</w:t>
      </w:r>
      <w:r>
        <w:rPr>
          <w:i/>
          <w:spacing w:val="-1"/>
          <w:sz w:val="24"/>
        </w:rPr>
        <w:t> </w:t>
      </w:r>
      <w:r>
        <w:rPr>
          <w:i/>
          <w:sz w:val="24"/>
        </w:rPr>
        <w:t>уровня даже</w:t>
      </w:r>
      <w:r>
        <w:rPr>
          <w:i/>
          <w:spacing w:val="-2"/>
          <w:sz w:val="24"/>
        </w:rPr>
        <w:t> </w:t>
      </w:r>
      <w:r>
        <w:rPr>
          <w:i/>
          <w:sz w:val="24"/>
        </w:rPr>
        <w:t>при</w:t>
      </w:r>
      <w:r>
        <w:rPr>
          <w:i/>
          <w:spacing w:val="-1"/>
          <w:sz w:val="24"/>
        </w:rPr>
        <w:t> </w:t>
      </w:r>
      <w:r>
        <w:rPr>
          <w:i/>
          <w:sz w:val="24"/>
        </w:rPr>
        <w:t>их</w:t>
      </w:r>
      <w:r>
        <w:rPr>
          <w:i/>
          <w:spacing w:val="-2"/>
          <w:sz w:val="24"/>
        </w:rPr>
        <w:t> </w:t>
      </w:r>
      <w:r>
        <w:rPr>
          <w:i/>
          <w:sz w:val="24"/>
        </w:rPr>
        <w:t>назначении</w:t>
      </w:r>
      <w:r>
        <w:rPr>
          <w:i/>
          <w:spacing w:val="-1"/>
          <w:sz w:val="24"/>
        </w:rPr>
        <w:t> </w:t>
      </w:r>
      <w:r>
        <w:rPr>
          <w:i/>
          <w:sz w:val="24"/>
        </w:rPr>
        <w:t>в максимальных дозах, а также при непереносимости </w:t>
      </w:r>
      <w:r>
        <w:rPr>
          <w:rFonts w:ascii="Calibri" w:hAnsi="Calibri"/>
          <w:i/>
          <w:sz w:val="22"/>
        </w:rPr>
        <w:t>с</w:t>
      </w:r>
      <w:r>
        <w:rPr>
          <w:i/>
          <w:sz w:val="24"/>
        </w:rPr>
        <w:t>татинов или наличии противопоказаний к их применению.</w:t>
      </w:r>
    </w:p>
    <w:p>
      <w:pPr>
        <w:spacing w:line="360" w:lineRule="auto" w:before="202"/>
        <w:ind w:left="1261" w:right="565" w:firstLine="0"/>
        <w:jc w:val="both"/>
        <w:rPr>
          <w:i/>
          <w:sz w:val="24"/>
        </w:rPr>
      </w:pPr>
      <w:r>
        <w:rPr>
          <w:b/>
          <w:i/>
          <w:sz w:val="24"/>
        </w:rPr>
        <w:t>Ингибиторы пропротеиновой конвертазы субтилизин-кексина типа 9 (PCSK9) Алирокумаб ** и эволокумаб ** (по АТХ — C10AX Другие гиполипидемические средства) </w:t>
      </w:r>
      <w:r>
        <w:rPr>
          <w:i/>
          <w:sz w:val="24"/>
        </w:rPr>
        <w:t>являются ингибиторами (моноклональными антителами к) PCSK9 — белка, контролирующего</w:t>
      </w:r>
      <w:r>
        <w:rPr>
          <w:i/>
          <w:spacing w:val="57"/>
          <w:sz w:val="24"/>
        </w:rPr>
        <w:t> </w:t>
      </w:r>
      <w:r>
        <w:rPr>
          <w:i/>
          <w:sz w:val="24"/>
        </w:rPr>
        <w:t>экспрессию</w:t>
      </w:r>
      <w:r>
        <w:rPr>
          <w:i/>
          <w:spacing w:val="61"/>
          <w:sz w:val="24"/>
        </w:rPr>
        <w:t> </w:t>
      </w:r>
      <w:r>
        <w:rPr>
          <w:i/>
          <w:sz w:val="24"/>
        </w:rPr>
        <w:t>рецепторов</w:t>
      </w:r>
      <w:r>
        <w:rPr>
          <w:i/>
          <w:spacing w:val="59"/>
          <w:sz w:val="24"/>
        </w:rPr>
        <w:t> </w:t>
      </w:r>
      <w:r>
        <w:rPr>
          <w:i/>
          <w:sz w:val="24"/>
        </w:rPr>
        <w:t>к</w:t>
      </w:r>
      <w:r>
        <w:rPr>
          <w:i/>
          <w:spacing w:val="58"/>
          <w:sz w:val="24"/>
        </w:rPr>
        <w:t> </w:t>
      </w:r>
      <w:r>
        <w:rPr>
          <w:i/>
          <w:sz w:val="24"/>
        </w:rPr>
        <w:t>ХС</w:t>
      </w:r>
      <w:r>
        <w:rPr>
          <w:i/>
          <w:spacing w:val="60"/>
          <w:sz w:val="24"/>
        </w:rPr>
        <w:t> </w:t>
      </w:r>
      <w:r>
        <w:rPr>
          <w:i/>
          <w:sz w:val="24"/>
        </w:rPr>
        <w:t>ЛНП</w:t>
      </w:r>
      <w:r>
        <w:rPr>
          <w:i/>
          <w:spacing w:val="59"/>
          <w:sz w:val="24"/>
        </w:rPr>
        <w:t> </w:t>
      </w:r>
      <w:r>
        <w:rPr>
          <w:i/>
          <w:sz w:val="24"/>
        </w:rPr>
        <w:t>гепатоцитов</w:t>
      </w:r>
      <w:r>
        <w:rPr>
          <w:i/>
          <w:spacing w:val="59"/>
          <w:sz w:val="24"/>
        </w:rPr>
        <w:t> </w:t>
      </w:r>
      <w:r>
        <w:rPr>
          <w:sz w:val="24"/>
        </w:rPr>
        <w:t>[</w:t>
      </w:r>
      <w:hyperlink w:history="true" w:anchor="_bookmark110">
        <w:r>
          <w:rPr>
            <w:sz w:val="24"/>
          </w:rPr>
          <w:t>65</w:t>
        </w:r>
      </w:hyperlink>
      <w:r>
        <w:rPr>
          <w:sz w:val="24"/>
        </w:rPr>
        <w:t>]</w:t>
      </w:r>
      <w:r>
        <w:rPr>
          <w:i/>
          <w:sz w:val="24"/>
        </w:rPr>
        <w:t>.</w:t>
      </w:r>
      <w:r>
        <w:rPr>
          <w:i/>
          <w:spacing w:val="60"/>
          <w:sz w:val="24"/>
        </w:rPr>
        <w:t> </w:t>
      </w:r>
      <w:r>
        <w:rPr>
          <w:i/>
          <w:spacing w:val="-2"/>
          <w:sz w:val="24"/>
        </w:rPr>
        <w:t>Повышенные</w:t>
      </w:r>
    </w:p>
    <w:p>
      <w:pPr>
        <w:spacing w:after="0" w:line="360" w:lineRule="auto"/>
        <w:jc w:val="both"/>
        <w:rPr>
          <w:sz w:val="24"/>
        </w:rPr>
        <w:sectPr>
          <w:pgSz w:w="11910" w:h="16840"/>
          <w:pgMar w:header="0" w:footer="710" w:top="1040" w:bottom="900" w:left="440" w:right="280"/>
        </w:sectPr>
      </w:pPr>
    </w:p>
    <w:p>
      <w:pPr>
        <w:spacing w:line="360" w:lineRule="auto" w:before="73"/>
        <w:ind w:left="1261" w:right="566" w:firstLine="0"/>
        <w:jc w:val="both"/>
        <w:rPr>
          <w:i/>
          <w:sz w:val="24"/>
        </w:rPr>
      </w:pPr>
      <w:r>
        <w:rPr>
          <w:i/>
          <w:sz w:val="24"/>
        </w:rPr>
        <w:t>уровень/функция PCSK9 снижают экспрессию рецепторов ЛНП и увеличивают концентрацию ХС ЛНП в плазме, в то время как снижение уровня/функции PCSK9 вызывает снижение ХС ЛНП в плазме крови </w:t>
      </w:r>
      <w:r>
        <w:rPr>
          <w:sz w:val="24"/>
        </w:rPr>
        <w:t>[</w:t>
      </w:r>
      <w:hyperlink w:history="true" w:anchor="_bookmark111">
        <w:r>
          <w:rPr>
            <w:sz w:val="24"/>
          </w:rPr>
          <w:t>66</w:t>
        </w:r>
      </w:hyperlink>
      <w:r>
        <w:rPr>
          <w:sz w:val="24"/>
        </w:rPr>
        <w:t>]</w:t>
      </w:r>
      <w:r>
        <w:rPr>
          <w:i/>
          <w:sz w:val="24"/>
        </w:rPr>
        <w:t>. Алирокумаб** в дозировках 75 и 150 мг</w:t>
      </w:r>
      <w:r>
        <w:rPr>
          <w:i/>
          <w:spacing w:val="40"/>
          <w:sz w:val="24"/>
        </w:rPr>
        <w:t> </w:t>
      </w:r>
      <w:r>
        <w:rPr>
          <w:i/>
          <w:sz w:val="24"/>
        </w:rPr>
        <w:t>и эволокумаб** в дозировке 140 мг подкожно с частотой введения 1 раз в 2 недели в клинических исследованиях показали возможность снижения уровня ХС ЛНП на 60% и риска сердечно-сосудистых осложнений на 15% у больных с АССЗ в комбинации с умеренной и высокоинтенсивной терапией </w:t>
      </w:r>
      <w:r>
        <w:rPr>
          <w:rFonts w:ascii="Calibri" w:hAnsi="Calibri"/>
          <w:i/>
          <w:sz w:val="22"/>
        </w:rPr>
        <w:t>с</w:t>
      </w:r>
      <w:r>
        <w:rPr>
          <w:i/>
          <w:sz w:val="24"/>
        </w:rPr>
        <w:t>татин</w:t>
      </w:r>
      <w:r>
        <w:rPr>
          <w:rFonts w:ascii="Calibri" w:hAnsi="Calibri"/>
          <w:i/>
          <w:sz w:val="22"/>
        </w:rPr>
        <w:t>ами</w:t>
      </w:r>
      <w:r>
        <w:rPr>
          <w:i/>
          <w:sz w:val="24"/>
        </w:rPr>
        <w:t>. Исследование FOURIER (Further cardiovascular OUtcomes Research with PCSK9 Inhibition in subjects with Elevated Risk) включило 27564 пациентов с атеросклеротическим поражением различных сосудистых бассейнов: 22040 пациентов (81%) в прошлом перенесли ИМ (из них 5500 в сроки от 4 недель до 1 года перед включением в исследование), у 5330 (19%) в анамнезе был негеморрагический инсульт и у 3640 (13%) — периферический атеросклероз. Пациенты находились на адекватной гиполипидемической терапии: 69,2% получали </w:t>
      </w:r>
      <w:r>
        <w:rPr>
          <w:rFonts w:ascii="Calibri" w:hAnsi="Calibri"/>
          <w:i/>
          <w:sz w:val="22"/>
        </w:rPr>
        <w:t>с</w:t>
      </w:r>
      <w:r>
        <w:rPr>
          <w:i/>
          <w:sz w:val="24"/>
        </w:rPr>
        <w:t>татины в режиме высокой интенсивности и 30,4% — умеренной интенсивности, у 5,1% дополнительно к </w:t>
      </w:r>
      <w:r>
        <w:rPr>
          <w:rFonts w:ascii="Calibri" w:hAnsi="Calibri"/>
          <w:i/>
          <w:sz w:val="22"/>
        </w:rPr>
        <w:t>с</w:t>
      </w:r>
      <w:r>
        <w:rPr>
          <w:i/>
          <w:sz w:val="24"/>
        </w:rPr>
        <w:t>татин</w:t>
      </w:r>
      <w:r>
        <w:rPr>
          <w:rFonts w:ascii="Calibri" w:hAnsi="Calibri"/>
          <w:i/>
          <w:sz w:val="22"/>
        </w:rPr>
        <w:t>у</w:t>
      </w:r>
      <w:r>
        <w:rPr>
          <w:rFonts w:ascii="Calibri" w:hAnsi="Calibri"/>
          <w:i/>
          <w:spacing w:val="40"/>
          <w:sz w:val="22"/>
        </w:rPr>
        <w:t> </w:t>
      </w:r>
      <w:r>
        <w:rPr>
          <w:i/>
          <w:sz w:val="24"/>
        </w:rPr>
        <w:t>назначали эзетимиб. Участники, рандомизированные в группу активного лечения, получали эволокумаб** подкожно в дозе 140 мг 1 раз в 2 недели или 420 мг в месяц, тогда как пациентам в группе контроля на протяжении исследования подкожно вводили плацебо </w:t>
      </w:r>
      <w:r>
        <w:rPr>
          <w:sz w:val="24"/>
        </w:rPr>
        <w:t>[</w:t>
      </w:r>
      <w:hyperlink w:history="true" w:anchor="_bookmark85">
        <w:r>
          <w:rPr>
            <w:sz w:val="24"/>
          </w:rPr>
          <w:t>40</w:t>
        </w:r>
      </w:hyperlink>
      <w:r>
        <w:rPr>
          <w:sz w:val="24"/>
        </w:rPr>
        <w:t>]</w:t>
      </w:r>
      <w:r>
        <w:rPr>
          <w:i/>
          <w:sz w:val="24"/>
        </w:rPr>
        <w:t>. Медиана наблюдения в исследовании составила 2,2 года. Была подтверждена высокая гиполипидемическая эффективность эволокумаба**: уровень ХС ЛНП снизился на 59% с 2,40 ммоль/л до 0,78 ммоль/л. Впервые было продемонстрировано положительное влияние терапии эволокумабом** на сердечно- сосудистые исходы: частота событий, оцениваемых по первичной конечной точке, в группе эволокумаба** была ниже на 15% (ОР=0,85, 95% ДИ=0,79-0,92, p &lt;0,001), а по вторичной точке — ниже на 20% (ОР=0,80, 95% ДИ=0,73–0,88, p &lt;0,001), чем в группе плацебо. Чуть позднее были представлены результаты дополнительного, заранее спланированного анализа, целью которого было определение связи между границами и степенью снижения уровня ХС ЛНП и частоты ССО </w:t>
      </w:r>
      <w:r>
        <w:rPr>
          <w:sz w:val="24"/>
        </w:rPr>
        <w:t>[</w:t>
      </w:r>
      <w:hyperlink w:history="true" w:anchor="_bookmark112">
        <w:r>
          <w:rPr>
            <w:sz w:val="24"/>
          </w:rPr>
          <w:t>67</w:t>
        </w:r>
      </w:hyperlink>
      <w:r>
        <w:rPr>
          <w:sz w:val="24"/>
        </w:rPr>
        <w:t>]</w:t>
      </w:r>
      <w:r>
        <w:rPr>
          <w:i/>
          <w:sz w:val="24"/>
        </w:rPr>
        <w:t>. В этот анализ были включены 25982 человека (94% от общего количества рандомизированных, 13013 — на эволокумабе**, 12969 — плацебо). Их ранжировали по уровню достигнутого к 4-й неделе лечения ХС ЛНП на 5 подгрупп: &lt;0,5 ммоль/л (n=2669), 0,5–1,3 ммоль/л (n=8003), 1,4–1,8 ммоль/л (n=3444), 1,9–2,6 ммоль/л (n=7471), &gt;2,6 ммоль/л (n=4395). Было отмечено, что при снижении ХС ЛНП вплоть до 0,2 ммоль/л (7,7 мг/дл) уменьшается частота ССО без увеличения риска нежелательных явлений. Однако статистически значимое снижение частоты событий из первичной и вторичной конечных точек было показано только в первых</w:t>
      </w:r>
      <w:r>
        <w:rPr>
          <w:i/>
          <w:spacing w:val="14"/>
          <w:sz w:val="24"/>
        </w:rPr>
        <w:t> </w:t>
      </w:r>
      <w:r>
        <w:rPr>
          <w:i/>
          <w:sz w:val="24"/>
        </w:rPr>
        <w:t>двух</w:t>
      </w:r>
      <w:r>
        <w:rPr>
          <w:i/>
          <w:spacing w:val="17"/>
          <w:sz w:val="24"/>
        </w:rPr>
        <w:t> </w:t>
      </w:r>
      <w:r>
        <w:rPr>
          <w:i/>
          <w:sz w:val="24"/>
        </w:rPr>
        <w:t>подгруппах</w:t>
      </w:r>
      <w:r>
        <w:rPr>
          <w:i/>
          <w:spacing w:val="17"/>
          <w:sz w:val="24"/>
        </w:rPr>
        <w:t> </w:t>
      </w:r>
      <w:r>
        <w:rPr>
          <w:i/>
          <w:sz w:val="24"/>
        </w:rPr>
        <w:t>низких</w:t>
      </w:r>
      <w:r>
        <w:rPr>
          <w:i/>
          <w:spacing w:val="17"/>
          <w:sz w:val="24"/>
        </w:rPr>
        <w:t> </w:t>
      </w:r>
      <w:r>
        <w:rPr>
          <w:i/>
          <w:sz w:val="24"/>
        </w:rPr>
        <w:t>значений</w:t>
      </w:r>
      <w:r>
        <w:rPr>
          <w:i/>
          <w:spacing w:val="18"/>
          <w:sz w:val="24"/>
        </w:rPr>
        <w:t> </w:t>
      </w:r>
      <w:r>
        <w:rPr>
          <w:i/>
          <w:sz w:val="24"/>
        </w:rPr>
        <w:t>ХС</w:t>
      </w:r>
      <w:r>
        <w:rPr>
          <w:i/>
          <w:spacing w:val="16"/>
          <w:sz w:val="24"/>
        </w:rPr>
        <w:t> </w:t>
      </w:r>
      <w:r>
        <w:rPr>
          <w:i/>
          <w:sz w:val="24"/>
        </w:rPr>
        <w:t>ЛНП,</w:t>
      </w:r>
      <w:r>
        <w:rPr>
          <w:i/>
          <w:spacing w:val="18"/>
          <w:sz w:val="24"/>
        </w:rPr>
        <w:t> </w:t>
      </w:r>
      <w:r>
        <w:rPr>
          <w:i/>
          <w:sz w:val="24"/>
        </w:rPr>
        <w:t>т.е.</w:t>
      </w:r>
      <w:r>
        <w:rPr>
          <w:i/>
          <w:spacing w:val="18"/>
          <w:sz w:val="24"/>
        </w:rPr>
        <w:t> </w:t>
      </w:r>
      <w:r>
        <w:rPr>
          <w:i/>
          <w:sz w:val="24"/>
        </w:rPr>
        <w:t>менее</w:t>
      </w:r>
      <w:r>
        <w:rPr>
          <w:i/>
          <w:spacing w:val="17"/>
          <w:sz w:val="24"/>
        </w:rPr>
        <w:t> </w:t>
      </w:r>
      <w:r>
        <w:rPr>
          <w:i/>
          <w:sz w:val="24"/>
        </w:rPr>
        <w:t>0,5</w:t>
      </w:r>
      <w:r>
        <w:rPr>
          <w:i/>
          <w:spacing w:val="18"/>
          <w:sz w:val="24"/>
        </w:rPr>
        <w:t> </w:t>
      </w:r>
      <w:r>
        <w:rPr>
          <w:i/>
          <w:sz w:val="24"/>
        </w:rPr>
        <w:t>и</w:t>
      </w:r>
      <w:r>
        <w:rPr>
          <w:i/>
          <w:spacing w:val="20"/>
          <w:sz w:val="24"/>
        </w:rPr>
        <w:t> </w:t>
      </w:r>
      <w:r>
        <w:rPr>
          <w:i/>
          <w:sz w:val="24"/>
        </w:rPr>
        <w:t>1,3</w:t>
      </w:r>
      <w:r>
        <w:rPr>
          <w:i/>
          <w:spacing w:val="18"/>
          <w:sz w:val="24"/>
        </w:rPr>
        <w:t> </w:t>
      </w:r>
      <w:r>
        <w:rPr>
          <w:i/>
          <w:sz w:val="24"/>
        </w:rPr>
        <w:t>ммоль/л:</w:t>
      </w:r>
      <w:r>
        <w:rPr>
          <w:i/>
          <w:spacing w:val="17"/>
          <w:sz w:val="24"/>
        </w:rPr>
        <w:t> </w:t>
      </w:r>
      <w:r>
        <w:rPr>
          <w:i/>
          <w:sz w:val="24"/>
        </w:rPr>
        <w:t>на</w:t>
      </w:r>
      <w:r>
        <w:rPr>
          <w:i/>
          <w:spacing w:val="18"/>
          <w:sz w:val="24"/>
        </w:rPr>
        <w:t> </w:t>
      </w:r>
      <w:r>
        <w:rPr>
          <w:i/>
          <w:sz w:val="24"/>
        </w:rPr>
        <w:t>24%</w:t>
      </w:r>
      <w:r>
        <w:rPr>
          <w:i/>
          <w:spacing w:val="17"/>
          <w:sz w:val="24"/>
        </w:rPr>
        <w:t> </w:t>
      </w:r>
      <w:r>
        <w:rPr>
          <w:i/>
          <w:spacing w:val="-10"/>
          <w:sz w:val="24"/>
        </w:rPr>
        <w:t>и</w:t>
      </w:r>
    </w:p>
    <w:p>
      <w:pPr>
        <w:spacing w:after="0" w:line="360" w:lineRule="auto"/>
        <w:jc w:val="both"/>
        <w:rPr>
          <w:sz w:val="24"/>
        </w:rPr>
        <w:sectPr>
          <w:pgSz w:w="11910" w:h="16840"/>
          <w:pgMar w:header="0" w:footer="710" w:top="1040" w:bottom="900" w:left="440" w:right="280"/>
        </w:sectPr>
      </w:pPr>
    </w:p>
    <w:p>
      <w:pPr>
        <w:spacing w:line="360" w:lineRule="auto" w:before="73"/>
        <w:ind w:left="1261" w:right="567" w:firstLine="0"/>
        <w:jc w:val="both"/>
        <w:rPr>
          <w:i/>
          <w:sz w:val="24"/>
        </w:rPr>
      </w:pPr>
      <w:r>
        <w:rPr>
          <w:i/>
          <w:sz w:val="24"/>
        </w:rPr>
        <w:t>15% [ОР=0,76 (0,64–0,90) и 0,85 (0,76–0,96)] для первичной точки и на 31% и 25% [0,69 (0,56–0,85)] и [0,75 (0,64–0,86)] для вторичной точки, соответственно. В связи с этими данными авторы отметили целесообразность пересмотра целевого уровня ХС ЛНП в современных рекомендациях для лиц очень высокого сердечно-сосудистого риска. Исследование ODYSSEY OUTCOMES (Evaluation of Cardiovascular Outcomes After an Acute Coronary Syndrome During Treatment With Alirocumab) с участием 18</w:t>
      </w:r>
      <w:r>
        <w:rPr>
          <w:i/>
          <w:spacing w:val="-2"/>
          <w:sz w:val="24"/>
        </w:rPr>
        <w:t> </w:t>
      </w:r>
      <w:r>
        <w:rPr>
          <w:i/>
          <w:sz w:val="24"/>
        </w:rPr>
        <w:t>924 пациентов с перенесенным 1–12 месяцев назад ОКС продемонстрировало, что алирокумаб** статистически значимо снижает риск крупных сердечно-сосудистых событий. Они отмечались у 903 пациентов (9,5%) в группе терапии препаратом алирокумаб** и у 1052 пациентов (11,1%) в группе плацебо, что соответствует снижению относительного риска</w:t>
      </w:r>
      <w:r>
        <w:rPr>
          <w:i/>
          <w:spacing w:val="18"/>
          <w:sz w:val="24"/>
        </w:rPr>
        <w:t> </w:t>
      </w:r>
      <w:r>
        <w:rPr>
          <w:i/>
          <w:sz w:val="24"/>
        </w:rPr>
        <w:t>на</w:t>
      </w:r>
      <w:r>
        <w:rPr>
          <w:i/>
          <w:spacing w:val="21"/>
          <w:sz w:val="24"/>
        </w:rPr>
        <w:t> </w:t>
      </w:r>
      <w:r>
        <w:rPr>
          <w:i/>
          <w:sz w:val="24"/>
        </w:rPr>
        <w:t>15%</w:t>
      </w:r>
      <w:r>
        <w:rPr>
          <w:i/>
          <w:spacing w:val="23"/>
          <w:sz w:val="24"/>
        </w:rPr>
        <w:t> </w:t>
      </w:r>
      <w:r>
        <w:rPr>
          <w:i/>
          <w:sz w:val="24"/>
        </w:rPr>
        <w:t>(ОР</w:t>
      </w:r>
      <w:r>
        <w:rPr>
          <w:i/>
          <w:spacing w:val="21"/>
          <w:sz w:val="24"/>
        </w:rPr>
        <w:t> </w:t>
      </w:r>
      <w:r>
        <w:rPr>
          <w:i/>
          <w:sz w:val="24"/>
        </w:rPr>
        <w:t>0,85;</w:t>
      </w:r>
      <w:r>
        <w:rPr>
          <w:i/>
          <w:spacing w:val="20"/>
          <w:sz w:val="24"/>
        </w:rPr>
        <w:t> </w:t>
      </w:r>
      <w:r>
        <w:rPr>
          <w:i/>
          <w:sz w:val="24"/>
        </w:rPr>
        <w:t>95%</w:t>
      </w:r>
      <w:r>
        <w:rPr>
          <w:i/>
          <w:spacing w:val="23"/>
          <w:sz w:val="24"/>
        </w:rPr>
        <w:t> </w:t>
      </w:r>
      <w:r>
        <w:rPr>
          <w:i/>
          <w:sz w:val="24"/>
        </w:rPr>
        <w:t>ДИ,</w:t>
      </w:r>
      <w:r>
        <w:rPr>
          <w:i/>
          <w:spacing w:val="20"/>
          <w:sz w:val="24"/>
        </w:rPr>
        <w:t> </w:t>
      </w:r>
      <w:r>
        <w:rPr>
          <w:i/>
          <w:sz w:val="24"/>
        </w:rPr>
        <w:t>0,78–0,93;</w:t>
      </w:r>
      <w:r>
        <w:rPr>
          <w:i/>
          <w:spacing w:val="20"/>
          <w:sz w:val="24"/>
        </w:rPr>
        <w:t> </w:t>
      </w:r>
      <w:r>
        <w:rPr>
          <w:i/>
          <w:sz w:val="24"/>
        </w:rPr>
        <w:t>p&lt;0,001).</w:t>
      </w:r>
      <w:r>
        <w:rPr>
          <w:i/>
          <w:spacing w:val="21"/>
          <w:sz w:val="24"/>
        </w:rPr>
        <w:t> </w:t>
      </w:r>
      <w:r>
        <w:rPr>
          <w:i/>
          <w:sz w:val="24"/>
        </w:rPr>
        <w:t>Кроме</w:t>
      </w:r>
      <w:r>
        <w:rPr>
          <w:i/>
          <w:spacing w:val="20"/>
          <w:sz w:val="24"/>
        </w:rPr>
        <w:t> </w:t>
      </w:r>
      <w:r>
        <w:rPr>
          <w:i/>
          <w:sz w:val="24"/>
        </w:rPr>
        <w:t>того,</w:t>
      </w:r>
      <w:r>
        <w:rPr>
          <w:i/>
          <w:spacing w:val="24"/>
          <w:sz w:val="24"/>
        </w:rPr>
        <w:t> </w:t>
      </w:r>
      <w:r>
        <w:rPr>
          <w:i/>
          <w:sz w:val="24"/>
        </w:rPr>
        <w:t>на</w:t>
      </w:r>
      <w:r>
        <w:rPr>
          <w:i/>
          <w:spacing w:val="21"/>
          <w:sz w:val="24"/>
        </w:rPr>
        <w:t> </w:t>
      </w:r>
      <w:r>
        <w:rPr>
          <w:i/>
          <w:sz w:val="24"/>
        </w:rPr>
        <w:t>фоне</w:t>
      </w:r>
      <w:r>
        <w:rPr>
          <w:i/>
          <w:spacing w:val="20"/>
          <w:sz w:val="24"/>
        </w:rPr>
        <w:t> </w:t>
      </w:r>
      <w:r>
        <w:rPr>
          <w:i/>
          <w:spacing w:val="-2"/>
          <w:sz w:val="24"/>
        </w:rPr>
        <w:t>алирокумаба</w:t>
      </w:r>
    </w:p>
    <w:p>
      <w:pPr>
        <w:spacing w:line="360" w:lineRule="auto" w:before="2"/>
        <w:ind w:left="1261" w:right="567" w:firstLine="0"/>
        <w:jc w:val="both"/>
        <w:rPr>
          <w:i/>
          <w:sz w:val="24"/>
        </w:rPr>
      </w:pPr>
      <w:r>
        <w:rPr>
          <w:i/>
          <w:sz w:val="24"/>
        </w:rPr>
        <w:t>** снижался риск смерти от всех причин на 15%. У</w:t>
      </w:r>
      <w:r>
        <w:rPr>
          <w:i/>
          <w:spacing w:val="-2"/>
          <w:sz w:val="24"/>
        </w:rPr>
        <w:t> </w:t>
      </w:r>
      <w:r>
        <w:rPr>
          <w:i/>
          <w:sz w:val="24"/>
        </w:rPr>
        <w:t>пациентов с исходно более высоким уровнем ХС ЛНП (≥100 мг/дл/2,6 ммоль/л) при применении алирокумаба ** отмечалось более выраженное снижение риска сердечно-сосудистых событий на 24% ниже (ОР</w:t>
      </w:r>
      <w:r>
        <w:rPr>
          <w:i/>
          <w:spacing w:val="80"/>
          <w:sz w:val="24"/>
        </w:rPr>
        <w:t> </w:t>
      </w:r>
      <w:r>
        <w:rPr>
          <w:i/>
          <w:sz w:val="24"/>
        </w:rPr>
        <w:t>0,76;</w:t>
      </w:r>
      <w:r>
        <w:rPr>
          <w:i/>
          <w:spacing w:val="27"/>
          <w:sz w:val="24"/>
        </w:rPr>
        <w:t> </w:t>
      </w:r>
      <w:r>
        <w:rPr>
          <w:i/>
          <w:sz w:val="24"/>
        </w:rPr>
        <w:t>95%</w:t>
      </w:r>
      <w:r>
        <w:rPr>
          <w:i/>
          <w:spacing w:val="29"/>
          <w:sz w:val="24"/>
        </w:rPr>
        <w:t> </w:t>
      </w:r>
      <w:r>
        <w:rPr>
          <w:i/>
          <w:sz w:val="24"/>
        </w:rPr>
        <w:t>ДИ,</w:t>
      </w:r>
      <w:r>
        <w:rPr>
          <w:i/>
          <w:spacing w:val="28"/>
          <w:sz w:val="24"/>
        </w:rPr>
        <w:t> </w:t>
      </w:r>
      <w:r>
        <w:rPr>
          <w:i/>
          <w:sz w:val="24"/>
        </w:rPr>
        <w:t>0,65–0,87),</w:t>
      </w:r>
      <w:r>
        <w:rPr>
          <w:i/>
          <w:spacing w:val="27"/>
          <w:sz w:val="24"/>
        </w:rPr>
        <w:t> </w:t>
      </w:r>
      <w:r>
        <w:rPr>
          <w:i/>
          <w:sz w:val="24"/>
        </w:rPr>
        <w:t>а</w:t>
      </w:r>
      <w:r>
        <w:rPr>
          <w:i/>
          <w:spacing w:val="30"/>
          <w:sz w:val="24"/>
        </w:rPr>
        <w:t> </w:t>
      </w:r>
      <w:r>
        <w:rPr>
          <w:i/>
          <w:sz w:val="24"/>
        </w:rPr>
        <w:t>смерти</w:t>
      </w:r>
      <w:r>
        <w:rPr>
          <w:i/>
          <w:spacing w:val="31"/>
          <w:sz w:val="24"/>
        </w:rPr>
        <w:t> </w:t>
      </w:r>
      <w:r>
        <w:rPr>
          <w:i/>
          <w:sz w:val="24"/>
        </w:rPr>
        <w:t>от</w:t>
      </w:r>
      <w:r>
        <w:rPr>
          <w:i/>
          <w:spacing w:val="29"/>
          <w:sz w:val="24"/>
        </w:rPr>
        <w:t> </w:t>
      </w:r>
      <w:r>
        <w:rPr>
          <w:i/>
          <w:sz w:val="24"/>
        </w:rPr>
        <w:t>всех</w:t>
      </w:r>
      <w:r>
        <w:rPr>
          <w:i/>
          <w:spacing w:val="30"/>
          <w:sz w:val="24"/>
        </w:rPr>
        <w:t> </w:t>
      </w:r>
      <w:r>
        <w:rPr>
          <w:i/>
          <w:sz w:val="24"/>
        </w:rPr>
        <w:t>причин</w:t>
      </w:r>
      <w:r>
        <w:rPr>
          <w:i/>
          <w:spacing w:val="31"/>
          <w:sz w:val="24"/>
        </w:rPr>
        <w:t> </w:t>
      </w:r>
      <w:r>
        <w:rPr>
          <w:i/>
          <w:sz w:val="24"/>
        </w:rPr>
        <w:t>—</w:t>
      </w:r>
      <w:r>
        <w:rPr>
          <w:i/>
          <w:spacing w:val="28"/>
          <w:sz w:val="24"/>
        </w:rPr>
        <w:t> </w:t>
      </w:r>
      <w:r>
        <w:rPr>
          <w:i/>
          <w:sz w:val="24"/>
        </w:rPr>
        <w:t>на</w:t>
      </w:r>
      <w:r>
        <w:rPr>
          <w:i/>
          <w:spacing w:val="28"/>
          <w:sz w:val="24"/>
        </w:rPr>
        <w:t> </w:t>
      </w:r>
      <w:r>
        <w:rPr>
          <w:i/>
          <w:sz w:val="24"/>
        </w:rPr>
        <w:t>29%</w:t>
      </w:r>
      <w:r>
        <w:rPr>
          <w:i/>
          <w:spacing w:val="29"/>
          <w:sz w:val="24"/>
        </w:rPr>
        <w:t> </w:t>
      </w:r>
      <w:r>
        <w:rPr>
          <w:i/>
          <w:sz w:val="24"/>
        </w:rPr>
        <w:t>(ОР</w:t>
      </w:r>
      <w:r>
        <w:rPr>
          <w:i/>
          <w:spacing w:val="30"/>
          <w:sz w:val="24"/>
        </w:rPr>
        <w:t> </w:t>
      </w:r>
      <w:r>
        <w:rPr>
          <w:i/>
          <w:sz w:val="24"/>
        </w:rPr>
        <w:t>0,71;</w:t>
      </w:r>
      <w:r>
        <w:rPr>
          <w:i/>
          <w:spacing w:val="30"/>
          <w:sz w:val="24"/>
        </w:rPr>
        <w:t> </w:t>
      </w:r>
      <w:r>
        <w:rPr>
          <w:i/>
          <w:sz w:val="24"/>
        </w:rPr>
        <w:t>95%</w:t>
      </w:r>
      <w:r>
        <w:rPr>
          <w:i/>
          <w:spacing w:val="29"/>
          <w:sz w:val="24"/>
        </w:rPr>
        <w:t> </w:t>
      </w:r>
      <w:r>
        <w:rPr>
          <w:i/>
          <w:sz w:val="24"/>
        </w:rPr>
        <w:t>ДИ,</w:t>
      </w:r>
      <w:r>
        <w:rPr>
          <w:i/>
          <w:spacing w:val="31"/>
          <w:sz w:val="24"/>
        </w:rPr>
        <w:t> </w:t>
      </w:r>
      <w:r>
        <w:rPr>
          <w:i/>
          <w:spacing w:val="-2"/>
          <w:sz w:val="24"/>
        </w:rPr>
        <w:t>0,56–</w:t>
      </w:r>
    </w:p>
    <w:p>
      <w:pPr>
        <w:spacing w:before="0"/>
        <w:ind w:left="1261" w:right="0" w:firstLine="0"/>
        <w:jc w:val="both"/>
        <w:rPr>
          <w:i/>
          <w:sz w:val="24"/>
        </w:rPr>
      </w:pPr>
      <w:r>
        <w:rPr>
          <w:i/>
          <w:sz w:val="24"/>
        </w:rPr>
        <w:t>0,90),</w:t>
      </w:r>
      <w:r>
        <w:rPr>
          <w:i/>
          <w:spacing w:val="-1"/>
          <w:sz w:val="24"/>
        </w:rPr>
        <w:t> </w:t>
      </w:r>
      <w:r>
        <w:rPr>
          <w:i/>
          <w:sz w:val="24"/>
        </w:rPr>
        <w:t>в</w:t>
      </w:r>
      <w:r>
        <w:rPr>
          <w:i/>
          <w:spacing w:val="-2"/>
          <w:sz w:val="24"/>
        </w:rPr>
        <w:t> </w:t>
      </w:r>
      <w:r>
        <w:rPr>
          <w:i/>
          <w:sz w:val="24"/>
        </w:rPr>
        <w:t>сравнении</w:t>
      </w:r>
      <w:r>
        <w:rPr>
          <w:i/>
          <w:spacing w:val="-1"/>
          <w:sz w:val="24"/>
        </w:rPr>
        <w:t> </w:t>
      </w:r>
      <w:r>
        <w:rPr>
          <w:i/>
          <w:sz w:val="24"/>
        </w:rPr>
        <w:t>с</w:t>
      </w:r>
      <w:r>
        <w:rPr>
          <w:i/>
          <w:spacing w:val="-2"/>
          <w:sz w:val="24"/>
        </w:rPr>
        <w:t> </w:t>
      </w:r>
      <w:r>
        <w:rPr>
          <w:i/>
          <w:sz w:val="24"/>
        </w:rPr>
        <w:t>плацебо </w:t>
      </w:r>
      <w:r>
        <w:rPr>
          <w:spacing w:val="-4"/>
          <w:sz w:val="24"/>
        </w:rPr>
        <w:t>[</w:t>
      </w:r>
      <w:hyperlink w:history="true" w:anchor="_bookmark86">
        <w:r>
          <w:rPr>
            <w:spacing w:val="-4"/>
            <w:sz w:val="24"/>
          </w:rPr>
          <w:t>41</w:t>
        </w:r>
      </w:hyperlink>
      <w:r>
        <w:rPr>
          <w:spacing w:val="-4"/>
          <w:sz w:val="24"/>
        </w:rPr>
        <w:t>]</w:t>
      </w:r>
      <w:r>
        <w:rPr>
          <w:i/>
          <w:spacing w:val="-4"/>
          <w:sz w:val="24"/>
        </w:rPr>
        <w:t>.</w:t>
      </w:r>
    </w:p>
    <w:p>
      <w:pPr>
        <w:pStyle w:val="BodyText"/>
        <w:spacing w:before="5"/>
        <w:ind w:left="0"/>
        <w:rPr>
          <w:i/>
          <w:sz w:val="29"/>
        </w:rPr>
      </w:pPr>
    </w:p>
    <w:p>
      <w:pPr>
        <w:spacing w:line="360" w:lineRule="auto" w:before="0"/>
        <w:ind w:left="1261" w:right="566" w:firstLine="566"/>
        <w:jc w:val="both"/>
        <w:rPr>
          <w:i/>
          <w:sz w:val="24"/>
        </w:rPr>
      </w:pPr>
      <w:r>
        <w:rPr>
          <w:i/>
          <w:sz w:val="24"/>
        </w:rPr>
        <w:t>Инклисиран** — это химически модифицированная двухцепочечная малая интерферирующая рибонуклеиновая кислота (миРНК). В гепатоцитах инклисиран** использует механизм РНК-интерференции, чтобы нацелиться на матричную РНК</w:t>
      </w:r>
      <w:r>
        <w:rPr>
          <w:i/>
          <w:spacing w:val="80"/>
          <w:sz w:val="24"/>
        </w:rPr>
        <w:t> </w:t>
      </w:r>
      <w:r>
        <w:rPr>
          <w:i/>
          <w:sz w:val="24"/>
        </w:rPr>
        <w:t>PCSK9 и запустить процесс ее деградации, тем самым увеличивая рециркуляцию и экспрессию рецепторов ЛНП, с последующим увеличением его захвата и уменьшением уровня ХС ЛНП</w:t>
      </w:r>
      <w:r>
        <w:rPr>
          <w:i/>
          <w:spacing w:val="-2"/>
          <w:sz w:val="24"/>
        </w:rPr>
        <w:t> </w:t>
      </w:r>
      <w:r>
        <w:rPr>
          <w:i/>
          <w:sz w:val="24"/>
        </w:rPr>
        <w:t>в</w:t>
      </w:r>
      <w:r>
        <w:rPr>
          <w:i/>
          <w:spacing w:val="-2"/>
          <w:sz w:val="24"/>
        </w:rPr>
        <w:t> </w:t>
      </w:r>
      <w:r>
        <w:rPr>
          <w:i/>
          <w:sz w:val="24"/>
        </w:rPr>
        <w:t>крови [</w:t>
      </w:r>
      <w:hyperlink w:history="true" w:anchor="_bookmark200">
        <w:r>
          <w:rPr>
            <w:i/>
            <w:sz w:val="24"/>
          </w:rPr>
          <w:t>155</w:t>
        </w:r>
      </w:hyperlink>
      <w:r>
        <w:rPr>
          <w:i/>
          <w:sz w:val="24"/>
        </w:rPr>
        <w:t>–</w:t>
      </w:r>
      <w:hyperlink w:history="true" w:anchor="_bookmark201">
        <w:r>
          <w:rPr>
            <w:i/>
            <w:sz w:val="24"/>
          </w:rPr>
          <w:t>158</w:t>
        </w:r>
      </w:hyperlink>
      <w:r>
        <w:rPr>
          <w:i/>
          <w:sz w:val="24"/>
        </w:rPr>
        <w:t>].</w:t>
      </w:r>
      <w:r>
        <w:rPr>
          <w:i/>
          <w:spacing w:val="-1"/>
          <w:sz w:val="24"/>
        </w:rPr>
        <w:t> </w:t>
      </w:r>
      <w:r>
        <w:rPr>
          <w:i/>
          <w:sz w:val="24"/>
        </w:rPr>
        <w:t>Инклисиран**</w:t>
      </w:r>
      <w:r>
        <w:rPr>
          <w:i/>
          <w:spacing w:val="-1"/>
          <w:sz w:val="24"/>
        </w:rPr>
        <w:t> </w:t>
      </w:r>
      <w:r>
        <w:rPr>
          <w:i/>
          <w:sz w:val="24"/>
        </w:rPr>
        <w:t>вводится подкожно</w:t>
      </w:r>
      <w:r>
        <w:rPr>
          <w:i/>
          <w:spacing w:val="-1"/>
          <w:sz w:val="24"/>
        </w:rPr>
        <w:t> </w:t>
      </w:r>
      <w:r>
        <w:rPr>
          <w:i/>
          <w:sz w:val="24"/>
        </w:rPr>
        <w:t>3</w:t>
      </w:r>
      <w:r>
        <w:rPr>
          <w:i/>
          <w:spacing w:val="-1"/>
          <w:sz w:val="24"/>
        </w:rPr>
        <w:t> </w:t>
      </w:r>
      <w:r>
        <w:rPr>
          <w:i/>
          <w:sz w:val="24"/>
        </w:rPr>
        <w:t>раза</w:t>
      </w:r>
      <w:r>
        <w:rPr>
          <w:i/>
          <w:spacing w:val="-1"/>
          <w:sz w:val="24"/>
        </w:rPr>
        <w:t> </w:t>
      </w:r>
      <w:r>
        <w:rPr>
          <w:i/>
          <w:sz w:val="24"/>
        </w:rPr>
        <w:t>в</w:t>
      </w:r>
      <w:r>
        <w:rPr>
          <w:i/>
          <w:spacing w:val="-2"/>
          <w:sz w:val="24"/>
        </w:rPr>
        <w:t> </w:t>
      </w:r>
      <w:r>
        <w:rPr>
          <w:i/>
          <w:sz w:val="24"/>
        </w:rPr>
        <w:t>первый</w:t>
      </w:r>
      <w:r>
        <w:rPr>
          <w:i/>
          <w:spacing w:val="-1"/>
          <w:sz w:val="24"/>
        </w:rPr>
        <w:t> </w:t>
      </w:r>
      <w:r>
        <w:rPr>
          <w:i/>
          <w:sz w:val="24"/>
        </w:rPr>
        <w:t>год, а затем два раза в год.</w:t>
      </w:r>
    </w:p>
    <w:p>
      <w:pPr>
        <w:spacing w:line="360" w:lineRule="auto" w:before="0"/>
        <w:ind w:left="1261" w:right="566" w:firstLine="566"/>
        <w:jc w:val="both"/>
        <w:rPr>
          <w:i/>
          <w:sz w:val="24"/>
        </w:rPr>
      </w:pPr>
      <w:r>
        <w:rPr>
          <w:i/>
          <w:sz w:val="24"/>
        </w:rPr>
        <w:t>В</w:t>
      </w:r>
      <w:r>
        <w:rPr>
          <w:i/>
          <w:spacing w:val="-3"/>
          <w:sz w:val="24"/>
        </w:rPr>
        <w:t> </w:t>
      </w:r>
      <w:r>
        <w:rPr>
          <w:i/>
          <w:sz w:val="24"/>
        </w:rPr>
        <w:t>группе</w:t>
      </w:r>
      <w:r>
        <w:rPr>
          <w:i/>
          <w:spacing w:val="-1"/>
          <w:sz w:val="24"/>
        </w:rPr>
        <w:t> </w:t>
      </w:r>
      <w:r>
        <w:rPr>
          <w:i/>
          <w:sz w:val="24"/>
        </w:rPr>
        <w:t>клинических</w:t>
      </w:r>
      <w:r>
        <w:rPr>
          <w:i/>
          <w:spacing w:val="-3"/>
          <w:sz w:val="24"/>
        </w:rPr>
        <w:t> </w:t>
      </w:r>
      <w:r>
        <w:rPr>
          <w:i/>
          <w:sz w:val="24"/>
        </w:rPr>
        <w:t>исследований</w:t>
      </w:r>
      <w:r>
        <w:rPr>
          <w:i/>
          <w:spacing w:val="-2"/>
          <w:sz w:val="24"/>
        </w:rPr>
        <w:t> </w:t>
      </w:r>
      <w:r>
        <w:rPr>
          <w:i/>
          <w:sz w:val="24"/>
        </w:rPr>
        <w:t>ORION</w:t>
      </w:r>
      <w:r>
        <w:rPr>
          <w:i/>
          <w:spacing w:val="-2"/>
          <w:sz w:val="24"/>
        </w:rPr>
        <w:t> </w:t>
      </w:r>
      <w:r>
        <w:rPr>
          <w:i/>
          <w:sz w:val="24"/>
        </w:rPr>
        <w:t>(A Randomized</w:t>
      </w:r>
      <w:r>
        <w:rPr>
          <w:i/>
          <w:spacing w:val="-2"/>
          <w:sz w:val="24"/>
        </w:rPr>
        <w:t> </w:t>
      </w:r>
      <w:r>
        <w:rPr>
          <w:i/>
          <w:sz w:val="24"/>
        </w:rPr>
        <w:t>Trial</w:t>
      </w:r>
      <w:r>
        <w:rPr>
          <w:i/>
          <w:spacing w:val="-2"/>
          <w:sz w:val="24"/>
        </w:rPr>
        <w:t> </w:t>
      </w:r>
      <w:r>
        <w:rPr>
          <w:i/>
          <w:sz w:val="24"/>
        </w:rPr>
        <w:t>Assessing</w:t>
      </w:r>
      <w:r>
        <w:rPr>
          <w:i/>
          <w:spacing w:val="-2"/>
          <w:sz w:val="24"/>
        </w:rPr>
        <w:t> </w:t>
      </w:r>
      <w:r>
        <w:rPr>
          <w:i/>
          <w:sz w:val="24"/>
        </w:rPr>
        <w:t>the</w:t>
      </w:r>
      <w:r>
        <w:rPr>
          <w:i/>
          <w:spacing w:val="-3"/>
          <w:sz w:val="24"/>
        </w:rPr>
        <w:t> </w:t>
      </w:r>
      <w:r>
        <w:rPr>
          <w:i/>
          <w:sz w:val="24"/>
        </w:rPr>
        <w:t>Effects</w:t>
      </w:r>
      <w:r>
        <w:rPr>
          <w:i/>
          <w:spacing w:val="-2"/>
          <w:sz w:val="24"/>
        </w:rPr>
        <w:t> </w:t>
      </w:r>
      <w:r>
        <w:rPr>
          <w:i/>
          <w:sz w:val="24"/>
        </w:rPr>
        <w:t>of Inclisiran on Clinical Outcomes Among People With Cardiovascular Disease) 9, 10, 11 была подтверждена долгосрочная гиполипидемическая эффективность инклисирана** для следующих групп пациентов: СГХС, АССЗ и эквиваленты сердечно-сосудистого риска, такие как как СД 2 типа, СГХС или 10-летний риск ССО </w:t>
      </w:r>
      <w:r>
        <w:rPr>
          <w:i/>
          <w:sz w:val="24"/>
          <w:u w:val="single"/>
        </w:rPr>
        <w:t>&gt;</w:t>
      </w:r>
      <w:r>
        <w:rPr>
          <w:i/>
          <w:sz w:val="24"/>
        </w:rPr>
        <w:t>20% по Фрамингемской шкале или эквивалентной ей. Было установлено, что назначение инклисзирана приводит к снижению уровня ХС ЛНП у указанных категорий больных на 50–58%, как в краткосрочной, так и в долгосрочной перспективе [</w:t>
      </w:r>
      <w:hyperlink w:history="true" w:anchor="_bookmark202">
        <w:r>
          <w:rPr>
            <w:i/>
            <w:sz w:val="24"/>
          </w:rPr>
          <w:t>159,</w:t>
        </w:r>
      </w:hyperlink>
      <w:r>
        <w:rPr>
          <w:i/>
          <w:sz w:val="24"/>
        </w:rPr>
        <w:t> </w:t>
      </w:r>
      <w:hyperlink w:history="true" w:anchor="_bookmark203">
        <w:r>
          <w:rPr>
            <w:i/>
            <w:sz w:val="24"/>
          </w:rPr>
          <w:t>160</w:t>
        </w:r>
      </w:hyperlink>
      <w:r>
        <w:rPr>
          <w:i/>
          <w:sz w:val="24"/>
        </w:rPr>
        <w:t>]. Профиль безопасности инклисирана** сопоставим с плацебо [</w:t>
      </w:r>
      <w:hyperlink w:history="true" w:anchor="_bookmark202">
        <w:r>
          <w:rPr>
            <w:i/>
            <w:sz w:val="24"/>
          </w:rPr>
          <w:t>159</w:t>
        </w:r>
      </w:hyperlink>
      <w:r>
        <w:rPr>
          <w:i/>
          <w:sz w:val="24"/>
        </w:rPr>
        <w:t>, </w:t>
      </w:r>
      <w:hyperlink w:history="true" w:anchor="_bookmark203">
        <w:r>
          <w:rPr>
            <w:i/>
            <w:sz w:val="24"/>
          </w:rPr>
          <w:t>160</w:t>
        </w:r>
      </w:hyperlink>
      <w:r>
        <w:rPr>
          <w:i/>
          <w:sz w:val="24"/>
        </w:rPr>
        <w:t>], не было получено данных о</w:t>
      </w:r>
      <w:r>
        <w:rPr>
          <w:i/>
          <w:spacing w:val="80"/>
          <w:sz w:val="24"/>
        </w:rPr>
        <w:t> </w:t>
      </w:r>
      <w:r>
        <w:rPr>
          <w:i/>
          <w:sz w:val="24"/>
        </w:rPr>
        <w:t>возникновении специфических серьезных нежелательных явлений, возникших в ходе лечения [</w:t>
      </w:r>
      <w:hyperlink w:history="true" w:anchor="_bookmark95">
        <w:r>
          <w:rPr>
            <w:i/>
            <w:sz w:val="24"/>
          </w:rPr>
          <w:t>50</w:t>
        </w:r>
      </w:hyperlink>
      <w:r>
        <w:rPr>
          <w:i/>
          <w:sz w:val="24"/>
        </w:rPr>
        <w:t>]. В метаанализе по результатам трех рандомизированных клинических исследований</w:t>
      </w:r>
      <w:r>
        <w:rPr>
          <w:i/>
          <w:spacing w:val="38"/>
          <w:sz w:val="24"/>
        </w:rPr>
        <w:t> </w:t>
      </w:r>
      <w:r>
        <w:rPr>
          <w:i/>
          <w:sz w:val="24"/>
        </w:rPr>
        <w:t>было</w:t>
      </w:r>
      <w:r>
        <w:rPr>
          <w:i/>
          <w:spacing w:val="41"/>
          <w:sz w:val="24"/>
        </w:rPr>
        <w:t> </w:t>
      </w:r>
      <w:r>
        <w:rPr>
          <w:i/>
          <w:sz w:val="24"/>
        </w:rPr>
        <w:t>показано</w:t>
      </w:r>
      <w:r>
        <w:rPr>
          <w:i/>
          <w:spacing w:val="41"/>
          <w:sz w:val="24"/>
        </w:rPr>
        <w:t> </w:t>
      </w:r>
      <w:r>
        <w:rPr>
          <w:i/>
          <w:sz w:val="24"/>
        </w:rPr>
        <w:t>снижение</w:t>
      </w:r>
      <w:r>
        <w:rPr>
          <w:i/>
          <w:spacing w:val="39"/>
          <w:sz w:val="24"/>
        </w:rPr>
        <w:t> </w:t>
      </w:r>
      <w:r>
        <w:rPr>
          <w:i/>
          <w:sz w:val="24"/>
        </w:rPr>
        <w:t>частоты</w:t>
      </w:r>
      <w:r>
        <w:rPr>
          <w:i/>
          <w:spacing w:val="41"/>
          <w:sz w:val="24"/>
        </w:rPr>
        <w:t> </w:t>
      </w:r>
      <w:r>
        <w:rPr>
          <w:i/>
          <w:sz w:val="24"/>
        </w:rPr>
        <w:t>серьезных</w:t>
      </w:r>
      <w:r>
        <w:rPr>
          <w:i/>
          <w:spacing w:val="40"/>
          <w:sz w:val="24"/>
        </w:rPr>
        <w:t> </w:t>
      </w:r>
      <w:r>
        <w:rPr>
          <w:i/>
          <w:sz w:val="24"/>
        </w:rPr>
        <w:t>неблагоприятных</w:t>
      </w:r>
      <w:r>
        <w:rPr>
          <w:i/>
          <w:spacing w:val="40"/>
          <w:sz w:val="24"/>
        </w:rPr>
        <w:t> </w:t>
      </w:r>
      <w:r>
        <w:rPr>
          <w:i/>
          <w:spacing w:val="-2"/>
          <w:sz w:val="24"/>
        </w:rPr>
        <w:t>сердечно-</w:t>
      </w:r>
    </w:p>
    <w:p>
      <w:pPr>
        <w:spacing w:after="0" w:line="360" w:lineRule="auto"/>
        <w:jc w:val="both"/>
        <w:rPr>
          <w:sz w:val="24"/>
        </w:rPr>
        <w:sectPr>
          <w:pgSz w:w="11910" w:h="16840"/>
          <w:pgMar w:header="0" w:footer="710" w:top="1040" w:bottom="900" w:left="440" w:right="280"/>
        </w:sectPr>
      </w:pPr>
    </w:p>
    <w:p>
      <w:pPr>
        <w:spacing w:line="360" w:lineRule="auto" w:before="73"/>
        <w:ind w:left="1261" w:right="567" w:firstLine="0"/>
        <w:jc w:val="both"/>
        <w:rPr>
          <w:i/>
          <w:sz w:val="24"/>
        </w:rPr>
      </w:pPr>
      <w:r>
        <w:rPr>
          <w:i/>
          <w:sz w:val="24"/>
        </w:rPr>
        <w:t>сосудистых событий на 24% (отношение рисков = 0,76; 95% доверительный интервал, 0,61–0,92) [</w:t>
      </w:r>
      <w:hyperlink w:history="true" w:anchor="_bookmark283">
        <w:r>
          <w:rPr>
            <w:i/>
            <w:sz w:val="24"/>
          </w:rPr>
          <w:t>243</w:t>
        </w:r>
      </w:hyperlink>
      <w:r>
        <w:rPr>
          <w:i/>
          <w:sz w:val="24"/>
        </w:rPr>
        <w:t>].</w:t>
      </w:r>
    </w:p>
    <w:p>
      <w:pPr>
        <w:spacing w:line="360" w:lineRule="auto" w:before="0"/>
        <w:ind w:left="1261" w:right="566" w:firstLine="0"/>
        <w:jc w:val="both"/>
        <w:rPr>
          <w:i/>
          <w:sz w:val="24"/>
        </w:rPr>
      </w:pPr>
      <w:r>
        <w:rPr>
          <w:b/>
          <w:i/>
          <w:sz w:val="24"/>
        </w:rPr>
        <w:t>Омега-3 ПНЖК </w:t>
      </w:r>
      <w:r>
        <w:rPr>
          <w:i/>
          <w:sz w:val="24"/>
        </w:rPr>
        <w:t>в соответствии с современными воззрениями являются основными препаратами для снижения уровня ТГ. Недавно завершившееся исследование REDUCE-IT (Cardiovascular Risk Reduction with Icosapent Ethyl for Hypertriglyceridemia) с участием 8179 пациентов доказало влияние омега-3 ПНЖК на твердые конечные точки </w:t>
      </w:r>
      <w:r>
        <w:rPr>
          <w:sz w:val="24"/>
        </w:rPr>
        <w:t>[</w:t>
      </w:r>
      <w:hyperlink w:history="true" w:anchor="_bookmark113">
        <w:r>
          <w:rPr>
            <w:sz w:val="24"/>
          </w:rPr>
          <w:t>68</w:t>
        </w:r>
      </w:hyperlink>
      <w:r>
        <w:rPr>
          <w:sz w:val="24"/>
        </w:rPr>
        <w:t>]</w:t>
      </w:r>
      <w:r>
        <w:rPr>
          <w:i/>
          <w:sz w:val="24"/>
        </w:rPr>
        <w:t>. Критериями</w:t>
      </w:r>
      <w:r>
        <w:rPr>
          <w:i/>
          <w:spacing w:val="-3"/>
          <w:sz w:val="24"/>
        </w:rPr>
        <w:t> </w:t>
      </w:r>
      <w:r>
        <w:rPr>
          <w:i/>
          <w:sz w:val="24"/>
        </w:rPr>
        <w:t>включения</w:t>
      </w:r>
      <w:r>
        <w:rPr>
          <w:i/>
          <w:spacing w:val="-5"/>
          <w:sz w:val="24"/>
        </w:rPr>
        <w:t> </w:t>
      </w:r>
      <w:r>
        <w:rPr>
          <w:i/>
          <w:sz w:val="24"/>
        </w:rPr>
        <w:t>были:</w:t>
      </w:r>
      <w:r>
        <w:rPr>
          <w:i/>
          <w:spacing w:val="-4"/>
          <w:sz w:val="24"/>
        </w:rPr>
        <w:t> </w:t>
      </w:r>
      <w:r>
        <w:rPr>
          <w:i/>
          <w:sz w:val="24"/>
        </w:rPr>
        <w:t>установленные</w:t>
      </w:r>
      <w:r>
        <w:rPr>
          <w:i/>
          <w:spacing w:val="-4"/>
          <w:sz w:val="24"/>
        </w:rPr>
        <w:t> </w:t>
      </w:r>
      <w:r>
        <w:rPr>
          <w:i/>
          <w:sz w:val="24"/>
        </w:rPr>
        <w:t>в</w:t>
      </w:r>
      <w:r>
        <w:rPr>
          <w:i/>
          <w:spacing w:val="-2"/>
          <w:sz w:val="24"/>
        </w:rPr>
        <w:t> </w:t>
      </w:r>
      <w:r>
        <w:rPr>
          <w:i/>
          <w:sz w:val="24"/>
        </w:rPr>
        <w:t>анамнезе</w:t>
      </w:r>
      <w:r>
        <w:rPr>
          <w:i/>
          <w:spacing w:val="-4"/>
          <w:sz w:val="24"/>
        </w:rPr>
        <w:t> </w:t>
      </w:r>
      <w:r>
        <w:rPr>
          <w:i/>
          <w:sz w:val="24"/>
        </w:rPr>
        <w:t>ССЗ</w:t>
      </w:r>
      <w:r>
        <w:rPr>
          <w:i/>
          <w:spacing w:val="-2"/>
          <w:sz w:val="24"/>
        </w:rPr>
        <w:t> </w:t>
      </w:r>
      <w:r>
        <w:rPr>
          <w:i/>
          <w:sz w:val="24"/>
        </w:rPr>
        <w:t>(~70%</w:t>
      </w:r>
      <w:r>
        <w:rPr>
          <w:i/>
          <w:spacing w:val="-2"/>
          <w:sz w:val="24"/>
        </w:rPr>
        <w:t> </w:t>
      </w:r>
      <w:r>
        <w:rPr>
          <w:i/>
          <w:sz w:val="24"/>
        </w:rPr>
        <w:t>пациентов)</w:t>
      </w:r>
      <w:r>
        <w:rPr>
          <w:i/>
          <w:spacing w:val="-4"/>
          <w:sz w:val="24"/>
        </w:rPr>
        <w:t> </w:t>
      </w:r>
      <w:r>
        <w:rPr>
          <w:i/>
          <w:sz w:val="24"/>
        </w:rPr>
        <w:t>или</w:t>
      </w:r>
      <w:r>
        <w:rPr>
          <w:i/>
          <w:spacing w:val="-3"/>
          <w:sz w:val="24"/>
        </w:rPr>
        <w:t> </w:t>
      </w:r>
      <w:r>
        <w:rPr>
          <w:i/>
          <w:sz w:val="24"/>
        </w:rPr>
        <w:t>СД</w:t>
      </w:r>
      <w:r>
        <w:rPr>
          <w:i/>
          <w:spacing w:val="-3"/>
          <w:sz w:val="24"/>
        </w:rPr>
        <w:t> </w:t>
      </w:r>
      <w:r>
        <w:rPr>
          <w:i/>
          <w:sz w:val="24"/>
        </w:rPr>
        <w:t>2- го типа + &gt;1 ФР, уровень ТГ ≥2,3 ммоль/л и &lt;5,6 ммоль/л, достигнутый целевой уровень ХС ЛНП &gt;1,03 ммоль/л и ≤2,6 ммоль/л. Первичной конечной точкой являлось время от рандомизации до первого события: сердечно-сосудистая смерть, нефатальный ИМ, нефатальный ишемический инсульт, реваскуляризация, нестабильная стенокардия. Было продемонстрировано снижение относительного риска развития серьезных неблагоприятных СС событий на 25% (р &lt;0,001), в группе пациентов, принимавших омега-3</w:t>
      </w:r>
      <w:r>
        <w:rPr>
          <w:i/>
          <w:spacing w:val="-3"/>
          <w:sz w:val="24"/>
        </w:rPr>
        <w:t> </w:t>
      </w:r>
      <w:r>
        <w:rPr>
          <w:i/>
          <w:sz w:val="24"/>
        </w:rPr>
        <w:t>ПНЖК</w:t>
      </w:r>
      <w:r>
        <w:rPr>
          <w:i/>
          <w:spacing w:val="-2"/>
          <w:sz w:val="24"/>
        </w:rPr>
        <w:t> </w:t>
      </w:r>
      <w:r>
        <w:rPr>
          <w:i/>
          <w:sz w:val="24"/>
        </w:rPr>
        <w:t>(форма</w:t>
      </w:r>
      <w:r>
        <w:rPr>
          <w:i/>
          <w:spacing w:val="-1"/>
          <w:sz w:val="24"/>
        </w:rPr>
        <w:t> </w:t>
      </w:r>
      <w:r>
        <w:rPr>
          <w:i/>
          <w:sz w:val="24"/>
        </w:rPr>
        <w:t>эйкозопентаеновой</w:t>
      </w:r>
      <w:r>
        <w:rPr>
          <w:i/>
          <w:spacing w:val="-3"/>
          <w:sz w:val="24"/>
        </w:rPr>
        <w:t> </w:t>
      </w:r>
      <w:r>
        <w:rPr>
          <w:i/>
          <w:sz w:val="24"/>
        </w:rPr>
        <w:t>кислоты</w:t>
      </w:r>
      <w:r>
        <w:rPr>
          <w:i/>
          <w:spacing w:val="-3"/>
          <w:sz w:val="24"/>
        </w:rPr>
        <w:t> </w:t>
      </w:r>
      <w:r>
        <w:rPr>
          <w:i/>
          <w:sz w:val="24"/>
        </w:rPr>
        <w:t>4</w:t>
      </w:r>
      <w:r>
        <w:rPr>
          <w:i/>
          <w:spacing w:val="-3"/>
          <w:sz w:val="24"/>
        </w:rPr>
        <w:t> </w:t>
      </w:r>
      <w:r>
        <w:rPr>
          <w:i/>
          <w:sz w:val="24"/>
        </w:rPr>
        <w:t>г/сут)</w:t>
      </w:r>
      <w:r>
        <w:rPr>
          <w:i/>
          <w:spacing w:val="-4"/>
          <w:sz w:val="24"/>
        </w:rPr>
        <w:t> </w:t>
      </w:r>
      <w:r>
        <w:rPr>
          <w:i/>
          <w:sz w:val="24"/>
        </w:rPr>
        <w:t>в</w:t>
      </w:r>
      <w:r>
        <w:rPr>
          <w:i/>
          <w:spacing w:val="-2"/>
          <w:sz w:val="24"/>
        </w:rPr>
        <w:t> </w:t>
      </w:r>
      <w:r>
        <w:rPr>
          <w:i/>
          <w:sz w:val="24"/>
        </w:rPr>
        <w:t>сравнении</w:t>
      </w:r>
      <w:r>
        <w:rPr>
          <w:i/>
          <w:spacing w:val="-3"/>
          <w:sz w:val="24"/>
        </w:rPr>
        <w:t> </w:t>
      </w:r>
      <w:r>
        <w:rPr>
          <w:i/>
          <w:sz w:val="24"/>
        </w:rPr>
        <w:t>с</w:t>
      </w:r>
      <w:r>
        <w:rPr>
          <w:i/>
          <w:spacing w:val="-4"/>
          <w:sz w:val="24"/>
        </w:rPr>
        <w:t> </w:t>
      </w:r>
      <w:r>
        <w:rPr>
          <w:i/>
          <w:sz w:val="24"/>
        </w:rPr>
        <w:t>плацебо.</w:t>
      </w:r>
      <w:r>
        <w:rPr>
          <w:i/>
          <w:spacing w:val="-3"/>
          <w:sz w:val="24"/>
        </w:rPr>
        <w:t> </w:t>
      </w:r>
      <w:r>
        <w:rPr>
          <w:i/>
          <w:sz w:val="24"/>
        </w:rPr>
        <w:t>Таким образом, Омега-3 триглицериды, включая другие эфиры и кислоты, могут</w:t>
      </w:r>
      <w:r>
        <w:rPr>
          <w:i/>
          <w:spacing w:val="40"/>
          <w:sz w:val="24"/>
        </w:rPr>
        <w:t> </w:t>
      </w:r>
      <w:r>
        <w:rPr>
          <w:i/>
          <w:sz w:val="24"/>
        </w:rPr>
        <w:t>использоваться для терапии ГТГ в дозе 2–4 г/сут.</w:t>
      </w:r>
    </w:p>
    <w:p>
      <w:pPr>
        <w:spacing w:line="355" w:lineRule="auto" w:before="202"/>
        <w:ind w:left="1261" w:right="569" w:firstLine="0"/>
        <w:jc w:val="both"/>
        <w:rPr>
          <w:i/>
          <w:sz w:val="24"/>
        </w:rPr>
      </w:pPr>
      <w:r>
        <w:rPr>
          <w:i/>
          <w:sz w:val="24"/>
        </w:rPr>
        <w:t>Сравнение эффективности </w:t>
      </w:r>
      <w:r>
        <w:rPr>
          <w:rFonts w:ascii="Calibri" w:hAnsi="Calibri"/>
          <w:i/>
          <w:sz w:val="22"/>
        </w:rPr>
        <w:t>с</w:t>
      </w:r>
      <w:r>
        <w:rPr>
          <w:i/>
          <w:sz w:val="24"/>
        </w:rPr>
        <w:t>татин</w:t>
      </w:r>
      <w:r>
        <w:rPr>
          <w:rFonts w:ascii="Calibri" w:hAnsi="Calibri"/>
          <w:i/>
          <w:sz w:val="22"/>
        </w:rPr>
        <w:t>ов</w:t>
      </w:r>
      <w:r>
        <w:rPr>
          <w:i/>
          <w:sz w:val="24"/>
        </w:rPr>
        <w:t>, фибратов и эзетимиба представлено в таблице П4, приложении Г4.</w:t>
      </w:r>
    </w:p>
    <w:p>
      <w:pPr>
        <w:spacing w:line="360" w:lineRule="auto" w:before="211"/>
        <w:ind w:left="1261" w:right="569" w:firstLine="0"/>
        <w:jc w:val="both"/>
        <w:rPr>
          <w:i/>
          <w:sz w:val="24"/>
        </w:rPr>
      </w:pPr>
      <w:r>
        <w:rPr>
          <w:i/>
          <w:sz w:val="24"/>
        </w:rPr>
        <w:t>Сводные данные по эффективности, дозам, побочным эффектам гиполипидемических препаратов приведены в таблице П8, приложении Г4.</w:t>
      </w:r>
    </w:p>
    <w:p>
      <w:pPr>
        <w:pStyle w:val="BodyText"/>
        <w:spacing w:before="10"/>
        <w:ind w:left="0"/>
        <w:rPr>
          <w:i/>
          <w:sz w:val="20"/>
        </w:rPr>
      </w:pPr>
    </w:p>
    <w:p>
      <w:pPr>
        <w:pStyle w:val="Heading3"/>
        <w:numPr>
          <w:ilvl w:val="2"/>
          <w:numId w:val="7"/>
        </w:numPr>
        <w:tabs>
          <w:tab w:pos="1802" w:val="left" w:leader="none"/>
        </w:tabs>
        <w:spacing w:line="240" w:lineRule="auto" w:before="0" w:after="0"/>
        <w:ind w:left="1801" w:right="0" w:hanging="541"/>
        <w:jc w:val="both"/>
      </w:pPr>
      <w:bookmarkStart w:name="3.3.3 Медикаментозная терапия ДЛП для до" w:id="49"/>
      <w:bookmarkEnd w:id="49"/>
      <w:r>
        <w:rPr>
          <w:b w:val="0"/>
        </w:rPr>
      </w:r>
      <w:bookmarkStart w:name="_bookmark24" w:id="50"/>
      <w:bookmarkEnd w:id="50"/>
      <w:r>
        <w:rPr/>
        <w:t>М</w:t>
      </w:r>
      <w:r>
        <w:rPr/>
        <w:t>едикаментозная</w:t>
      </w:r>
      <w:r>
        <w:rPr>
          <w:spacing w:val="-5"/>
        </w:rPr>
        <w:t> </w:t>
      </w:r>
      <w:r>
        <w:rPr/>
        <w:t>терапия</w:t>
      </w:r>
      <w:r>
        <w:rPr>
          <w:spacing w:val="-3"/>
        </w:rPr>
        <w:t> </w:t>
      </w:r>
      <w:r>
        <w:rPr/>
        <w:t>ДЛП</w:t>
      </w:r>
      <w:r>
        <w:rPr>
          <w:spacing w:val="-4"/>
        </w:rPr>
        <w:t> </w:t>
      </w:r>
      <w:r>
        <w:rPr/>
        <w:t>для</w:t>
      </w:r>
      <w:r>
        <w:rPr>
          <w:spacing w:val="-3"/>
        </w:rPr>
        <w:t> </w:t>
      </w:r>
      <w:r>
        <w:rPr/>
        <w:t>достижения</w:t>
      </w:r>
      <w:r>
        <w:rPr>
          <w:spacing w:val="-3"/>
        </w:rPr>
        <w:t> </w:t>
      </w:r>
      <w:r>
        <w:rPr/>
        <w:t>целевого</w:t>
      </w:r>
      <w:r>
        <w:rPr>
          <w:spacing w:val="-2"/>
        </w:rPr>
        <w:t> </w:t>
      </w:r>
      <w:r>
        <w:rPr/>
        <w:t>уровня</w:t>
      </w:r>
      <w:r>
        <w:rPr>
          <w:spacing w:val="-3"/>
        </w:rPr>
        <w:t> </w:t>
      </w:r>
      <w:r>
        <w:rPr/>
        <w:t>ХС</w:t>
      </w:r>
      <w:r>
        <w:rPr>
          <w:spacing w:val="-2"/>
        </w:rPr>
        <w:t> </w:t>
      </w:r>
      <w:r>
        <w:rPr>
          <w:spacing w:val="-5"/>
        </w:rPr>
        <w:t>ЛНП</w:t>
      </w:r>
    </w:p>
    <w:p>
      <w:pPr>
        <w:pStyle w:val="ListParagraph"/>
        <w:numPr>
          <w:ilvl w:val="3"/>
          <w:numId w:val="7"/>
        </w:numPr>
        <w:tabs>
          <w:tab w:pos="1982" w:val="left" w:leader="none"/>
        </w:tabs>
        <w:spacing w:line="350" w:lineRule="auto" w:before="139" w:after="0"/>
        <w:ind w:left="1981" w:right="567" w:hanging="360"/>
        <w:jc w:val="both"/>
        <w:rPr>
          <w:sz w:val="24"/>
        </w:rPr>
      </w:pPr>
      <w:r>
        <w:rPr>
          <w:sz w:val="24"/>
        </w:rPr>
        <w:t>Всем</w:t>
      </w:r>
      <w:r>
        <w:rPr>
          <w:spacing w:val="-2"/>
          <w:sz w:val="24"/>
        </w:rPr>
        <w:t> </w:t>
      </w:r>
      <w:r>
        <w:rPr>
          <w:sz w:val="24"/>
        </w:rPr>
        <w:t>пациентам</w:t>
      </w:r>
      <w:r>
        <w:rPr>
          <w:spacing w:val="-2"/>
          <w:sz w:val="24"/>
        </w:rPr>
        <w:t> </w:t>
      </w:r>
      <w:r>
        <w:rPr>
          <w:sz w:val="24"/>
        </w:rPr>
        <w:t>с</w:t>
      </w:r>
      <w:r>
        <w:rPr>
          <w:spacing w:val="-2"/>
          <w:sz w:val="24"/>
        </w:rPr>
        <w:t> </w:t>
      </w:r>
      <w:r>
        <w:rPr>
          <w:sz w:val="24"/>
        </w:rPr>
        <w:t>ДЛП</w:t>
      </w:r>
      <w:r>
        <w:rPr>
          <w:spacing w:val="-2"/>
          <w:sz w:val="24"/>
        </w:rPr>
        <w:t> </w:t>
      </w:r>
      <w:r>
        <w:rPr>
          <w:sz w:val="24"/>
        </w:rPr>
        <w:t>рекомендована</w:t>
      </w:r>
      <w:r>
        <w:rPr>
          <w:spacing w:val="-2"/>
          <w:sz w:val="24"/>
        </w:rPr>
        <w:t> </w:t>
      </w:r>
      <w:r>
        <w:rPr>
          <w:sz w:val="24"/>
        </w:rPr>
        <w:t>терапия</w:t>
      </w:r>
      <w:r>
        <w:rPr>
          <w:spacing w:val="-1"/>
          <w:sz w:val="24"/>
        </w:rPr>
        <w:t> </w:t>
      </w:r>
      <w:r>
        <w:rPr>
          <w:sz w:val="24"/>
        </w:rPr>
        <w:t>статином</w:t>
      </w:r>
      <w:r>
        <w:rPr>
          <w:spacing w:val="-2"/>
          <w:sz w:val="24"/>
        </w:rPr>
        <w:t> </w:t>
      </w:r>
      <w:r>
        <w:rPr>
          <w:sz w:val="24"/>
        </w:rPr>
        <w:t>в</w:t>
      </w:r>
      <w:r>
        <w:rPr>
          <w:spacing w:val="-2"/>
          <w:sz w:val="24"/>
        </w:rPr>
        <w:t> </w:t>
      </w:r>
      <w:r>
        <w:rPr>
          <w:sz w:val="24"/>
        </w:rPr>
        <w:t>дозах,</w:t>
      </w:r>
      <w:r>
        <w:rPr>
          <w:spacing w:val="-3"/>
          <w:sz w:val="24"/>
        </w:rPr>
        <w:t> </w:t>
      </w:r>
      <w:r>
        <w:rPr>
          <w:sz w:val="24"/>
        </w:rPr>
        <w:t>необходимых</w:t>
      </w:r>
      <w:r>
        <w:rPr>
          <w:spacing w:val="-1"/>
          <w:sz w:val="24"/>
        </w:rPr>
        <w:t> </w:t>
      </w:r>
      <w:r>
        <w:rPr>
          <w:sz w:val="24"/>
        </w:rPr>
        <w:t>для достижения целевого уровня ХС ЛНП [</w:t>
      </w:r>
      <w:hyperlink w:history="true" w:anchor="_bookmark84">
        <w:r>
          <w:rPr>
            <w:sz w:val="24"/>
          </w:rPr>
          <w:t>39,</w:t>
        </w:r>
      </w:hyperlink>
      <w:r>
        <w:rPr>
          <w:sz w:val="24"/>
        </w:rPr>
        <w:t> </w:t>
      </w:r>
      <w:hyperlink w:history="true" w:anchor="_bookmark114">
        <w:r>
          <w:rPr>
            <w:sz w:val="24"/>
          </w:rPr>
          <w:t>69,</w:t>
        </w:r>
      </w:hyperlink>
      <w:r>
        <w:rPr>
          <w:sz w:val="24"/>
        </w:rPr>
        <w:t> </w:t>
      </w:r>
      <w:hyperlink w:history="true" w:anchor="_bookmark115">
        <w:r>
          <w:rPr>
            <w:sz w:val="24"/>
          </w:rPr>
          <w:t>70</w:t>
        </w:r>
      </w:hyperlink>
      <w:r>
        <w:rPr>
          <w:sz w:val="24"/>
        </w:rPr>
        <w:t>].</w:t>
      </w:r>
    </w:p>
    <w:p>
      <w:pPr>
        <w:spacing w:line="357" w:lineRule="auto" w:before="10"/>
        <w:ind w:left="1261" w:right="567" w:firstLine="0"/>
        <w:jc w:val="both"/>
        <w:rPr>
          <w:i/>
          <w:sz w:val="24"/>
        </w:rPr>
      </w:pPr>
      <w:r>
        <w:rPr>
          <w:b/>
          <w:sz w:val="24"/>
        </w:rPr>
        <w:t>Комментарии: </w:t>
      </w:r>
      <w:r>
        <w:rPr>
          <w:i/>
          <w:sz w:val="24"/>
        </w:rPr>
        <w:t>дозы </w:t>
      </w:r>
      <w:r>
        <w:rPr>
          <w:rFonts w:ascii="Calibri" w:hAnsi="Calibri"/>
          <w:i/>
          <w:sz w:val="22"/>
        </w:rPr>
        <w:t>с</w:t>
      </w:r>
      <w:r>
        <w:rPr>
          <w:i/>
          <w:sz w:val="24"/>
        </w:rPr>
        <w:t>татинов для интенсивного и умеренного снижения ХС ЛНП приведены в таблице П4, приложение Б3. При непереносимости высокоинтенсивной терапии </w:t>
      </w:r>
      <w:r>
        <w:rPr>
          <w:rFonts w:ascii="Calibri" w:hAnsi="Calibri"/>
          <w:i/>
          <w:sz w:val="22"/>
        </w:rPr>
        <w:t>с</w:t>
      </w:r>
      <w:r>
        <w:rPr>
          <w:i/>
          <w:sz w:val="24"/>
        </w:rPr>
        <w:t>татин</w:t>
      </w:r>
      <w:r>
        <w:rPr>
          <w:rFonts w:ascii="Calibri" w:hAnsi="Calibri"/>
          <w:i/>
          <w:sz w:val="22"/>
        </w:rPr>
        <w:t>ов </w:t>
      </w:r>
      <w:r>
        <w:rPr>
          <w:i/>
          <w:sz w:val="24"/>
        </w:rPr>
        <w:t>следует рассмотреть снижение дозы препарата с последующей переоценкой переносимости.</w:t>
      </w:r>
    </w:p>
    <w:p>
      <w:pPr>
        <w:pStyle w:val="Heading2"/>
        <w:spacing w:before="213"/>
        <w:jc w:val="both"/>
      </w:pPr>
      <w:r>
        <w:rPr/>
        <w:t>ЕОК/ЕОА</w:t>
      </w:r>
      <w:r>
        <w:rPr>
          <w:spacing w:val="-2"/>
        </w:rPr>
        <w:t> </w:t>
      </w:r>
      <w:r>
        <w:rPr/>
        <w:t>IA</w:t>
      </w:r>
      <w:r>
        <w:rPr>
          <w:spacing w:val="-2"/>
        </w:rPr>
        <w:t> </w:t>
      </w:r>
      <w:r>
        <w:rPr/>
        <w:t>(УУР</w:t>
      </w:r>
      <w:r>
        <w:rPr>
          <w:spacing w:val="-2"/>
        </w:rPr>
        <w:t> </w:t>
      </w:r>
      <w:r>
        <w:rPr/>
        <w:t>В,</w:t>
      </w:r>
      <w:r>
        <w:rPr>
          <w:spacing w:val="1"/>
        </w:rPr>
        <w:t> </w:t>
      </w:r>
      <w:r>
        <w:rPr/>
        <w:t>УДД</w:t>
      </w:r>
      <w:r>
        <w:rPr>
          <w:spacing w:val="-1"/>
        </w:rPr>
        <w:t> </w:t>
      </w:r>
      <w:r>
        <w:rPr>
          <w:spacing w:val="-5"/>
        </w:rPr>
        <w:t>1)</w:t>
      </w:r>
    </w:p>
    <w:p>
      <w:pPr>
        <w:pStyle w:val="BodyText"/>
        <w:spacing w:before="7"/>
        <w:ind w:left="0"/>
        <w:rPr>
          <w:b/>
          <w:sz w:val="29"/>
        </w:rPr>
      </w:pPr>
    </w:p>
    <w:p>
      <w:pPr>
        <w:pStyle w:val="ListParagraph"/>
        <w:numPr>
          <w:ilvl w:val="3"/>
          <w:numId w:val="7"/>
        </w:numPr>
        <w:tabs>
          <w:tab w:pos="1982" w:val="left" w:leader="none"/>
        </w:tabs>
        <w:spacing w:line="355" w:lineRule="auto" w:before="0" w:after="0"/>
        <w:ind w:left="1981" w:right="567" w:hanging="360"/>
        <w:jc w:val="both"/>
        <w:rPr>
          <w:sz w:val="24"/>
        </w:rPr>
      </w:pPr>
      <w:r>
        <w:rPr>
          <w:sz w:val="24"/>
        </w:rPr>
        <w:t>Пациентам, не достигшим целевого уровня ХС ЛНП на фоне максимально переносимых доз статинов, следует рассмотреть возможность комбинированной терапии, в том числе статин с эзетимибом, предпочтительно в одной таблетке или капсуле (зарегистрированы розувастатин+эзетимиб и аторвастатин+эзетимиб) [</w:t>
      </w:r>
      <w:hyperlink w:history="true" w:anchor="_bookmark83">
        <w:r>
          <w:rPr>
            <w:sz w:val="24"/>
          </w:rPr>
          <w:t>38</w:t>
        </w:r>
      </w:hyperlink>
      <w:r>
        <w:rPr>
          <w:sz w:val="24"/>
        </w:rPr>
        <w:t>].</w:t>
      </w:r>
    </w:p>
    <w:p>
      <w:pPr>
        <w:spacing w:after="0" w:line="355" w:lineRule="auto"/>
        <w:jc w:val="both"/>
        <w:rPr>
          <w:sz w:val="24"/>
        </w:rPr>
        <w:sectPr>
          <w:pgSz w:w="11910" w:h="16840"/>
          <w:pgMar w:header="0" w:footer="710" w:top="1040" w:bottom="900" w:left="440" w:right="280"/>
        </w:sectPr>
      </w:pPr>
    </w:p>
    <w:p>
      <w:pPr>
        <w:pStyle w:val="Heading2"/>
        <w:spacing w:before="73"/>
        <w:ind w:left="1090" w:right="6570"/>
        <w:jc w:val="center"/>
      </w:pPr>
      <w:r>
        <w:rPr/>
        <w:t>ЕОК/ЕОА</w:t>
      </w:r>
      <w:r>
        <w:rPr>
          <w:spacing w:val="-3"/>
        </w:rPr>
        <w:t> </w:t>
      </w:r>
      <w:r>
        <w:rPr/>
        <w:t>IВ</w:t>
      </w:r>
      <w:r>
        <w:rPr>
          <w:spacing w:val="-1"/>
        </w:rPr>
        <w:t> </w:t>
      </w:r>
      <w:r>
        <w:rPr/>
        <w:t>(УУР</w:t>
      </w:r>
      <w:r>
        <w:rPr>
          <w:spacing w:val="-2"/>
        </w:rPr>
        <w:t> </w:t>
      </w:r>
      <w:r>
        <w:rPr/>
        <w:t>А,</w:t>
      </w:r>
      <w:r>
        <w:rPr>
          <w:spacing w:val="1"/>
        </w:rPr>
        <w:t> </w:t>
      </w:r>
      <w:r>
        <w:rPr/>
        <w:t>УДД</w:t>
      </w:r>
      <w:r>
        <w:rPr>
          <w:spacing w:val="-1"/>
        </w:rPr>
        <w:t> </w:t>
      </w:r>
      <w:r>
        <w:rPr>
          <w:spacing w:val="-5"/>
        </w:rPr>
        <w:t>2)</w:t>
      </w:r>
    </w:p>
    <w:p>
      <w:pPr>
        <w:pStyle w:val="BodyText"/>
        <w:spacing w:before="7"/>
        <w:ind w:left="0"/>
        <w:rPr>
          <w:b/>
          <w:sz w:val="29"/>
        </w:rPr>
      </w:pPr>
    </w:p>
    <w:p>
      <w:pPr>
        <w:pStyle w:val="ListParagraph"/>
        <w:numPr>
          <w:ilvl w:val="3"/>
          <w:numId w:val="7"/>
        </w:numPr>
        <w:tabs>
          <w:tab w:pos="1982" w:val="left" w:leader="none"/>
        </w:tabs>
        <w:spacing w:line="357" w:lineRule="auto" w:before="0" w:after="0"/>
        <w:ind w:left="1981" w:right="566" w:hanging="360"/>
        <w:jc w:val="both"/>
        <w:rPr>
          <w:sz w:val="24"/>
        </w:rPr>
      </w:pPr>
      <w:r>
        <w:rPr>
          <w:sz w:val="24"/>
        </w:rPr>
        <w:t>У пациентов с очень высоким риском и недостижением целевого уровня ХС ЛНП на фоне максимально переносимых доз статина в комбинации с эзетимибом рекомендовано добавить алирокумаб** (</w:t>
      </w:r>
      <w:r>
        <w:rPr>
          <w:b/>
          <w:sz w:val="24"/>
        </w:rPr>
        <w:t>ЕОК/ЕОА I A)</w:t>
      </w:r>
      <w:r>
        <w:rPr>
          <w:sz w:val="24"/>
        </w:rPr>
        <w:t>, эволокумаб**(</w:t>
      </w:r>
      <w:r>
        <w:rPr>
          <w:b/>
          <w:sz w:val="24"/>
        </w:rPr>
        <w:t>ЕОК/ЕОА</w:t>
      </w:r>
      <w:r>
        <w:rPr>
          <w:b/>
          <w:spacing w:val="40"/>
          <w:sz w:val="24"/>
        </w:rPr>
        <w:t> </w:t>
      </w:r>
      <w:r>
        <w:rPr>
          <w:b/>
          <w:sz w:val="24"/>
        </w:rPr>
        <w:t>I A)</w:t>
      </w:r>
      <w:r>
        <w:rPr>
          <w:b/>
          <w:spacing w:val="-2"/>
          <w:sz w:val="24"/>
        </w:rPr>
        <w:t> </w:t>
      </w:r>
      <w:r>
        <w:rPr>
          <w:sz w:val="24"/>
        </w:rPr>
        <w:t>или инклисиран**</w:t>
      </w:r>
      <w:r>
        <w:rPr>
          <w:spacing w:val="-3"/>
          <w:sz w:val="24"/>
        </w:rPr>
        <w:t> </w:t>
      </w:r>
      <w:r>
        <w:rPr>
          <w:sz w:val="24"/>
        </w:rPr>
        <w:t>(</w:t>
      </w:r>
      <w:r>
        <w:rPr>
          <w:b/>
          <w:sz w:val="24"/>
        </w:rPr>
        <w:t>ЕОК/ЕОА нет) </w:t>
      </w:r>
      <w:r>
        <w:rPr>
          <w:sz w:val="24"/>
        </w:rPr>
        <w:t>с</w:t>
      </w:r>
      <w:r>
        <w:rPr>
          <w:spacing w:val="-2"/>
          <w:sz w:val="24"/>
        </w:rPr>
        <w:t> </w:t>
      </w:r>
      <w:r>
        <w:rPr>
          <w:sz w:val="24"/>
        </w:rPr>
        <w:t>целью вторичной профилактики ССЗ</w:t>
      </w:r>
      <w:r>
        <w:rPr>
          <w:spacing w:val="-1"/>
          <w:sz w:val="24"/>
        </w:rPr>
        <w:t> </w:t>
      </w:r>
      <w:r>
        <w:rPr>
          <w:sz w:val="24"/>
        </w:rPr>
        <w:t>[</w:t>
      </w:r>
      <w:hyperlink w:history="true" w:anchor="_bookmark85">
        <w:r>
          <w:rPr>
            <w:sz w:val="24"/>
          </w:rPr>
          <w:t>40</w:t>
        </w:r>
      </w:hyperlink>
      <w:r>
        <w:rPr>
          <w:sz w:val="24"/>
        </w:rPr>
        <w:t>, </w:t>
      </w:r>
      <w:hyperlink w:history="true" w:anchor="_bookmark86">
        <w:r>
          <w:rPr>
            <w:sz w:val="24"/>
          </w:rPr>
          <w:t>41</w:t>
        </w:r>
      </w:hyperlink>
      <w:r>
        <w:rPr>
          <w:sz w:val="24"/>
        </w:rPr>
        <w:t>, </w:t>
      </w:r>
      <w:hyperlink w:history="true" w:anchor="_bookmark112">
        <w:r>
          <w:rPr>
            <w:sz w:val="24"/>
          </w:rPr>
          <w:t>67</w:t>
        </w:r>
      </w:hyperlink>
      <w:r>
        <w:rPr>
          <w:sz w:val="24"/>
        </w:rPr>
        <w:t>, </w:t>
      </w:r>
      <w:hyperlink w:history="true" w:anchor="_bookmark275">
        <w:r>
          <w:rPr>
            <w:sz w:val="24"/>
          </w:rPr>
          <w:t>234</w:t>
        </w:r>
      </w:hyperlink>
      <w:r>
        <w:rPr>
          <w:sz w:val="24"/>
        </w:rPr>
        <w:t>].</w:t>
      </w:r>
    </w:p>
    <w:p>
      <w:pPr>
        <w:pStyle w:val="Heading2"/>
        <w:spacing w:before="3"/>
        <w:ind w:left="1167" w:right="6570"/>
        <w:jc w:val="center"/>
      </w:pPr>
      <w:r>
        <w:rPr/>
        <w:t>(УУР</w:t>
      </w:r>
      <w:r>
        <w:rPr>
          <w:spacing w:val="-3"/>
        </w:rPr>
        <w:t> </w:t>
      </w:r>
      <w:r>
        <w:rPr/>
        <w:t>А, УДД</w:t>
      </w:r>
      <w:r>
        <w:rPr>
          <w:spacing w:val="-1"/>
        </w:rPr>
        <w:t> </w:t>
      </w:r>
      <w:r>
        <w:rPr>
          <w:spacing w:val="-5"/>
        </w:rPr>
        <w:t>1)</w:t>
      </w:r>
    </w:p>
    <w:p>
      <w:pPr>
        <w:pStyle w:val="ListParagraph"/>
        <w:numPr>
          <w:ilvl w:val="3"/>
          <w:numId w:val="7"/>
        </w:numPr>
        <w:tabs>
          <w:tab w:pos="1981" w:val="left" w:leader="none"/>
          <w:tab w:pos="1982" w:val="left" w:leader="none"/>
        </w:tabs>
        <w:spacing w:line="357" w:lineRule="auto" w:before="139" w:after="0"/>
        <w:ind w:left="1981" w:right="566" w:hanging="360"/>
        <w:jc w:val="left"/>
        <w:rPr>
          <w:b/>
          <w:sz w:val="24"/>
        </w:rPr>
      </w:pPr>
      <w:r>
        <w:rPr>
          <w:sz w:val="24"/>
        </w:rPr>
        <w:t>В</w:t>
      </w:r>
      <w:r>
        <w:rPr>
          <w:spacing w:val="40"/>
          <w:sz w:val="24"/>
        </w:rPr>
        <w:t> </w:t>
      </w:r>
      <w:r>
        <w:rPr>
          <w:sz w:val="24"/>
        </w:rPr>
        <w:t>случае</w:t>
      </w:r>
      <w:r>
        <w:rPr>
          <w:spacing w:val="39"/>
          <w:sz w:val="24"/>
        </w:rPr>
        <w:t> </w:t>
      </w:r>
      <w:r>
        <w:rPr>
          <w:sz w:val="24"/>
        </w:rPr>
        <w:t>значительного</w:t>
      </w:r>
      <w:r>
        <w:rPr>
          <w:spacing w:val="40"/>
          <w:sz w:val="24"/>
        </w:rPr>
        <w:t> </w:t>
      </w:r>
      <w:r>
        <w:rPr>
          <w:sz w:val="24"/>
        </w:rPr>
        <w:t>повышения</w:t>
      </w:r>
      <w:r>
        <w:rPr>
          <w:spacing w:val="40"/>
          <w:sz w:val="24"/>
        </w:rPr>
        <w:t> </w:t>
      </w:r>
      <w:r>
        <w:rPr>
          <w:sz w:val="24"/>
        </w:rPr>
        <w:t>уровня</w:t>
      </w:r>
      <w:r>
        <w:rPr>
          <w:spacing w:val="37"/>
          <w:sz w:val="24"/>
        </w:rPr>
        <w:t> </w:t>
      </w:r>
      <w:r>
        <w:rPr>
          <w:sz w:val="24"/>
        </w:rPr>
        <w:t>ХС</w:t>
      </w:r>
      <w:r>
        <w:rPr>
          <w:spacing w:val="40"/>
          <w:sz w:val="24"/>
        </w:rPr>
        <w:t> </w:t>
      </w:r>
      <w:r>
        <w:rPr>
          <w:sz w:val="24"/>
        </w:rPr>
        <w:t>ЛНП</w:t>
      </w:r>
      <w:r>
        <w:rPr>
          <w:spacing w:val="39"/>
          <w:sz w:val="24"/>
        </w:rPr>
        <w:t> </w:t>
      </w:r>
      <w:r>
        <w:rPr>
          <w:sz w:val="24"/>
        </w:rPr>
        <w:t>у</w:t>
      </w:r>
      <w:r>
        <w:rPr>
          <w:spacing w:val="40"/>
          <w:sz w:val="24"/>
        </w:rPr>
        <w:t> </w:t>
      </w:r>
      <w:r>
        <w:rPr>
          <w:sz w:val="24"/>
        </w:rPr>
        <w:t>больных</w:t>
      </w:r>
      <w:r>
        <w:rPr>
          <w:spacing w:val="40"/>
          <w:sz w:val="24"/>
        </w:rPr>
        <w:t> </w:t>
      </w:r>
      <w:r>
        <w:rPr>
          <w:sz w:val="24"/>
        </w:rPr>
        <w:t>очень</w:t>
      </w:r>
      <w:r>
        <w:rPr>
          <w:spacing w:val="40"/>
          <w:sz w:val="24"/>
        </w:rPr>
        <w:t> </w:t>
      </w:r>
      <w:r>
        <w:rPr>
          <w:sz w:val="24"/>
        </w:rPr>
        <w:t>высокого риска (выше 4,0 ммоль/л), рекомендуется рассмотреть возможность инициального назначения</w:t>
      </w:r>
      <w:r>
        <w:rPr>
          <w:spacing w:val="34"/>
          <w:sz w:val="24"/>
        </w:rPr>
        <w:t> </w:t>
      </w:r>
      <w:r>
        <w:rPr>
          <w:sz w:val="24"/>
        </w:rPr>
        <w:t>статина</w:t>
      </w:r>
      <w:r>
        <w:rPr>
          <w:spacing w:val="33"/>
          <w:sz w:val="24"/>
        </w:rPr>
        <w:t> </w:t>
      </w:r>
      <w:r>
        <w:rPr>
          <w:sz w:val="24"/>
        </w:rPr>
        <w:t>и</w:t>
      </w:r>
      <w:r>
        <w:rPr>
          <w:spacing w:val="33"/>
          <w:sz w:val="24"/>
        </w:rPr>
        <w:t> </w:t>
      </w:r>
      <w:r>
        <w:rPr>
          <w:sz w:val="24"/>
        </w:rPr>
        <w:t>эзетимиба,</w:t>
      </w:r>
      <w:r>
        <w:rPr>
          <w:spacing w:val="34"/>
          <w:sz w:val="24"/>
        </w:rPr>
        <w:t> </w:t>
      </w:r>
      <w:r>
        <w:rPr>
          <w:sz w:val="24"/>
        </w:rPr>
        <w:t>предпочтительно</w:t>
      </w:r>
      <w:r>
        <w:rPr>
          <w:spacing w:val="34"/>
          <w:sz w:val="24"/>
        </w:rPr>
        <w:t> </w:t>
      </w:r>
      <w:r>
        <w:rPr>
          <w:sz w:val="24"/>
        </w:rPr>
        <w:t>в</w:t>
      </w:r>
      <w:r>
        <w:rPr>
          <w:spacing w:val="33"/>
          <w:sz w:val="24"/>
        </w:rPr>
        <w:t> </w:t>
      </w:r>
      <w:r>
        <w:rPr>
          <w:sz w:val="24"/>
        </w:rPr>
        <w:t>одной</w:t>
      </w:r>
      <w:r>
        <w:rPr>
          <w:spacing w:val="35"/>
          <w:sz w:val="24"/>
        </w:rPr>
        <w:t> </w:t>
      </w:r>
      <w:r>
        <w:rPr>
          <w:sz w:val="24"/>
        </w:rPr>
        <w:t>таблетке</w:t>
      </w:r>
      <w:r>
        <w:rPr>
          <w:spacing w:val="33"/>
          <w:sz w:val="24"/>
        </w:rPr>
        <w:t> </w:t>
      </w:r>
      <w:r>
        <w:rPr>
          <w:sz w:val="24"/>
        </w:rPr>
        <w:t>или</w:t>
      </w:r>
      <w:r>
        <w:rPr>
          <w:spacing w:val="35"/>
          <w:sz w:val="24"/>
        </w:rPr>
        <w:t> </w:t>
      </w:r>
      <w:r>
        <w:rPr>
          <w:sz w:val="24"/>
        </w:rPr>
        <w:t>капсуле (зарегистрированы розувастатин+эзетимиб и аторвастатин+эзетимиб) [</w:t>
      </w:r>
      <w:hyperlink w:history="true" w:anchor="_bookmark276">
        <w:r>
          <w:rPr>
            <w:sz w:val="24"/>
          </w:rPr>
          <w:t>235</w:t>
        </w:r>
      </w:hyperlink>
      <w:r>
        <w:rPr>
          <w:sz w:val="24"/>
        </w:rPr>
        <w:t>]. </w:t>
      </w:r>
      <w:r>
        <w:rPr>
          <w:b/>
          <w:sz w:val="24"/>
        </w:rPr>
        <w:t>ЕОК/ЕОА нет (УУР А, УДД 1)</w:t>
      </w:r>
    </w:p>
    <w:p>
      <w:pPr>
        <w:pStyle w:val="ListParagraph"/>
        <w:numPr>
          <w:ilvl w:val="3"/>
          <w:numId w:val="7"/>
        </w:numPr>
        <w:tabs>
          <w:tab w:pos="2042" w:val="left" w:leader="none"/>
        </w:tabs>
        <w:spacing w:line="357" w:lineRule="auto" w:before="5" w:after="0"/>
        <w:ind w:left="1981" w:right="567" w:hanging="360"/>
        <w:jc w:val="both"/>
        <w:rPr>
          <w:sz w:val="24"/>
        </w:rPr>
      </w:pPr>
      <w:r>
        <w:rPr/>
        <w:tab/>
      </w:r>
      <w:r>
        <w:rPr>
          <w:sz w:val="24"/>
        </w:rPr>
        <w:t>В случае значительного повышения уровня ХС ЛНП у больных экстремального или очень высокого риска (выше 5,0</w:t>
      </w:r>
      <w:r>
        <w:rPr>
          <w:spacing w:val="-2"/>
          <w:sz w:val="24"/>
        </w:rPr>
        <w:t> </w:t>
      </w:r>
      <w:r>
        <w:rPr>
          <w:sz w:val="24"/>
        </w:rPr>
        <w:t>ммоль/л), рекомендуется рассмотреть возможность инициального назначения статина максимально переносимой дозе+эзетимиб+ингибитора PCSK9: алирокумаба** (</w:t>
      </w:r>
      <w:r>
        <w:rPr>
          <w:b/>
          <w:sz w:val="24"/>
        </w:rPr>
        <w:t>ЕОК/ЕОА I A)</w:t>
      </w:r>
      <w:r>
        <w:rPr>
          <w:sz w:val="24"/>
        </w:rPr>
        <w:t>,</w:t>
      </w:r>
      <w:r>
        <w:rPr>
          <w:spacing w:val="40"/>
          <w:sz w:val="24"/>
        </w:rPr>
        <w:t> </w:t>
      </w:r>
      <w:r>
        <w:rPr>
          <w:sz w:val="24"/>
        </w:rPr>
        <w:t>эволокумаба** (</w:t>
      </w:r>
      <w:r>
        <w:rPr>
          <w:b/>
          <w:sz w:val="24"/>
        </w:rPr>
        <w:t>ЕОК/ЕОА I A)</w:t>
      </w:r>
      <w:r>
        <w:rPr>
          <w:b/>
          <w:spacing w:val="-1"/>
          <w:sz w:val="24"/>
        </w:rPr>
        <w:t> </w:t>
      </w:r>
      <w:r>
        <w:rPr>
          <w:sz w:val="24"/>
        </w:rPr>
        <w:t>или инклисирана** (</w:t>
      </w:r>
      <w:r>
        <w:rPr>
          <w:b/>
          <w:sz w:val="24"/>
        </w:rPr>
        <w:t>ЕОК/ЕОА нет) </w:t>
      </w:r>
      <w:r>
        <w:rPr>
          <w:sz w:val="24"/>
        </w:rPr>
        <w:t>[</w:t>
      </w:r>
      <w:hyperlink w:history="true" w:anchor="_bookmark275">
        <w:r>
          <w:rPr>
            <w:sz w:val="24"/>
          </w:rPr>
          <w:t>234</w:t>
        </w:r>
      </w:hyperlink>
      <w:r>
        <w:rPr>
          <w:sz w:val="24"/>
        </w:rPr>
        <w:t>, </w:t>
      </w:r>
      <w:hyperlink w:history="true" w:anchor="_bookmark277">
        <w:r>
          <w:rPr>
            <w:sz w:val="24"/>
          </w:rPr>
          <w:t>236</w:t>
        </w:r>
      </w:hyperlink>
      <w:r>
        <w:rPr>
          <w:sz w:val="24"/>
        </w:rPr>
        <w:t>, </w:t>
      </w:r>
      <w:hyperlink w:history="true" w:anchor="_bookmark278">
        <w:r>
          <w:rPr>
            <w:sz w:val="24"/>
          </w:rPr>
          <w:t>237,</w:t>
        </w:r>
      </w:hyperlink>
      <w:r>
        <w:rPr>
          <w:sz w:val="24"/>
        </w:rPr>
        <w:t> </w:t>
      </w:r>
      <w:hyperlink w:history="true" w:anchor="_bookmark285">
        <w:r>
          <w:rPr>
            <w:spacing w:val="-2"/>
            <w:sz w:val="24"/>
          </w:rPr>
          <w:t>245</w:t>
        </w:r>
      </w:hyperlink>
      <w:r>
        <w:rPr>
          <w:spacing w:val="-2"/>
          <w:sz w:val="24"/>
        </w:rPr>
        <w:t>].</w:t>
      </w:r>
    </w:p>
    <w:p>
      <w:pPr>
        <w:pStyle w:val="Heading2"/>
        <w:spacing w:before="5"/>
        <w:ind w:left="1167" w:right="6570"/>
        <w:jc w:val="center"/>
      </w:pPr>
      <w:r>
        <w:rPr/>
        <w:t>(УУР</w:t>
      </w:r>
      <w:r>
        <w:rPr>
          <w:spacing w:val="-3"/>
        </w:rPr>
        <w:t> </w:t>
      </w:r>
      <w:r>
        <w:rPr/>
        <w:t>А, УДД</w:t>
      </w:r>
      <w:r>
        <w:rPr>
          <w:spacing w:val="-1"/>
        </w:rPr>
        <w:t> </w:t>
      </w:r>
      <w:r>
        <w:rPr>
          <w:spacing w:val="-5"/>
        </w:rPr>
        <w:t>1)</w:t>
      </w:r>
    </w:p>
    <w:p>
      <w:pPr>
        <w:pStyle w:val="ListParagraph"/>
        <w:numPr>
          <w:ilvl w:val="3"/>
          <w:numId w:val="7"/>
        </w:numPr>
        <w:tabs>
          <w:tab w:pos="1982" w:val="left" w:leader="none"/>
        </w:tabs>
        <w:spacing w:line="355" w:lineRule="auto" w:before="141" w:after="0"/>
        <w:ind w:left="1981" w:right="566" w:hanging="360"/>
        <w:jc w:val="both"/>
        <w:rPr>
          <w:sz w:val="24"/>
        </w:rPr>
      </w:pPr>
      <w:r>
        <w:rPr>
          <w:sz w:val="24"/>
        </w:rPr>
        <w:t>У пациентов с очень высоким риском, без СГХС, и недостижением целевого</w:t>
      </w:r>
      <w:r>
        <w:rPr>
          <w:spacing w:val="40"/>
          <w:sz w:val="24"/>
        </w:rPr>
        <w:t> </w:t>
      </w:r>
      <w:r>
        <w:rPr>
          <w:sz w:val="24"/>
        </w:rPr>
        <w:t>уровня ХС ЛНП на фоне максимально переносимых доз статина с/без эзетимибом рекомендовано добавить алирокумаб**, эволокумаб** или инклисиран** [</w:t>
      </w:r>
      <w:hyperlink w:history="true" w:anchor="_bookmark85">
        <w:r>
          <w:rPr>
            <w:sz w:val="24"/>
          </w:rPr>
          <w:t>40</w:t>
        </w:r>
      </w:hyperlink>
      <w:r>
        <w:rPr>
          <w:sz w:val="24"/>
        </w:rPr>
        <w:t>, </w:t>
      </w:r>
      <w:hyperlink w:history="true" w:anchor="_bookmark86">
        <w:r>
          <w:rPr>
            <w:sz w:val="24"/>
          </w:rPr>
          <w:t>41,</w:t>
        </w:r>
      </w:hyperlink>
      <w:r>
        <w:rPr>
          <w:sz w:val="24"/>
        </w:rPr>
        <w:t> </w:t>
      </w:r>
      <w:hyperlink w:history="true" w:anchor="_bookmark112">
        <w:r>
          <w:rPr>
            <w:sz w:val="24"/>
          </w:rPr>
          <w:t>67</w:t>
        </w:r>
      </w:hyperlink>
      <w:r>
        <w:rPr>
          <w:sz w:val="24"/>
        </w:rPr>
        <w:t>, </w:t>
      </w:r>
      <w:hyperlink w:history="true" w:anchor="_bookmark275">
        <w:r>
          <w:rPr>
            <w:sz w:val="24"/>
          </w:rPr>
          <w:t>234</w:t>
        </w:r>
      </w:hyperlink>
      <w:r>
        <w:rPr>
          <w:sz w:val="24"/>
        </w:rPr>
        <w:t>] с целью первичной профилактики ССЗ.</w:t>
      </w:r>
    </w:p>
    <w:p>
      <w:pPr>
        <w:pStyle w:val="Heading3"/>
        <w:spacing w:before="10"/>
      </w:pPr>
      <w:r>
        <w:rPr/>
        <w:t>ЕОК/ЕОА</w:t>
      </w:r>
      <w:r>
        <w:rPr>
          <w:spacing w:val="-3"/>
        </w:rPr>
        <w:t> </w:t>
      </w:r>
      <w:r>
        <w:rPr/>
        <w:t>IIbC</w:t>
      </w:r>
      <w:r>
        <w:rPr>
          <w:spacing w:val="-2"/>
        </w:rPr>
        <w:t> </w:t>
      </w:r>
      <w:r>
        <w:rPr/>
        <w:t>(УУР</w:t>
      </w:r>
      <w:r>
        <w:rPr>
          <w:spacing w:val="-2"/>
        </w:rPr>
        <w:t> </w:t>
      </w:r>
      <w:r>
        <w:rPr/>
        <w:t>А,</w:t>
      </w:r>
      <w:r>
        <w:rPr>
          <w:spacing w:val="-1"/>
        </w:rPr>
        <w:t> </w:t>
      </w:r>
      <w:r>
        <w:rPr/>
        <w:t>УДД</w:t>
      </w:r>
      <w:r>
        <w:rPr>
          <w:spacing w:val="-1"/>
        </w:rPr>
        <w:t> </w:t>
      </w:r>
      <w:r>
        <w:rPr>
          <w:spacing w:val="-5"/>
        </w:rPr>
        <w:t>2)</w:t>
      </w:r>
    </w:p>
    <w:p>
      <w:pPr>
        <w:pStyle w:val="BodyText"/>
        <w:spacing w:before="7"/>
        <w:ind w:left="0"/>
        <w:rPr>
          <w:b/>
          <w:sz w:val="29"/>
        </w:rPr>
      </w:pPr>
    </w:p>
    <w:p>
      <w:pPr>
        <w:pStyle w:val="ListParagraph"/>
        <w:numPr>
          <w:ilvl w:val="3"/>
          <w:numId w:val="7"/>
        </w:numPr>
        <w:tabs>
          <w:tab w:pos="1982" w:val="left" w:leader="none"/>
        </w:tabs>
        <w:spacing w:line="348" w:lineRule="auto" w:before="0" w:after="0"/>
        <w:ind w:left="1981" w:right="567" w:hanging="360"/>
        <w:jc w:val="both"/>
        <w:rPr>
          <w:sz w:val="24"/>
        </w:rPr>
      </w:pPr>
      <w:r>
        <w:rPr>
          <w:sz w:val="24"/>
        </w:rPr>
        <w:t>Пациентам с непереносимостью любой дозы статина рекомендован прием эзетимиба [1, 2].</w:t>
      </w:r>
    </w:p>
    <w:p>
      <w:pPr>
        <w:pStyle w:val="Heading3"/>
        <w:spacing w:before="17"/>
      </w:pPr>
      <w:r>
        <w:rPr/>
        <w:t>ЕОК/ЕОА</w:t>
      </w:r>
      <w:r>
        <w:rPr>
          <w:spacing w:val="-3"/>
        </w:rPr>
        <w:t> </w:t>
      </w:r>
      <w:r>
        <w:rPr/>
        <w:t>IIаC</w:t>
      </w:r>
      <w:r>
        <w:rPr>
          <w:spacing w:val="-2"/>
        </w:rPr>
        <w:t> </w:t>
      </w:r>
      <w:r>
        <w:rPr/>
        <w:t>(УУР</w:t>
      </w:r>
      <w:r>
        <w:rPr>
          <w:spacing w:val="1"/>
        </w:rPr>
        <w:t> </w:t>
      </w:r>
      <w:r>
        <w:rPr/>
        <w:t>А,</w:t>
      </w:r>
      <w:r>
        <w:rPr>
          <w:spacing w:val="-1"/>
        </w:rPr>
        <w:t> </w:t>
      </w:r>
      <w:r>
        <w:rPr/>
        <w:t>УДД</w:t>
      </w:r>
      <w:r>
        <w:rPr>
          <w:spacing w:val="-1"/>
        </w:rPr>
        <w:t> </w:t>
      </w:r>
      <w:r>
        <w:rPr>
          <w:spacing w:val="-5"/>
        </w:rPr>
        <w:t>2)</w:t>
      </w:r>
    </w:p>
    <w:p>
      <w:pPr>
        <w:pStyle w:val="BodyText"/>
        <w:spacing w:before="4"/>
        <w:ind w:left="0"/>
        <w:rPr>
          <w:b/>
          <w:sz w:val="29"/>
        </w:rPr>
      </w:pPr>
    </w:p>
    <w:p>
      <w:pPr>
        <w:pStyle w:val="ListParagraph"/>
        <w:numPr>
          <w:ilvl w:val="3"/>
          <w:numId w:val="7"/>
        </w:numPr>
        <w:tabs>
          <w:tab w:pos="1982" w:val="left" w:leader="none"/>
        </w:tabs>
        <w:spacing w:line="355" w:lineRule="auto" w:before="0" w:after="0"/>
        <w:ind w:left="1981" w:right="568" w:hanging="360"/>
        <w:jc w:val="both"/>
        <w:rPr>
          <w:sz w:val="24"/>
        </w:rPr>
      </w:pPr>
      <w:r>
        <w:rPr>
          <w:sz w:val="24"/>
        </w:rPr>
        <w:t>Пациентам с непереносимостью любой дозы статина, которые на фоне приема эзетимиба не достигли целевого уровня ХС ЛНП, рекомендовано добавление к терапии алирокумаба**, эволокумаба** или инклисирана** [</w:t>
      </w:r>
      <w:hyperlink w:history="true" w:anchor="_bookmark116">
        <w:r>
          <w:rPr>
            <w:sz w:val="24"/>
          </w:rPr>
          <w:t>71</w:t>
        </w:r>
      </w:hyperlink>
      <w:r>
        <w:rPr>
          <w:sz w:val="24"/>
        </w:rPr>
        <w:t>, </w:t>
      </w:r>
      <w:hyperlink w:history="true" w:anchor="_bookmark117">
        <w:r>
          <w:rPr>
            <w:sz w:val="24"/>
          </w:rPr>
          <w:t>72</w:t>
        </w:r>
      </w:hyperlink>
      <w:r>
        <w:rPr>
          <w:sz w:val="24"/>
        </w:rPr>
        <w:t>, </w:t>
      </w:r>
      <w:hyperlink w:history="true" w:anchor="_bookmark118">
        <w:r>
          <w:rPr>
            <w:sz w:val="24"/>
          </w:rPr>
          <w:t>73</w:t>
        </w:r>
      </w:hyperlink>
      <w:r>
        <w:rPr>
          <w:sz w:val="24"/>
        </w:rPr>
        <w:t>, </w:t>
      </w:r>
      <w:hyperlink w:history="true" w:anchor="_bookmark275">
        <w:r>
          <w:rPr>
            <w:sz w:val="24"/>
          </w:rPr>
          <w:t>234</w:t>
        </w:r>
      </w:hyperlink>
      <w:r>
        <w:rPr>
          <w:sz w:val="24"/>
        </w:rPr>
        <w:t>].</w:t>
      </w:r>
    </w:p>
    <w:p>
      <w:pPr>
        <w:pStyle w:val="Heading3"/>
        <w:spacing w:before="6"/>
      </w:pPr>
      <w:r>
        <w:rPr/>
        <w:t>ЕОК/ЕОА</w:t>
      </w:r>
      <w:r>
        <w:rPr>
          <w:spacing w:val="-3"/>
        </w:rPr>
        <w:t> </w:t>
      </w:r>
      <w:r>
        <w:rPr/>
        <w:t>IIbC</w:t>
      </w:r>
      <w:r>
        <w:rPr>
          <w:spacing w:val="-2"/>
        </w:rPr>
        <w:t> </w:t>
      </w:r>
      <w:r>
        <w:rPr/>
        <w:t>(УУР</w:t>
      </w:r>
      <w:r>
        <w:rPr>
          <w:spacing w:val="-2"/>
        </w:rPr>
        <w:t> </w:t>
      </w:r>
      <w:r>
        <w:rPr/>
        <w:t>А,</w:t>
      </w:r>
      <w:r>
        <w:rPr>
          <w:spacing w:val="-1"/>
        </w:rPr>
        <w:t> </w:t>
      </w:r>
      <w:r>
        <w:rPr/>
        <w:t>УДД</w:t>
      </w:r>
      <w:r>
        <w:rPr>
          <w:spacing w:val="-1"/>
        </w:rPr>
        <w:t> </w:t>
      </w:r>
      <w:r>
        <w:rPr>
          <w:spacing w:val="-5"/>
        </w:rPr>
        <w:t>2)</w:t>
      </w:r>
    </w:p>
    <w:p>
      <w:pPr>
        <w:spacing w:after="0"/>
        <w:sectPr>
          <w:pgSz w:w="11910" w:h="16840"/>
          <w:pgMar w:header="0" w:footer="710" w:top="1040" w:bottom="900" w:left="440" w:right="280"/>
        </w:sectPr>
      </w:pPr>
    </w:p>
    <w:p>
      <w:pPr>
        <w:spacing w:line="360" w:lineRule="auto" w:before="73"/>
        <w:ind w:left="1261" w:right="566" w:firstLine="0"/>
        <w:jc w:val="both"/>
        <w:rPr>
          <w:i/>
          <w:sz w:val="24"/>
        </w:rPr>
      </w:pPr>
      <w:r>
        <w:rPr>
          <w:b/>
          <w:sz w:val="24"/>
        </w:rPr>
        <w:t>Комментарии: </w:t>
      </w:r>
      <w:r>
        <w:rPr>
          <w:i/>
          <w:sz w:val="24"/>
        </w:rPr>
        <w:t>степень снижения уровня ХС ЛНП при различных вариантах гиполипидемической терапии указан в таблице А3.11. Алгоритм медикаментозной терапии достижения целевого уровня ХС ЛНП приведен в Приложении Б2.</w:t>
      </w:r>
    </w:p>
    <w:p>
      <w:pPr>
        <w:pStyle w:val="BodyText"/>
        <w:ind w:left="0"/>
        <w:rPr>
          <w:i/>
          <w:sz w:val="26"/>
        </w:rPr>
      </w:pPr>
    </w:p>
    <w:p>
      <w:pPr>
        <w:pStyle w:val="BodyText"/>
        <w:ind w:left="0"/>
        <w:rPr>
          <w:i/>
          <w:sz w:val="26"/>
        </w:rPr>
      </w:pPr>
    </w:p>
    <w:p>
      <w:pPr>
        <w:pStyle w:val="BodyText"/>
        <w:spacing w:before="9"/>
        <w:ind w:left="0"/>
        <w:rPr>
          <w:i/>
          <w:sz w:val="25"/>
        </w:rPr>
      </w:pPr>
    </w:p>
    <w:p>
      <w:pPr>
        <w:pStyle w:val="Heading3"/>
        <w:numPr>
          <w:ilvl w:val="2"/>
          <w:numId w:val="7"/>
        </w:numPr>
        <w:tabs>
          <w:tab w:pos="2872" w:val="left" w:leader="none"/>
        </w:tabs>
        <w:spacing w:line="240" w:lineRule="auto" w:before="0" w:after="0"/>
        <w:ind w:left="2872" w:right="0" w:hanging="540"/>
        <w:jc w:val="left"/>
      </w:pPr>
      <w:bookmarkStart w:name="3.3.4 Медикаментозная терапия гипертригл" w:id="51"/>
      <w:bookmarkEnd w:id="51"/>
      <w:r>
        <w:rPr>
          <w:b w:val="0"/>
        </w:rPr>
      </w:r>
      <w:bookmarkStart w:name="_bookmark25" w:id="52"/>
      <w:bookmarkEnd w:id="52"/>
      <w:r>
        <w:rPr/>
        <w:t>М</w:t>
      </w:r>
      <w:r>
        <w:rPr/>
        <w:t>едикаментозная</w:t>
      </w:r>
      <w:r>
        <w:rPr>
          <w:spacing w:val="-5"/>
        </w:rPr>
        <w:t> </w:t>
      </w:r>
      <w:r>
        <w:rPr/>
        <w:t>терапия</w:t>
      </w:r>
      <w:r>
        <w:rPr>
          <w:spacing w:val="-4"/>
        </w:rPr>
        <w:t> </w:t>
      </w:r>
      <w:r>
        <w:rPr>
          <w:spacing w:val="-2"/>
        </w:rPr>
        <w:t>гипертриглицеридемии</w:t>
      </w:r>
    </w:p>
    <w:p>
      <w:pPr>
        <w:pStyle w:val="BodyText"/>
        <w:spacing w:line="360" w:lineRule="auto" w:before="139"/>
        <w:ind w:left="1261" w:right="567"/>
        <w:jc w:val="both"/>
      </w:pPr>
      <w:r>
        <w:rPr/>
        <w:t>Пациентам любой категории риска рекомендован целевой уровень ТГ &lt;1,7 ммоль/л [</w:t>
      </w:r>
      <w:hyperlink w:history="true" w:anchor="_bookmark62">
        <w:r>
          <w:rPr/>
          <w:t>16</w:t>
        </w:r>
      </w:hyperlink>
      <w:r>
        <w:rPr/>
        <w:t>, </w:t>
      </w:r>
      <w:hyperlink w:history="true" w:anchor="_bookmark199">
        <w:r>
          <w:rPr/>
          <w:t>154</w:t>
        </w:r>
      </w:hyperlink>
      <w:r>
        <w:rPr/>
        <w:t>, </w:t>
      </w:r>
      <w:hyperlink w:history="true" w:anchor="_bookmark204">
        <w:r>
          <w:rPr/>
          <w:t>161</w:t>
        </w:r>
      </w:hyperlink>
      <w:r>
        <w:rPr/>
        <w:t>].</w:t>
      </w:r>
    </w:p>
    <w:p>
      <w:pPr>
        <w:pStyle w:val="Heading3"/>
      </w:pPr>
      <w:r>
        <w:rPr/>
        <w:t>ЕОК/ЕОА</w:t>
      </w:r>
      <w:r>
        <w:rPr>
          <w:spacing w:val="-2"/>
        </w:rPr>
        <w:t> </w:t>
      </w:r>
      <w:r>
        <w:rPr/>
        <w:t>IIaC</w:t>
      </w:r>
      <w:r>
        <w:rPr>
          <w:spacing w:val="-2"/>
        </w:rPr>
        <w:t> </w:t>
      </w:r>
      <w:r>
        <w:rPr/>
        <w:t>(УУР</w:t>
      </w:r>
      <w:r>
        <w:rPr>
          <w:spacing w:val="1"/>
        </w:rPr>
        <w:t> </w:t>
      </w:r>
      <w:r>
        <w:rPr/>
        <w:t>B,</w:t>
      </w:r>
      <w:r>
        <w:rPr>
          <w:spacing w:val="-1"/>
        </w:rPr>
        <w:t> </w:t>
      </w:r>
      <w:r>
        <w:rPr/>
        <w:t>УДД</w:t>
      </w:r>
      <w:r>
        <w:rPr>
          <w:spacing w:val="-1"/>
        </w:rPr>
        <w:t> </w:t>
      </w:r>
      <w:r>
        <w:rPr>
          <w:spacing w:val="-5"/>
        </w:rPr>
        <w:t>2)</w:t>
      </w:r>
    </w:p>
    <w:p>
      <w:pPr>
        <w:spacing w:line="360" w:lineRule="auto" w:before="137"/>
        <w:ind w:left="1261" w:right="566" w:firstLine="0"/>
        <w:jc w:val="both"/>
        <w:rPr>
          <w:sz w:val="24"/>
        </w:rPr>
      </w:pPr>
      <w:r>
        <w:rPr>
          <w:i/>
          <w:sz w:val="24"/>
        </w:rPr>
        <w:t>Комментарии: важными причинами остаточного риска являются высокий уровень ТГ и низкий уровень ХС ЛВП в</w:t>
      </w:r>
      <w:r>
        <w:rPr>
          <w:i/>
          <w:spacing w:val="-1"/>
          <w:sz w:val="24"/>
        </w:rPr>
        <w:t> </w:t>
      </w:r>
      <w:r>
        <w:rPr>
          <w:i/>
          <w:sz w:val="24"/>
        </w:rPr>
        <w:t>плазме</w:t>
      </w:r>
      <w:r>
        <w:rPr>
          <w:i/>
          <w:spacing w:val="-1"/>
          <w:sz w:val="24"/>
        </w:rPr>
        <w:t> </w:t>
      </w:r>
      <w:r>
        <w:rPr>
          <w:i/>
          <w:sz w:val="24"/>
        </w:rPr>
        <w:t>крови. Даже при достижении целевого уровня ХС ЛНП у пациентов сохраняется остаточный риск ССО. По данным крупнейшего эпидемиологического исследования (Framingham Study), уровень ТГ&lt;1,7 ммоль/л (&lt; 150 мг/дл) указывает на более низкий риск ССО, более высокие уровни указывают на необходимость поиска причин повышения уровня ТГ. Повышенные уровни ТГ и низкий уровень ХС ЛВП синергично увеличивают риск ССО у пациентов с уже достигнутыми</w:t>
      </w:r>
      <w:r>
        <w:rPr>
          <w:i/>
          <w:spacing w:val="40"/>
          <w:sz w:val="24"/>
        </w:rPr>
        <w:t> </w:t>
      </w:r>
      <w:r>
        <w:rPr>
          <w:i/>
          <w:sz w:val="24"/>
        </w:rPr>
        <w:t>ЦУ ХС ЛНП </w:t>
      </w:r>
      <w:r>
        <w:rPr>
          <w:sz w:val="24"/>
        </w:rPr>
        <w:t>[</w:t>
      </w:r>
      <w:hyperlink w:history="true" w:anchor="_bookmark62">
        <w:r>
          <w:rPr>
            <w:sz w:val="24"/>
          </w:rPr>
          <w:t>16,</w:t>
        </w:r>
      </w:hyperlink>
      <w:r>
        <w:rPr>
          <w:sz w:val="24"/>
        </w:rPr>
        <w:t> </w:t>
      </w:r>
      <w:hyperlink w:history="true" w:anchor="_bookmark199">
        <w:r>
          <w:rPr>
            <w:sz w:val="24"/>
          </w:rPr>
          <w:t>154,</w:t>
        </w:r>
      </w:hyperlink>
      <w:r>
        <w:rPr>
          <w:sz w:val="24"/>
        </w:rPr>
        <w:t> </w:t>
      </w:r>
      <w:hyperlink w:history="true" w:anchor="_bookmark204">
        <w:r>
          <w:rPr>
            <w:sz w:val="24"/>
          </w:rPr>
          <w:t>161</w:t>
        </w:r>
      </w:hyperlink>
      <w:r>
        <w:rPr>
          <w:sz w:val="24"/>
        </w:rPr>
        <w:t>].</w:t>
      </w:r>
    </w:p>
    <w:p>
      <w:pPr>
        <w:pStyle w:val="ListParagraph"/>
        <w:numPr>
          <w:ilvl w:val="3"/>
          <w:numId w:val="7"/>
        </w:numPr>
        <w:tabs>
          <w:tab w:pos="1982" w:val="left" w:leader="none"/>
        </w:tabs>
        <w:spacing w:line="355" w:lineRule="auto" w:before="2" w:after="0"/>
        <w:ind w:left="1981" w:right="566" w:hanging="360"/>
        <w:jc w:val="both"/>
        <w:rPr>
          <w:sz w:val="24"/>
        </w:rPr>
      </w:pPr>
      <w:r>
        <w:rPr>
          <w:sz w:val="24"/>
        </w:rPr>
        <w:t>Пациентам высокого и очень высокого риска, достигшим на терапии статином уровня</w:t>
      </w:r>
      <w:r>
        <w:rPr>
          <w:spacing w:val="73"/>
          <w:sz w:val="24"/>
        </w:rPr>
        <w:t> </w:t>
      </w:r>
      <w:r>
        <w:rPr>
          <w:sz w:val="24"/>
        </w:rPr>
        <w:t>ТГ</w:t>
      </w:r>
      <w:r>
        <w:rPr>
          <w:spacing w:val="74"/>
          <w:sz w:val="24"/>
        </w:rPr>
        <w:t> </w:t>
      </w:r>
      <w:r>
        <w:rPr>
          <w:sz w:val="24"/>
        </w:rPr>
        <w:t>1,7–2,3</w:t>
      </w:r>
      <w:r>
        <w:rPr>
          <w:spacing w:val="73"/>
          <w:sz w:val="24"/>
        </w:rPr>
        <w:t> </w:t>
      </w:r>
      <w:r>
        <w:rPr>
          <w:sz w:val="24"/>
        </w:rPr>
        <w:t>ммоль/л,</w:t>
      </w:r>
      <w:r>
        <w:rPr>
          <w:spacing w:val="73"/>
          <w:sz w:val="24"/>
        </w:rPr>
        <w:t> </w:t>
      </w:r>
      <w:r>
        <w:rPr>
          <w:sz w:val="24"/>
        </w:rPr>
        <w:t>рекомендовано</w:t>
      </w:r>
      <w:r>
        <w:rPr>
          <w:spacing w:val="73"/>
          <w:sz w:val="24"/>
        </w:rPr>
        <w:t> </w:t>
      </w:r>
      <w:r>
        <w:rPr>
          <w:sz w:val="24"/>
        </w:rPr>
        <w:t>добавить</w:t>
      </w:r>
      <w:r>
        <w:rPr>
          <w:spacing w:val="74"/>
          <w:sz w:val="24"/>
        </w:rPr>
        <w:t> </w:t>
      </w:r>
      <w:r>
        <w:rPr>
          <w:sz w:val="24"/>
        </w:rPr>
        <w:t>препарат</w:t>
      </w:r>
      <w:r>
        <w:rPr>
          <w:spacing w:val="74"/>
          <w:sz w:val="24"/>
        </w:rPr>
        <w:t> </w:t>
      </w:r>
      <w:r>
        <w:rPr>
          <w:sz w:val="24"/>
        </w:rPr>
        <w:t>омега-3</w:t>
      </w:r>
      <w:r>
        <w:rPr>
          <w:spacing w:val="76"/>
          <w:sz w:val="24"/>
        </w:rPr>
        <w:t> </w:t>
      </w:r>
      <w:r>
        <w:rPr>
          <w:sz w:val="24"/>
        </w:rPr>
        <w:t>ПНЖК в дозе до 2 г 2 раза в день [</w:t>
      </w:r>
      <w:hyperlink w:history="true" w:anchor="_bookmark113">
        <w:r>
          <w:rPr>
            <w:sz w:val="24"/>
          </w:rPr>
          <w:t>68</w:t>
        </w:r>
      </w:hyperlink>
      <w:r>
        <w:rPr>
          <w:sz w:val="24"/>
        </w:rPr>
        <w:t>].</w:t>
      </w:r>
    </w:p>
    <w:p>
      <w:pPr>
        <w:pStyle w:val="Heading3"/>
        <w:spacing w:before="6"/>
      </w:pPr>
      <w:r>
        <w:rPr/>
        <w:t>ЕОК/ЕОА</w:t>
      </w:r>
      <w:r>
        <w:rPr>
          <w:spacing w:val="-4"/>
        </w:rPr>
        <w:t> </w:t>
      </w:r>
      <w:r>
        <w:rPr/>
        <w:t>IIaВ</w:t>
      </w:r>
      <w:r>
        <w:rPr>
          <w:spacing w:val="-1"/>
        </w:rPr>
        <w:t> </w:t>
      </w:r>
      <w:r>
        <w:rPr/>
        <w:t>(УУР</w:t>
      </w:r>
      <w:r>
        <w:rPr>
          <w:spacing w:val="-2"/>
        </w:rPr>
        <w:t> </w:t>
      </w:r>
      <w:r>
        <w:rPr/>
        <w:t>В,</w:t>
      </w:r>
      <w:r>
        <w:rPr>
          <w:spacing w:val="-1"/>
        </w:rPr>
        <w:t> </w:t>
      </w:r>
      <w:r>
        <w:rPr/>
        <w:t>УДД</w:t>
      </w:r>
      <w:r>
        <w:rPr>
          <w:spacing w:val="-1"/>
        </w:rPr>
        <w:t> </w:t>
      </w:r>
      <w:r>
        <w:rPr>
          <w:spacing w:val="-5"/>
        </w:rPr>
        <w:t>2)</w:t>
      </w:r>
    </w:p>
    <w:p>
      <w:pPr>
        <w:pStyle w:val="ListParagraph"/>
        <w:numPr>
          <w:ilvl w:val="3"/>
          <w:numId w:val="7"/>
        </w:numPr>
        <w:tabs>
          <w:tab w:pos="1982" w:val="left" w:leader="none"/>
        </w:tabs>
        <w:spacing w:line="357" w:lineRule="auto" w:before="139" w:after="0"/>
        <w:ind w:left="1981" w:right="567" w:hanging="360"/>
        <w:jc w:val="both"/>
        <w:rPr>
          <w:sz w:val="24"/>
        </w:rPr>
      </w:pPr>
      <w:r>
        <w:rPr>
          <w:sz w:val="24"/>
        </w:rPr>
        <w:t>Пациентам с уровнем ТГ&gt; 2,3 ммоль/л на терапии статином, рекомендовано добавить фенофибрат** (предпочтительно в одной таблетке (зарегистрирован розувастатин+фенофибрат) или препарат омега-3 ПНЖК в дозе до 2 г 2 раза в день [</w:t>
      </w:r>
      <w:hyperlink w:history="true" w:anchor="_bookmark113">
        <w:r>
          <w:rPr>
            <w:sz w:val="24"/>
          </w:rPr>
          <w:t>68,</w:t>
        </w:r>
      </w:hyperlink>
      <w:r>
        <w:rPr>
          <w:sz w:val="24"/>
        </w:rPr>
        <w:t> </w:t>
      </w:r>
      <w:hyperlink w:history="true" w:anchor="_bookmark122">
        <w:r>
          <w:rPr>
            <w:sz w:val="24"/>
          </w:rPr>
          <w:t>77,</w:t>
        </w:r>
      </w:hyperlink>
      <w:r>
        <w:rPr>
          <w:sz w:val="24"/>
        </w:rPr>
        <w:t> </w:t>
      </w:r>
      <w:hyperlink w:history="true" w:anchor="_bookmark123">
        <w:r>
          <w:rPr>
            <w:sz w:val="24"/>
          </w:rPr>
          <w:t>78,</w:t>
        </w:r>
      </w:hyperlink>
      <w:r>
        <w:rPr>
          <w:sz w:val="24"/>
        </w:rPr>
        <w:t> </w:t>
      </w:r>
      <w:hyperlink w:history="true" w:anchor="_bookmark124">
        <w:r>
          <w:rPr>
            <w:sz w:val="24"/>
          </w:rPr>
          <w:t>79</w:t>
        </w:r>
      </w:hyperlink>
      <w:r>
        <w:rPr>
          <w:sz w:val="24"/>
        </w:rPr>
        <w:t>].</w:t>
      </w:r>
    </w:p>
    <w:p>
      <w:pPr>
        <w:spacing w:line="360" w:lineRule="auto" w:before="2"/>
        <w:ind w:left="1981" w:right="566" w:firstLine="0"/>
        <w:jc w:val="both"/>
        <w:rPr>
          <w:i/>
          <w:sz w:val="24"/>
        </w:rPr>
      </w:pPr>
      <w:r>
        <w:rPr>
          <w:i/>
          <w:sz w:val="24"/>
        </w:rPr>
        <w:t>Комментарии: В исследовании ECLIPSE-REAL к концу 12</w:t>
      </w:r>
      <w:r>
        <w:rPr>
          <w:i/>
          <w:spacing w:val="-1"/>
          <w:sz w:val="24"/>
        </w:rPr>
        <w:t> </w:t>
      </w:r>
      <w:r>
        <w:rPr>
          <w:i/>
          <w:sz w:val="24"/>
        </w:rPr>
        <w:t>недель терапии комбинацией фенофибрата** и статина значительно снизили ОХС, ТГ, ХС ЛНП, ХС ЛОНП, но более значимым и статистически значимым снижение было в группе, получавшей комбинацию розувастатина и фенофибрата** [</w:t>
      </w:r>
      <w:hyperlink w:history="true" w:anchor="_bookmark205">
        <w:r>
          <w:rPr>
            <w:i/>
            <w:sz w:val="24"/>
          </w:rPr>
          <w:t>162</w:t>
        </w:r>
      </w:hyperlink>
      <w:r>
        <w:rPr>
          <w:i/>
          <w:sz w:val="24"/>
        </w:rPr>
        <w:t>–</w:t>
      </w:r>
      <w:hyperlink w:history="true" w:anchor="_bookmark206">
        <w:r>
          <w:rPr>
            <w:i/>
            <w:sz w:val="24"/>
          </w:rPr>
          <w:t>164</w:t>
        </w:r>
      </w:hyperlink>
      <w:r>
        <w:rPr>
          <w:i/>
          <w:sz w:val="24"/>
        </w:rPr>
        <w:t>].</w:t>
      </w:r>
    </w:p>
    <w:p>
      <w:pPr>
        <w:pStyle w:val="Heading3"/>
        <w:spacing w:line="274" w:lineRule="exact"/>
      </w:pPr>
      <w:r>
        <w:rPr/>
        <w:t>ЕОК/ЕОА</w:t>
      </w:r>
      <w:r>
        <w:rPr>
          <w:spacing w:val="-3"/>
        </w:rPr>
        <w:t> </w:t>
      </w:r>
      <w:r>
        <w:rPr/>
        <w:t>IIaВ</w:t>
      </w:r>
      <w:r>
        <w:rPr>
          <w:spacing w:val="-1"/>
        </w:rPr>
        <w:t> </w:t>
      </w:r>
      <w:r>
        <w:rPr/>
        <w:t>(УУР</w:t>
      </w:r>
      <w:r>
        <w:rPr>
          <w:spacing w:val="-2"/>
        </w:rPr>
        <w:t> </w:t>
      </w:r>
      <w:r>
        <w:rPr/>
        <w:t>С,</w:t>
      </w:r>
      <w:r>
        <w:rPr>
          <w:spacing w:val="-1"/>
        </w:rPr>
        <w:t> </w:t>
      </w:r>
      <w:r>
        <w:rPr/>
        <w:t>УДД</w:t>
      </w:r>
      <w:r>
        <w:rPr>
          <w:spacing w:val="-1"/>
        </w:rPr>
        <w:t> </w:t>
      </w:r>
      <w:r>
        <w:rPr>
          <w:spacing w:val="-5"/>
        </w:rPr>
        <w:t>5)</w:t>
      </w:r>
    </w:p>
    <w:p>
      <w:pPr>
        <w:pStyle w:val="ListParagraph"/>
        <w:numPr>
          <w:ilvl w:val="3"/>
          <w:numId w:val="7"/>
        </w:numPr>
        <w:tabs>
          <w:tab w:pos="1982" w:val="left" w:leader="none"/>
        </w:tabs>
        <w:spacing w:line="350" w:lineRule="auto" w:before="141" w:after="0"/>
        <w:ind w:left="1981" w:right="569" w:hanging="360"/>
        <w:jc w:val="both"/>
        <w:rPr>
          <w:sz w:val="24"/>
        </w:rPr>
      </w:pPr>
      <w:r>
        <w:rPr>
          <w:sz w:val="24"/>
        </w:rPr>
        <w:t>Пациентам с уровнем ТГ &gt; 5,0 ммоль/л, рекомендовано назначить фенофибрат** и препарат омега-3 ПНЖК в дозе до 2 г 2 раза [</w:t>
      </w:r>
      <w:hyperlink w:history="true" w:anchor="_bookmark274">
        <w:r>
          <w:rPr>
            <w:sz w:val="24"/>
          </w:rPr>
          <w:t>233</w:t>
        </w:r>
      </w:hyperlink>
      <w:r>
        <w:rPr>
          <w:sz w:val="24"/>
        </w:rPr>
        <w:t>].</w:t>
      </w:r>
    </w:p>
    <w:p>
      <w:pPr>
        <w:pStyle w:val="Heading3"/>
        <w:spacing w:before="10"/>
      </w:pPr>
      <w:r>
        <w:rPr/>
        <w:t>ЕОК/ЕОА</w:t>
      </w:r>
      <w:r>
        <w:rPr>
          <w:spacing w:val="-4"/>
        </w:rPr>
        <w:t> </w:t>
      </w:r>
      <w:r>
        <w:rPr/>
        <w:t>IIaВ</w:t>
      </w:r>
      <w:r>
        <w:rPr>
          <w:spacing w:val="-1"/>
        </w:rPr>
        <w:t> </w:t>
      </w:r>
      <w:r>
        <w:rPr/>
        <w:t>(УУР</w:t>
      </w:r>
      <w:r>
        <w:rPr>
          <w:spacing w:val="-2"/>
        </w:rPr>
        <w:t> </w:t>
      </w:r>
      <w:r>
        <w:rPr/>
        <w:t>В,</w:t>
      </w:r>
      <w:r>
        <w:rPr>
          <w:spacing w:val="-1"/>
        </w:rPr>
        <w:t> </w:t>
      </w:r>
      <w:r>
        <w:rPr/>
        <w:t>УДД</w:t>
      </w:r>
      <w:r>
        <w:rPr>
          <w:spacing w:val="-1"/>
        </w:rPr>
        <w:t> </w:t>
      </w:r>
      <w:r>
        <w:rPr>
          <w:spacing w:val="-5"/>
        </w:rPr>
        <w:t>2)</w:t>
      </w:r>
    </w:p>
    <w:p>
      <w:pPr>
        <w:spacing w:before="140"/>
        <w:ind w:left="1261" w:right="0" w:firstLine="0"/>
        <w:jc w:val="left"/>
        <w:rPr>
          <w:i/>
          <w:sz w:val="24"/>
        </w:rPr>
      </w:pPr>
      <w:r>
        <w:rPr>
          <w:i/>
          <w:sz w:val="24"/>
        </w:rPr>
        <w:t>Алгоритм</w:t>
      </w:r>
      <w:r>
        <w:rPr>
          <w:i/>
          <w:spacing w:val="-5"/>
          <w:sz w:val="24"/>
        </w:rPr>
        <w:t> </w:t>
      </w:r>
      <w:r>
        <w:rPr>
          <w:i/>
          <w:sz w:val="24"/>
        </w:rPr>
        <w:t>выбора</w:t>
      </w:r>
      <w:r>
        <w:rPr>
          <w:i/>
          <w:spacing w:val="-2"/>
          <w:sz w:val="24"/>
        </w:rPr>
        <w:t> </w:t>
      </w:r>
      <w:r>
        <w:rPr>
          <w:i/>
          <w:sz w:val="24"/>
        </w:rPr>
        <w:t>медикаментозной</w:t>
      </w:r>
      <w:r>
        <w:rPr>
          <w:i/>
          <w:spacing w:val="-2"/>
          <w:sz w:val="24"/>
        </w:rPr>
        <w:t> </w:t>
      </w:r>
      <w:r>
        <w:rPr>
          <w:i/>
          <w:sz w:val="24"/>
        </w:rPr>
        <w:t>терапии</w:t>
      </w:r>
      <w:r>
        <w:rPr>
          <w:i/>
          <w:spacing w:val="-2"/>
          <w:sz w:val="24"/>
        </w:rPr>
        <w:t> </w:t>
      </w:r>
      <w:r>
        <w:rPr>
          <w:i/>
          <w:sz w:val="24"/>
        </w:rPr>
        <w:t>ГТГ</w:t>
      </w:r>
      <w:r>
        <w:rPr>
          <w:i/>
          <w:spacing w:val="-2"/>
          <w:sz w:val="24"/>
        </w:rPr>
        <w:t> </w:t>
      </w:r>
      <w:r>
        <w:rPr>
          <w:i/>
          <w:sz w:val="24"/>
        </w:rPr>
        <w:t>представлен</w:t>
      </w:r>
      <w:r>
        <w:rPr>
          <w:i/>
          <w:spacing w:val="-2"/>
          <w:sz w:val="24"/>
        </w:rPr>
        <w:t> </w:t>
      </w:r>
      <w:r>
        <w:rPr>
          <w:i/>
          <w:sz w:val="24"/>
        </w:rPr>
        <w:t>в</w:t>
      </w:r>
      <w:r>
        <w:rPr>
          <w:i/>
          <w:spacing w:val="-3"/>
          <w:sz w:val="24"/>
        </w:rPr>
        <w:t> </w:t>
      </w:r>
      <w:r>
        <w:rPr>
          <w:i/>
          <w:sz w:val="24"/>
        </w:rPr>
        <w:t>приложении</w:t>
      </w:r>
      <w:r>
        <w:rPr>
          <w:i/>
          <w:spacing w:val="-2"/>
          <w:sz w:val="24"/>
        </w:rPr>
        <w:t> </w:t>
      </w:r>
      <w:r>
        <w:rPr>
          <w:i/>
          <w:spacing w:val="-5"/>
          <w:sz w:val="24"/>
        </w:rPr>
        <w:t>Б1.</w:t>
      </w:r>
    </w:p>
    <w:p>
      <w:pPr>
        <w:spacing w:after="0"/>
        <w:jc w:val="left"/>
        <w:rPr>
          <w:sz w:val="24"/>
        </w:rPr>
        <w:sectPr>
          <w:pgSz w:w="11910" w:h="16840"/>
          <w:pgMar w:header="0" w:footer="710" w:top="1040" w:bottom="900" w:left="440" w:right="280"/>
        </w:sectPr>
      </w:pPr>
    </w:p>
    <w:p>
      <w:pPr>
        <w:pStyle w:val="Heading3"/>
        <w:numPr>
          <w:ilvl w:val="1"/>
          <w:numId w:val="7"/>
        </w:numPr>
        <w:tabs>
          <w:tab w:pos="2692" w:val="left" w:leader="none"/>
        </w:tabs>
        <w:spacing w:line="240" w:lineRule="auto" w:before="73" w:after="0"/>
        <w:ind w:left="2692" w:right="0" w:hanging="360"/>
        <w:jc w:val="both"/>
        <w:rPr>
          <w:u w:val="single"/>
        </w:rPr>
      </w:pPr>
      <w:bookmarkStart w:name="3.4 Аппаратное лечение ДЛП" w:id="53"/>
      <w:bookmarkEnd w:id="53"/>
      <w:r>
        <w:rPr>
          <w:b w:val="0"/>
        </w:rPr>
      </w:r>
      <w:bookmarkStart w:name="_bookmark26" w:id="54"/>
      <w:bookmarkEnd w:id="54"/>
      <w:r>
        <w:rPr>
          <w:u w:val="single"/>
        </w:rPr>
        <w:t>А</w:t>
      </w:r>
      <w:r>
        <w:rPr>
          <w:u w:val="single"/>
        </w:rPr>
        <w:t>ппаратное</w:t>
      </w:r>
      <w:r>
        <w:rPr>
          <w:spacing w:val="-6"/>
          <w:u w:val="single"/>
        </w:rPr>
        <w:t> </w:t>
      </w:r>
      <w:r>
        <w:rPr>
          <w:u w:val="single"/>
        </w:rPr>
        <w:t>лечение</w:t>
      </w:r>
      <w:r>
        <w:rPr>
          <w:spacing w:val="-5"/>
          <w:u w:val="single"/>
        </w:rPr>
        <w:t> ДЛП</w:t>
      </w:r>
    </w:p>
    <w:p>
      <w:pPr>
        <w:spacing w:line="360" w:lineRule="auto" w:before="139"/>
        <w:ind w:left="1261" w:right="566" w:firstLine="708"/>
        <w:jc w:val="both"/>
        <w:rPr>
          <w:i/>
          <w:sz w:val="24"/>
        </w:rPr>
      </w:pPr>
      <w:r>
        <w:rPr>
          <w:i/>
          <w:sz w:val="24"/>
        </w:rPr>
        <w:t>Подразумевает такие экстракорпоральные методы удаления атерогенных липопротеидов как плазмаферез, плазмосорбция. Они назначаются пациентам, у</w:t>
      </w:r>
      <w:r>
        <w:rPr>
          <w:i/>
          <w:spacing w:val="40"/>
          <w:sz w:val="24"/>
        </w:rPr>
        <w:t> </w:t>
      </w:r>
      <w:r>
        <w:rPr>
          <w:i/>
          <w:sz w:val="24"/>
        </w:rPr>
        <w:t>которых после 6 месяцев комбинированной гиполипидемической терапии в максимально переносимых дозах не достигнуты целевые уровни ХС ЛНП. Помимо этого, плазмаферез, плазмосорбция</w:t>
      </w:r>
      <w:r>
        <w:rPr>
          <w:i/>
          <w:spacing w:val="43"/>
          <w:sz w:val="24"/>
        </w:rPr>
        <w:t> </w:t>
      </w:r>
      <w:r>
        <w:rPr>
          <w:i/>
          <w:sz w:val="24"/>
        </w:rPr>
        <w:t>проводятся</w:t>
      </w:r>
      <w:r>
        <w:rPr>
          <w:i/>
          <w:spacing w:val="45"/>
          <w:sz w:val="24"/>
        </w:rPr>
        <w:t> </w:t>
      </w:r>
      <w:r>
        <w:rPr>
          <w:i/>
          <w:sz w:val="24"/>
        </w:rPr>
        <w:t>по</w:t>
      </w:r>
      <w:r>
        <w:rPr>
          <w:i/>
          <w:spacing w:val="44"/>
          <w:sz w:val="24"/>
        </w:rPr>
        <w:t> </w:t>
      </w:r>
      <w:r>
        <w:rPr>
          <w:i/>
          <w:sz w:val="24"/>
        </w:rPr>
        <w:t>следующим</w:t>
      </w:r>
      <w:r>
        <w:rPr>
          <w:i/>
          <w:spacing w:val="45"/>
          <w:sz w:val="24"/>
        </w:rPr>
        <w:t> </w:t>
      </w:r>
      <w:r>
        <w:rPr>
          <w:i/>
          <w:sz w:val="24"/>
        </w:rPr>
        <w:t>показаниям:</w:t>
      </w:r>
      <w:r>
        <w:rPr>
          <w:i/>
          <w:spacing w:val="43"/>
          <w:sz w:val="24"/>
        </w:rPr>
        <w:t> </w:t>
      </w:r>
      <w:r>
        <w:rPr>
          <w:i/>
          <w:sz w:val="24"/>
        </w:rPr>
        <w:t>гомозиготная</w:t>
      </w:r>
      <w:r>
        <w:rPr>
          <w:i/>
          <w:spacing w:val="45"/>
          <w:sz w:val="24"/>
        </w:rPr>
        <w:t> </w:t>
      </w:r>
      <w:r>
        <w:rPr>
          <w:i/>
          <w:sz w:val="24"/>
        </w:rPr>
        <w:t>СГХС</w:t>
      </w:r>
      <w:r>
        <w:rPr>
          <w:i/>
          <w:spacing w:val="45"/>
          <w:sz w:val="24"/>
        </w:rPr>
        <w:t> </w:t>
      </w:r>
      <w:r>
        <w:rPr>
          <w:i/>
          <w:sz w:val="24"/>
        </w:rPr>
        <w:t>и</w:t>
      </w:r>
      <w:r>
        <w:rPr>
          <w:i/>
          <w:spacing w:val="44"/>
          <w:sz w:val="24"/>
        </w:rPr>
        <w:t> </w:t>
      </w:r>
      <w:r>
        <w:rPr>
          <w:i/>
          <w:sz w:val="24"/>
        </w:rPr>
        <w:t>ХС</w:t>
      </w:r>
      <w:r>
        <w:rPr>
          <w:i/>
          <w:spacing w:val="46"/>
          <w:sz w:val="24"/>
        </w:rPr>
        <w:t> </w:t>
      </w:r>
      <w:r>
        <w:rPr>
          <w:i/>
          <w:spacing w:val="-5"/>
          <w:sz w:val="24"/>
        </w:rPr>
        <w:t>ЛНП</w:t>
      </w:r>
    </w:p>
    <w:p>
      <w:pPr>
        <w:spacing w:line="360" w:lineRule="auto" w:before="0"/>
        <w:ind w:left="1261" w:right="567" w:firstLine="0"/>
        <w:jc w:val="both"/>
        <w:rPr>
          <w:i/>
          <w:sz w:val="24"/>
        </w:rPr>
      </w:pPr>
      <w:r>
        <w:rPr>
          <w:i/>
          <w:sz w:val="24"/>
        </w:rPr>
        <w:t>&gt;7,8</w:t>
      </w:r>
      <w:r>
        <w:rPr>
          <w:i/>
          <w:spacing w:val="-2"/>
          <w:sz w:val="24"/>
        </w:rPr>
        <w:t> </w:t>
      </w:r>
      <w:r>
        <w:rPr>
          <w:i/>
          <w:sz w:val="24"/>
        </w:rPr>
        <w:t>ммоль/л, или гетерозиготная СГХС и ХС ЛНП &gt;7,8 ммоль/л + 1 дополнительный фактор</w:t>
      </w:r>
      <w:r>
        <w:rPr>
          <w:i/>
          <w:spacing w:val="8"/>
          <w:sz w:val="24"/>
        </w:rPr>
        <w:t> </w:t>
      </w:r>
      <w:r>
        <w:rPr>
          <w:i/>
          <w:sz w:val="24"/>
        </w:rPr>
        <w:t>сердечно-сосудистого</w:t>
      </w:r>
      <w:r>
        <w:rPr>
          <w:i/>
          <w:spacing w:val="10"/>
          <w:sz w:val="24"/>
        </w:rPr>
        <w:t> </w:t>
      </w:r>
      <w:r>
        <w:rPr>
          <w:i/>
          <w:sz w:val="24"/>
        </w:rPr>
        <w:t>риска,</w:t>
      </w:r>
      <w:r>
        <w:rPr>
          <w:i/>
          <w:spacing w:val="10"/>
          <w:sz w:val="24"/>
        </w:rPr>
        <w:t> </w:t>
      </w:r>
      <w:r>
        <w:rPr>
          <w:i/>
          <w:sz w:val="24"/>
        </w:rPr>
        <w:t>или</w:t>
      </w:r>
      <w:r>
        <w:rPr>
          <w:i/>
          <w:spacing w:val="10"/>
          <w:sz w:val="24"/>
        </w:rPr>
        <w:t> </w:t>
      </w:r>
      <w:r>
        <w:rPr>
          <w:i/>
          <w:sz w:val="24"/>
        </w:rPr>
        <w:t>гетерозиготная</w:t>
      </w:r>
      <w:r>
        <w:rPr>
          <w:i/>
          <w:spacing w:val="11"/>
          <w:sz w:val="24"/>
        </w:rPr>
        <w:t> </w:t>
      </w:r>
      <w:r>
        <w:rPr>
          <w:i/>
          <w:sz w:val="24"/>
        </w:rPr>
        <w:t>СГХС</w:t>
      </w:r>
      <w:r>
        <w:rPr>
          <w:i/>
          <w:spacing w:val="11"/>
          <w:sz w:val="24"/>
        </w:rPr>
        <w:t> </w:t>
      </w:r>
      <w:r>
        <w:rPr>
          <w:i/>
          <w:sz w:val="24"/>
        </w:rPr>
        <w:t>и</w:t>
      </w:r>
      <w:r>
        <w:rPr>
          <w:i/>
          <w:spacing w:val="10"/>
          <w:sz w:val="24"/>
        </w:rPr>
        <w:t> </w:t>
      </w:r>
      <w:r>
        <w:rPr>
          <w:i/>
          <w:sz w:val="24"/>
        </w:rPr>
        <w:t>ХС</w:t>
      </w:r>
      <w:r>
        <w:rPr>
          <w:i/>
          <w:spacing w:val="8"/>
          <w:sz w:val="24"/>
        </w:rPr>
        <w:t> </w:t>
      </w:r>
      <w:r>
        <w:rPr>
          <w:i/>
          <w:sz w:val="24"/>
        </w:rPr>
        <w:t>ЛНП</w:t>
      </w:r>
      <w:r>
        <w:rPr>
          <w:i/>
          <w:spacing w:val="9"/>
          <w:sz w:val="24"/>
        </w:rPr>
        <w:t> </w:t>
      </w:r>
      <w:r>
        <w:rPr>
          <w:i/>
          <w:sz w:val="24"/>
        </w:rPr>
        <w:t>&gt;</w:t>
      </w:r>
      <w:r>
        <w:rPr>
          <w:i/>
          <w:spacing w:val="11"/>
          <w:sz w:val="24"/>
        </w:rPr>
        <w:t> </w:t>
      </w:r>
      <w:r>
        <w:rPr>
          <w:i/>
          <w:sz w:val="24"/>
        </w:rPr>
        <w:t>5,0</w:t>
      </w:r>
      <w:r>
        <w:rPr>
          <w:i/>
          <w:spacing w:val="8"/>
          <w:sz w:val="24"/>
        </w:rPr>
        <w:t> </w:t>
      </w:r>
      <w:r>
        <w:rPr>
          <w:i/>
          <w:spacing w:val="-2"/>
          <w:sz w:val="24"/>
        </w:rPr>
        <w:t>ммоль/л</w:t>
      </w:r>
    </w:p>
    <w:p>
      <w:pPr>
        <w:spacing w:before="0"/>
        <w:ind w:left="1261" w:right="0" w:firstLine="0"/>
        <w:jc w:val="both"/>
        <w:rPr>
          <w:i/>
          <w:sz w:val="24"/>
        </w:rPr>
      </w:pPr>
      <w:r>
        <w:rPr>
          <w:i/>
          <w:sz w:val="24"/>
        </w:rPr>
        <w:t>+</w:t>
      </w:r>
      <w:r>
        <w:rPr>
          <w:i/>
          <w:spacing w:val="65"/>
          <w:sz w:val="24"/>
        </w:rPr>
        <w:t> </w:t>
      </w:r>
      <w:r>
        <w:rPr>
          <w:i/>
          <w:sz w:val="24"/>
        </w:rPr>
        <w:t>2</w:t>
      </w:r>
      <w:r>
        <w:rPr>
          <w:i/>
          <w:spacing w:val="63"/>
          <w:sz w:val="24"/>
        </w:rPr>
        <w:t> </w:t>
      </w:r>
      <w:r>
        <w:rPr>
          <w:i/>
          <w:sz w:val="24"/>
        </w:rPr>
        <w:t>фактора</w:t>
      </w:r>
      <w:r>
        <w:rPr>
          <w:i/>
          <w:spacing w:val="64"/>
          <w:sz w:val="24"/>
        </w:rPr>
        <w:t> </w:t>
      </w:r>
      <w:r>
        <w:rPr>
          <w:i/>
          <w:sz w:val="24"/>
        </w:rPr>
        <w:t>риска</w:t>
      </w:r>
      <w:r>
        <w:rPr>
          <w:i/>
          <w:spacing w:val="63"/>
          <w:sz w:val="24"/>
        </w:rPr>
        <w:t> </w:t>
      </w:r>
      <w:r>
        <w:rPr>
          <w:i/>
          <w:sz w:val="24"/>
        </w:rPr>
        <w:t>или</w:t>
      </w:r>
      <w:r>
        <w:rPr>
          <w:i/>
          <w:spacing w:val="63"/>
          <w:sz w:val="24"/>
        </w:rPr>
        <w:t> </w:t>
      </w:r>
      <w:r>
        <w:rPr>
          <w:i/>
          <w:sz w:val="24"/>
        </w:rPr>
        <w:t>уровень</w:t>
      </w:r>
      <w:r>
        <w:rPr>
          <w:i/>
          <w:spacing w:val="65"/>
          <w:sz w:val="24"/>
        </w:rPr>
        <w:t> </w:t>
      </w:r>
      <w:r>
        <w:rPr>
          <w:i/>
          <w:sz w:val="24"/>
        </w:rPr>
        <w:t>Лп(а)</w:t>
      </w:r>
      <w:r>
        <w:rPr>
          <w:i/>
          <w:spacing w:val="63"/>
          <w:sz w:val="24"/>
        </w:rPr>
        <w:t> </w:t>
      </w:r>
      <w:r>
        <w:rPr>
          <w:i/>
          <w:sz w:val="24"/>
        </w:rPr>
        <w:t>&gt;50</w:t>
      </w:r>
      <w:r>
        <w:rPr>
          <w:i/>
          <w:spacing w:val="67"/>
          <w:sz w:val="24"/>
        </w:rPr>
        <w:t> </w:t>
      </w:r>
      <w:r>
        <w:rPr>
          <w:i/>
          <w:sz w:val="24"/>
        </w:rPr>
        <w:t>мг/дл;</w:t>
      </w:r>
      <w:r>
        <w:rPr>
          <w:i/>
          <w:spacing w:val="63"/>
          <w:sz w:val="24"/>
        </w:rPr>
        <w:t> </w:t>
      </w:r>
      <w:r>
        <w:rPr>
          <w:i/>
          <w:sz w:val="24"/>
        </w:rPr>
        <w:t>гетерозиготная</w:t>
      </w:r>
      <w:r>
        <w:rPr>
          <w:i/>
          <w:spacing w:val="65"/>
          <w:sz w:val="24"/>
        </w:rPr>
        <w:t> </w:t>
      </w:r>
      <w:r>
        <w:rPr>
          <w:i/>
          <w:sz w:val="24"/>
        </w:rPr>
        <w:t>СГХС</w:t>
      </w:r>
      <w:r>
        <w:rPr>
          <w:i/>
          <w:spacing w:val="65"/>
          <w:sz w:val="24"/>
        </w:rPr>
        <w:t> </w:t>
      </w:r>
      <w:r>
        <w:rPr>
          <w:i/>
          <w:sz w:val="24"/>
        </w:rPr>
        <w:t>и</w:t>
      </w:r>
      <w:r>
        <w:rPr>
          <w:i/>
          <w:spacing w:val="63"/>
          <w:sz w:val="24"/>
        </w:rPr>
        <w:t> </w:t>
      </w:r>
      <w:r>
        <w:rPr>
          <w:i/>
          <w:sz w:val="24"/>
        </w:rPr>
        <w:t>ХС</w:t>
      </w:r>
      <w:r>
        <w:rPr>
          <w:i/>
          <w:spacing w:val="65"/>
          <w:sz w:val="24"/>
        </w:rPr>
        <w:t> </w:t>
      </w:r>
      <w:r>
        <w:rPr>
          <w:i/>
          <w:spacing w:val="-5"/>
          <w:sz w:val="24"/>
        </w:rPr>
        <w:t>ЛНП</w:t>
      </w:r>
    </w:p>
    <w:p>
      <w:pPr>
        <w:spacing w:line="360" w:lineRule="auto" w:before="139"/>
        <w:ind w:left="1261" w:right="570" w:firstLine="0"/>
        <w:jc w:val="both"/>
        <w:rPr>
          <w:i/>
          <w:sz w:val="24"/>
        </w:rPr>
      </w:pPr>
      <w:r>
        <w:rPr>
          <w:i/>
          <w:sz w:val="24"/>
        </w:rPr>
        <w:t>&gt;4,1</w:t>
      </w:r>
      <w:r>
        <w:rPr>
          <w:i/>
          <w:spacing w:val="-3"/>
          <w:sz w:val="24"/>
        </w:rPr>
        <w:t> </w:t>
      </w:r>
      <w:r>
        <w:rPr>
          <w:i/>
          <w:sz w:val="24"/>
        </w:rPr>
        <w:t>ммоль/л у лиц очень высокого риска; СГХС при отмене гиполипидемической терапии в связи с беременностью при высоком риске сердечно-сосудистых осложнений </w:t>
      </w:r>
      <w:r>
        <w:rPr>
          <w:sz w:val="24"/>
        </w:rPr>
        <w:t>[</w:t>
      </w:r>
      <w:hyperlink w:history="true" w:anchor="_bookmark54">
        <w:r>
          <w:rPr>
            <w:sz w:val="24"/>
          </w:rPr>
          <w:t>8</w:t>
        </w:r>
      </w:hyperlink>
      <w:r>
        <w:rPr>
          <w:sz w:val="24"/>
        </w:rPr>
        <w:t>]</w:t>
      </w:r>
      <w:r>
        <w:rPr>
          <w:i/>
          <w:sz w:val="24"/>
        </w:rPr>
        <w:t>.</w:t>
      </w:r>
    </w:p>
    <w:p>
      <w:pPr>
        <w:spacing w:line="360" w:lineRule="auto" w:before="0"/>
        <w:ind w:left="1261" w:right="564" w:firstLine="424"/>
        <w:jc w:val="both"/>
        <w:rPr>
          <w:i/>
          <w:sz w:val="24"/>
        </w:rPr>
      </w:pPr>
      <w:r>
        <w:rPr>
          <w:i/>
          <w:sz w:val="24"/>
        </w:rPr>
        <w:t>Плазмаферез, плазмосорбция проводятся еженедельно или 1 раз в две недели. Во время процедуры из плазмы крови пациента удаляется до 80% уровня ХС ЛНП, при этом концентрация уровня ХС ЛНП в плазме крови пациента в зависимости от объема обработанной плазмы снижается на 70–80%. В настоящее время существует ряд методов плазмафереза, плазмосорбции ХС ЛНП: каскадная плазмофильтрация, гепарин- преципитация ЛНП (HELP), аффинная плазмо- и гемосорбция липопротеидов, иммуносорбция ЛНП.</w:t>
      </w:r>
    </w:p>
    <w:p>
      <w:pPr>
        <w:spacing w:line="360" w:lineRule="auto" w:before="0"/>
        <w:ind w:left="1261" w:right="566" w:firstLine="424"/>
        <w:jc w:val="both"/>
        <w:rPr>
          <w:i/>
          <w:sz w:val="24"/>
        </w:rPr>
      </w:pPr>
      <w:r>
        <w:rPr>
          <w:i/>
          <w:sz w:val="24"/>
        </w:rPr>
        <w:t>Плазмаферез, плазмосорбция проводятся только в специализированных отделениях больниц и клиник.</w:t>
      </w:r>
    </w:p>
    <w:p>
      <w:pPr>
        <w:spacing w:line="360" w:lineRule="auto" w:before="0"/>
        <w:ind w:left="1261" w:right="570" w:firstLine="424"/>
        <w:jc w:val="both"/>
        <w:rPr>
          <w:i/>
          <w:sz w:val="24"/>
        </w:rPr>
      </w:pPr>
      <w:r>
        <w:rPr>
          <w:i/>
          <w:sz w:val="24"/>
        </w:rPr>
        <w:t>Показания к ЛНП и Лп(а) плазмаферезу, плазмосорбции приведены в таблице П3, приложении Б.</w:t>
      </w:r>
    </w:p>
    <w:p>
      <w:pPr>
        <w:pStyle w:val="BodyText"/>
        <w:spacing w:before="9"/>
        <w:ind w:left="0"/>
        <w:rPr>
          <w:i/>
          <w:sz w:val="20"/>
        </w:rPr>
      </w:pPr>
    </w:p>
    <w:p>
      <w:pPr>
        <w:pStyle w:val="Heading3"/>
        <w:numPr>
          <w:ilvl w:val="1"/>
          <w:numId w:val="7"/>
        </w:numPr>
        <w:tabs>
          <w:tab w:pos="2692" w:val="left" w:leader="none"/>
        </w:tabs>
        <w:spacing w:line="240" w:lineRule="auto" w:before="0" w:after="0"/>
        <w:ind w:left="2692" w:right="0" w:hanging="360"/>
        <w:jc w:val="both"/>
        <w:rPr>
          <w:u w:val="single"/>
        </w:rPr>
      </w:pPr>
      <w:bookmarkStart w:name="3.5 Лечение ДЛП в отдельных клинических " w:id="55"/>
      <w:bookmarkEnd w:id="55"/>
      <w:r>
        <w:rPr>
          <w:b w:val="0"/>
        </w:rPr>
      </w:r>
      <w:bookmarkStart w:name="_bookmark27" w:id="56"/>
      <w:bookmarkEnd w:id="56"/>
      <w:r>
        <w:rPr>
          <w:u w:val="single"/>
        </w:rPr>
        <w:t>Л</w:t>
      </w:r>
      <w:r>
        <w:rPr>
          <w:u w:val="single"/>
        </w:rPr>
        <w:t>ечение</w:t>
      </w:r>
      <w:r>
        <w:rPr>
          <w:spacing w:val="-6"/>
          <w:u w:val="single"/>
        </w:rPr>
        <w:t> </w:t>
      </w:r>
      <w:r>
        <w:rPr>
          <w:u w:val="single"/>
        </w:rPr>
        <w:t>ДЛП</w:t>
      </w:r>
      <w:r>
        <w:rPr>
          <w:spacing w:val="-2"/>
          <w:u w:val="single"/>
        </w:rPr>
        <w:t> </w:t>
      </w:r>
      <w:r>
        <w:rPr>
          <w:u w:val="single"/>
        </w:rPr>
        <w:t>в</w:t>
      </w:r>
      <w:r>
        <w:rPr>
          <w:spacing w:val="-2"/>
          <w:u w:val="single"/>
        </w:rPr>
        <w:t> </w:t>
      </w:r>
      <w:r>
        <w:rPr>
          <w:u w:val="single"/>
        </w:rPr>
        <w:t>отдельных</w:t>
      </w:r>
      <w:r>
        <w:rPr>
          <w:spacing w:val="-2"/>
          <w:u w:val="single"/>
        </w:rPr>
        <w:t> </w:t>
      </w:r>
      <w:r>
        <w:rPr>
          <w:u w:val="single"/>
        </w:rPr>
        <w:t>клинических</w:t>
      </w:r>
      <w:r>
        <w:rPr>
          <w:spacing w:val="-2"/>
          <w:u w:val="single"/>
        </w:rPr>
        <w:t> ситуациях</w:t>
      </w:r>
    </w:p>
    <w:p>
      <w:pPr>
        <w:pStyle w:val="BodyText"/>
        <w:spacing w:before="7"/>
        <w:ind w:left="0"/>
        <w:rPr>
          <w:b/>
          <w:sz w:val="21"/>
        </w:rPr>
      </w:pPr>
    </w:p>
    <w:p>
      <w:pPr>
        <w:pStyle w:val="Heading3"/>
        <w:numPr>
          <w:ilvl w:val="2"/>
          <w:numId w:val="7"/>
        </w:numPr>
        <w:tabs>
          <w:tab w:pos="2162" w:val="left" w:leader="none"/>
        </w:tabs>
        <w:spacing w:line="240" w:lineRule="auto" w:before="90" w:after="0"/>
        <w:ind w:left="2161" w:right="0" w:hanging="541"/>
        <w:jc w:val="left"/>
      </w:pPr>
      <w:bookmarkStart w:name="3.5.1 Семейная гиперхолестеринемия" w:id="57"/>
      <w:bookmarkEnd w:id="57"/>
      <w:r>
        <w:rPr>
          <w:b w:val="0"/>
        </w:rPr>
      </w:r>
      <w:bookmarkStart w:name="_bookmark28" w:id="58"/>
      <w:bookmarkEnd w:id="58"/>
      <w:r>
        <w:rPr/>
        <w:t>С</w:t>
      </w:r>
      <w:r>
        <w:rPr/>
        <w:t>емейная</w:t>
      </w:r>
      <w:r>
        <w:rPr>
          <w:spacing w:val="-5"/>
        </w:rPr>
        <w:t> </w:t>
      </w:r>
      <w:r>
        <w:rPr>
          <w:spacing w:val="-2"/>
        </w:rPr>
        <w:t>гиперхолестеринемия</w:t>
      </w:r>
    </w:p>
    <w:p>
      <w:pPr>
        <w:pStyle w:val="BodyText"/>
        <w:spacing w:before="9"/>
        <w:ind w:left="0"/>
        <w:rPr>
          <w:b/>
          <w:sz w:val="32"/>
        </w:rPr>
      </w:pPr>
    </w:p>
    <w:p>
      <w:pPr>
        <w:spacing w:before="0"/>
        <w:ind w:left="4307" w:right="0" w:firstLine="0"/>
        <w:jc w:val="left"/>
        <w:rPr>
          <w:b/>
          <w:sz w:val="24"/>
        </w:rPr>
      </w:pPr>
      <w:r>
        <w:rPr>
          <w:b/>
          <w:sz w:val="24"/>
        </w:rPr>
        <w:t>Определение.</w:t>
      </w:r>
      <w:r>
        <w:rPr>
          <w:b/>
          <w:spacing w:val="-4"/>
          <w:sz w:val="24"/>
        </w:rPr>
        <w:t> </w:t>
      </w:r>
      <w:r>
        <w:rPr>
          <w:b/>
          <w:spacing w:val="-2"/>
          <w:sz w:val="24"/>
        </w:rPr>
        <w:t>Эпидемиология</w:t>
      </w:r>
    </w:p>
    <w:p>
      <w:pPr>
        <w:pStyle w:val="BodyText"/>
        <w:spacing w:before="5"/>
        <w:ind w:left="0"/>
        <w:rPr>
          <w:b/>
          <w:sz w:val="29"/>
        </w:rPr>
      </w:pPr>
    </w:p>
    <w:p>
      <w:pPr>
        <w:pStyle w:val="BodyText"/>
        <w:spacing w:line="360" w:lineRule="auto"/>
        <w:ind w:left="1261" w:right="566" w:firstLine="708"/>
        <w:jc w:val="both"/>
      </w:pPr>
      <w:r>
        <w:rPr>
          <w:b/>
        </w:rPr>
        <w:t>Семейная гиперхолестеринемия (СГХС) </w:t>
      </w:r>
      <w:r>
        <w:rPr/>
        <w:t>— генетически детерминированное моногенное нарушение липидного обмена с преимущественно аутосомно-доминантным типом наследования, сопровождающееся значительным повышением уровня ХС ЛНП в крови и, как следствие, преждевременным развитием и прогрессирующим течением атеросклероза, как правило, в молодом возрасте [</w:t>
      </w:r>
      <w:hyperlink w:history="true" w:anchor="_bookmark55">
        <w:r>
          <w:rPr/>
          <w:t>9,</w:t>
        </w:r>
      </w:hyperlink>
      <w:r>
        <w:rPr/>
        <w:t> </w:t>
      </w:r>
      <w:hyperlink w:history="true" w:anchor="_bookmark252">
        <w:r>
          <w:rPr/>
          <w:t>211</w:t>
        </w:r>
      </w:hyperlink>
      <w:r>
        <w:rPr/>
        <w:t>]. Различают две формы: гетерозиготную (геСГХС) и гомозиготную (гоСГХС). В структуре моногенных дислипидемий геСГХС занимает первое место по распространенности и составляет в среднем</w:t>
      </w:r>
      <w:r>
        <w:rPr>
          <w:spacing w:val="50"/>
          <w:w w:val="150"/>
        </w:rPr>
        <w:t> </w:t>
      </w:r>
      <w:r>
        <w:rPr/>
        <w:t>1</w:t>
      </w:r>
      <w:r>
        <w:rPr>
          <w:spacing w:val="56"/>
          <w:w w:val="150"/>
        </w:rPr>
        <w:t> </w:t>
      </w:r>
      <w:r>
        <w:rPr/>
        <w:t>на</w:t>
      </w:r>
      <w:r>
        <w:rPr>
          <w:spacing w:val="53"/>
          <w:w w:val="150"/>
        </w:rPr>
        <w:t> </w:t>
      </w:r>
      <w:r>
        <w:rPr/>
        <w:t>200–250</w:t>
      </w:r>
      <w:r>
        <w:rPr>
          <w:spacing w:val="54"/>
          <w:w w:val="150"/>
        </w:rPr>
        <w:t> </w:t>
      </w:r>
      <w:r>
        <w:rPr/>
        <w:t>человек</w:t>
      </w:r>
      <w:r>
        <w:rPr>
          <w:spacing w:val="54"/>
          <w:w w:val="150"/>
        </w:rPr>
        <w:t> </w:t>
      </w:r>
      <w:r>
        <w:rPr/>
        <w:t>[</w:t>
      </w:r>
      <w:hyperlink w:history="true" w:anchor="_bookmark55">
        <w:r>
          <w:rPr/>
          <w:t>9,</w:t>
        </w:r>
      </w:hyperlink>
      <w:r>
        <w:rPr>
          <w:spacing w:val="54"/>
          <w:w w:val="150"/>
        </w:rPr>
        <w:t> </w:t>
      </w:r>
      <w:hyperlink w:history="true" w:anchor="_bookmark252">
        <w:r>
          <w:rPr/>
          <w:t>211</w:t>
        </w:r>
      </w:hyperlink>
      <w:r>
        <w:rPr/>
        <w:t>].</w:t>
      </w:r>
      <w:r>
        <w:rPr>
          <w:spacing w:val="54"/>
          <w:w w:val="150"/>
        </w:rPr>
        <w:t> </w:t>
      </w:r>
      <w:r>
        <w:rPr/>
        <w:t>Согласно</w:t>
      </w:r>
      <w:r>
        <w:rPr>
          <w:spacing w:val="54"/>
          <w:w w:val="150"/>
        </w:rPr>
        <w:t> </w:t>
      </w:r>
      <w:r>
        <w:rPr/>
        <w:t>результатам</w:t>
      </w:r>
      <w:r>
        <w:rPr>
          <w:spacing w:val="53"/>
          <w:w w:val="150"/>
        </w:rPr>
        <w:t> </w:t>
      </w:r>
      <w:r>
        <w:rPr>
          <w:spacing w:val="-2"/>
        </w:rPr>
        <w:t>эпидемиологического</w:t>
      </w:r>
    </w:p>
    <w:p>
      <w:pPr>
        <w:spacing w:after="0" w:line="360" w:lineRule="auto"/>
        <w:jc w:val="both"/>
        <w:sectPr>
          <w:pgSz w:w="11910" w:h="16840"/>
          <w:pgMar w:header="0" w:footer="710" w:top="1040" w:bottom="900" w:left="440" w:right="280"/>
        </w:sectPr>
      </w:pPr>
    </w:p>
    <w:p>
      <w:pPr>
        <w:pStyle w:val="BodyText"/>
        <w:spacing w:line="360" w:lineRule="auto" w:before="73"/>
        <w:ind w:left="1261" w:right="568"/>
        <w:jc w:val="both"/>
      </w:pPr>
      <w:r>
        <w:rPr/>
        <w:t>исследования, проведенного в ряде регионов Российской Федерации, распространенность геСГХС колеблется от 1:108–1:173 лиц [</w:t>
      </w:r>
      <w:hyperlink w:history="true" w:anchor="_bookmark253">
        <w:r>
          <w:rPr/>
          <w:t>212</w:t>
        </w:r>
      </w:hyperlink>
      <w:r>
        <w:rPr/>
        <w:t>]. ГоСГХС встречается значительно реже, распространенность составляет 1 случай на 160–300 тыс. населения Европы [</w:t>
      </w:r>
      <w:hyperlink w:history="true" w:anchor="_bookmark254">
        <w:r>
          <w:rPr/>
          <w:t>213</w:t>
        </w:r>
      </w:hyperlink>
      <w:r>
        <w:rPr/>
        <w:t>].</w:t>
      </w:r>
    </w:p>
    <w:p>
      <w:pPr>
        <w:pStyle w:val="BodyText"/>
        <w:ind w:left="0"/>
        <w:rPr>
          <w:sz w:val="36"/>
        </w:rPr>
      </w:pPr>
    </w:p>
    <w:p>
      <w:pPr>
        <w:pStyle w:val="Heading3"/>
        <w:spacing w:line="360" w:lineRule="auto"/>
        <w:ind w:left="4052" w:right="3363" w:firstLine="643"/>
        <w:jc w:val="both"/>
      </w:pPr>
      <w:r>
        <w:rPr/>
        <w:t>Этиология и патогенез Генетические</w:t>
      </w:r>
      <w:r>
        <w:rPr>
          <w:spacing w:val="-5"/>
        </w:rPr>
        <w:t> </w:t>
      </w:r>
      <w:r>
        <w:rPr/>
        <w:t>основы</w:t>
      </w:r>
      <w:r>
        <w:rPr>
          <w:spacing w:val="-1"/>
        </w:rPr>
        <w:t> </w:t>
      </w:r>
      <w:r>
        <w:rPr>
          <w:spacing w:val="-2"/>
        </w:rPr>
        <w:t>заболевания</w:t>
      </w:r>
    </w:p>
    <w:p>
      <w:pPr>
        <w:pStyle w:val="BodyText"/>
        <w:spacing w:line="360" w:lineRule="auto" w:before="41"/>
        <w:ind w:left="1261" w:right="568" w:firstLine="708"/>
        <w:jc w:val="both"/>
      </w:pPr>
      <w:r>
        <w:rPr/>
        <w:t>Развитие СГХС обусловлено дефектами генов белков, участвующих в метаболизме липопротеидов, в результате которых нарушается захват клетками ЛНП-частиц и в крови повышается уровень ХС ЛНП [</w:t>
      </w:r>
      <w:hyperlink w:history="true" w:anchor="_bookmark255">
        <w:r>
          <w:rPr/>
          <w:t>214</w:t>
        </w:r>
      </w:hyperlink>
      <w:r>
        <w:rPr/>
        <w:t>, </w:t>
      </w:r>
      <w:hyperlink w:history="true" w:anchor="_bookmark256">
        <w:r>
          <w:rPr/>
          <w:t>215</w:t>
        </w:r>
      </w:hyperlink>
      <w:r>
        <w:rPr/>
        <w:t>].</w:t>
      </w:r>
    </w:p>
    <w:p>
      <w:pPr>
        <w:pStyle w:val="BodyText"/>
        <w:spacing w:line="360" w:lineRule="auto" w:before="201"/>
        <w:ind w:left="1261" w:right="566" w:firstLine="708"/>
        <w:jc w:val="both"/>
      </w:pPr>
      <w:r>
        <w:rPr/>
        <w:t>Самая частая генетическая причина СГХС — мутация в гене рецептора липопротеидов низкой плотности </w:t>
      </w:r>
      <w:r>
        <w:rPr>
          <w:i/>
        </w:rPr>
        <w:t>(LDLR</w:t>
      </w:r>
      <w:r>
        <w:rPr/>
        <w:t>), который расположен главным образом на поверхности</w:t>
      </w:r>
      <w:r>
        <w:rPr>
          <w:spacing w:val="-1"/>
        </w:rPr>
        <w:t> </w:t>
      </w:r>
      <w:r>
        <w:rPr/>
        <w:t>гепатоцитов</w:t>
      </w:r>
      <w:r>
        <w:rPr>
          <w:spacing w:val="-3"/>
        </w:rPr>
        <w:t> </w:t>
      </w:r>
      <w:r>
        <w:rPr/>
        <w:t>и</w:t>
      </w:r>
      <w:r>
        <w:rPr>
          <w:spacing w:val="-1"/>
        </w:rPr>
        <w:t> </w:t>
      </w:r>
      <w:r>
        <w:rPr/>
        <w:t>играет</w:t>
      </w:r>
      <w:r>
        <w:rPr>
          <w:spacing w:val="-4"/>
        </w:rPr>
        <w:t> </w:t>
      </w:r>
      <w:r>
        <w:rPr/>
        <w:t>ключевую</w:t>
      </w:r>
      <w:r>
        <w:rPr>
          <w:spacing w:val="-1"/>
        </w:rPr>
        <w:t> </w:t>
      </w:r>
      <w:r>
        <w:rPr/>
        <w:t>роль</w:t>
      </w:r>
      <w:r>
        <w:rPr>
          <w:spacing w:val="-1"/>
        </w:rPr>
        <w:t> </w:t>
      </w:r>
      <w:r>
        <w:rPr/>
        <w:t>в</w:t>
      </w:r>
      <w:r>
        <w:rPr>
          <w:spacing w:val="-3"/>
        </w:rPr>
        <w:t> </w:t>
      </w:r>
      <w:r>
        <w:rPr/>
        <w:t>связывании</w:t>
      </w:r>
      <w:r>
        <w:rPr>
          <w:spacing w:val="-1"/>
        </w:rPr>
        <w:t> </w:t>
      </w:r>
      <w:r>
        <w:rPr/>
        <w:t>и</w:t>
      </w:r>
      <w:r>
        <w:rPr>
          <w:spacing w:val="-3"/>
        </w:rPr>
        <w:t> </w:t>
      </w:r>
      <w:r>
        <w:rPr/>
        <w:t>выведении</w:t>
      </w:r>
      <w:r>
        <w:rPr>
          <w:spacing w:val="-3"/>
        </w:rPr>
        <w:t> </w:t>
      </w:r>
      <w:r>
        <w:rPr/>
        <w:t>из</w:t>
      </w:r>
      <w:r>
        <w:rPr>
          <w:spacing w:val="-3"/>
        </w:rPr>
        <w:t> </w:t>
      </w:r>
      <w:r>
        <w:rPr/>
        <w:t>кровотока циркулирующих ЛНП-частиц [</w:t>
      </w:r>
      <w:hyperlink w:history="true" w:anchor="_bookmark257">
        <w:r>
          <w:rPr/>
          <w:t>216</w:t>
        </w:r>
      </w:hyperlink>
      <w:r>
        <w:rPr/>
        <w:t>, </w:t>
      </w:r>
      <w:hyperlink w:history="true" w:anchor="_bookmark258">
        <w:r>
          <w:rPr/>
          <w:t>217</w:t>
        </w:r>
      </w:hyperlink>
      <w:r>
        <w:rPr/>
        <w:t>]. На сегодняшний день известно более 1600 мутаций </w:t>
      </w:r>
      <w:r>
        <w:rPr>
          <w:i/>
        </w:rPr>
        <w:t>LDLR</w:t>
      </w:r>
      <w:r>
        <w:rPr/>
        <w:t>, способных нарушить функцию рецептора и вызывать развитие СГХС. Мутации в гене </w:t>
      </w:r>
      <w:r>
        <w:rPr>
          <w:i/>
        </w:rPr>
        <w:t>LDLR </w:t>
      </w:r>
      <w:r>
        <w:rPr/>
        <w:t>обуславливают от 85 до 90% случаев СГХС [</w:t>
      </w:r>
      <w:hyperlink w:history="true" w:anchor="_bookmark259">
        <w:r>
          <w:rPr/>
          <w:t>218</w:t>
        </w:r>
      </w:hyperlink>
      <w:r>
        <w:rPr/>
        <w:t>].</w:t>
      </w:r>
    </w:p>
    <w:p>
      <w:pPr>
        <w:pStyle w:val="BodyText"/>
        <w:spacing w:line="360" w:lineRule="auto" w:before="199"/>
        <w:ind w:left="1261" w:right="566" w:firstLine="708"/>
        <w:jc w:val="both"/>
      </w:pPr>
      <w:r>
        <w:rPr/>
        <w:t>Вторая по частоте причина — мутация в гене аполипопротеина В (</w:t>
      </w:r>
      <w:r>
        <w:rPr>
          <w:i/>
        </w:rPr>
        <w:t>APOB</w:t>
      </w:r>
      <w:r>
        <w:rPr/>
        <w:t>), кодирующего апобелок В100, входящий в состав ЛНП-частиц и ответственный за связывание ЛНП с рецептором. В результате изменений в гене половина ЛНП-частиц не способна связаться с ЛНП-рецептором [</w:t>
      </w:r>
      <w:hyperlink w:history="true" w:anchor="_bookmark260">
        <w:r>
          <w:rPr/>
          <w:t>219</w:t>
        </w:r>
      </w:hyperlink>
      <w:r>
        <w:rPr/>
        <w:t>]. Мутации гена </w:t>
      </w:r>
      <w:r>
        <w:rPr>
          <w:i/>
        </w:rPr>
        <w:t>APOB </w:t>
      </w:r>
      <w:r>
        <w:rPr/>
        <w:t>обеспечивают от 5 до 10% случаев СГХС [</w:t>
      </w:r>
      <w:hyperlink w:history="true" w:anchor="_bookmark261">
        <w:r>
          <w:rPr/>
          <w:t>220</w:t>
        </w:r>
      </w:hyperlink>
      <w:r>
        <w:rPr/>
        <w:t>]. Показано, что носители мутаций гена </w:t>
      </w:r>
      <w:r>
        <w:rPr>
          <w:i/>
        </w:rPr>
        <w:t>LDLR </w:t>
      </w:r>
      <w:r>
        <w:rPr/>
        <w:t>имеют более высокий</w:t>
      </w:r>
      <w:r>
        <w:rPr>
          <w:spacing w:val="-2"/>
        </w:rPr>
        <w:t> </w:t>
      </w:r>
      <w:r>
        <w:rPr/>
        <w:t>уровень</w:t>
      </w:r>
      <w:r>
        <w:rPr>
          <w:spacing w:val="-2"/>
        </w:rPr>
        <w:t> </w:t>
      </w:r>
      <w:r>
        <w:rPr/>
        <w:t>ОХС и</w:t>
      </w:r>
      <w:r>
        <w:rPr>
          <w:spacing w:val="-2"/>
        </w:rPr>
        <w:t> </w:t>
      </w:r>
      <w:r>
        <w:rPr/>
        <w:t>ХС</w:t>
      </w:r>
      <w:r>
        <w:rPr>
          <w:spacing w:val="-2"/>
        </w:rPr>
        <w:t> </w:t>
      </w:r>
      <w:r>
        <w:rPr/>
        <w:t>ЛНП</w:t>
      </w:r>
      <w:r>
        <w:rPr>
          <w:spacing w:val="-3"/>
        </w:rPr>
        <w:t> </w:t>
      </w:r>
      <w:r>
        <w:rPr/>
        <w:t>и</w:t>
      </w:r>
      <w:r>
        <w:rPr>
          <w:spacing w:val="-2"/>
        </w:rPr>
        <w:t> </w:t>
      </w:r>
      <w:r>
        <w:rPr/>
        <w:t>более</w:t>
      </w:r>
      <w:r>
        <w:rPr>
          <w:spacing w:val="-2"/>
        </w:rPr>
        <w:t> </w:t>
      </w:r>
      <w:r>
        <w:rPr/>
        <w:t>выраженные</w:t>
      </w:r>
      <w:r>
        <w:rPr>
          <w:spacing w:val="-3"/>
        </w:rPr>
        <w:t> </w:t>
      </w:r>
      <w:r>
        <w:rPr/>
        <w:t>проявления</w:t>
      </w:r>
      <w:r>
        <w:rPr>
          <w:spacing w:val="-2"/>
        </w:rPr>
        <w:t> </w:t>
      </w:r>
      <w:r>
        <w:rPr/>
        <w:t>атеросклероза</w:t>
      </w:r>
      <w:r>
        <w:rPr>
          <w:spacing w:val="-3"/>
        </w:rPr>
        <w:t> </w:t>
      </w:r>
      <w:r>
        <w:rPr/>
        <w:t>артерий, чем носители мутаций гена </w:t>
      </w:r>
      <w:r>
        <w:rPr>
          <w:i/>
        </w:rPr>
        <w:t>APOB </w:t>
      </w:r>
      <w:r>
        <w:rPr/>
        <w:t>[</w:t>
      </w:r>
      <w:hyperlink w:history="true" w:anchor="_bookmark262">
        <w:r>
          <w:rPr/>
          <w:t>221</w:t>
        </w:r>
      </w:hyperlink>
      <w:r>
        <w:rPr/>
        <w:t>].</w:t>
      </w:r>
    </w:p>
    <w:p>
      <w:pPr>
        <w:pStyle w:val="BodyText"/>
        <w:spacing w:line="360" w:lineRule="auto" w:before="201"/>
        <w:ind w:left="1261" w:right="567" w:firstLine="708"/>
        <w:jc w:val="both"/>
      </w:pPr>
      <w:r>
        <w:rPr/>
        <w:t>Третий ген, мутации в котором способны приводить к развитию СГХС, — это ген, кодирующий пропротеинконвертазу субтилизин/кексин тип 9 (</w:t>
      </w:r>
      <w:r>
        <w:rPr>
          <w:i/>
        </w:rPr>
        <w:t>PCSK9 — ПКСК9) </w:t>
      </w:r>
      <w:r>
        <w:rPr/>
        <w:t>— сериновую протеазу, участвующую в разрушении ЛНП-рецептора [</w:t>
      </w:r>
      <w:hyperlink w:history="true" w:anchor="_bookmark263">
        <w:r>
          <w:rPr/>
          <w:t>222</w:t>
        </w:r>
      </w:hyperlink>
      <w:r>
        <w:rPr/>
        <w:t>, </w:t>
      </w:r>
      <w:hyperlink w:history="true" w:anchor="_bookmark264">
        <w:r>
          <w:rPr/>
          <w:t>223</w:t>
        </w:r>
      </w:hyperlink>
      <w:r>
        <w:rPr/>
        <w:t>, </w:t>
      </w:r>
      <w:hyperlink w:history="true" w:anchor="_bookmark265">
        <w:r>
          <w:rPr/>
          <w:t>224</w:t>
        </w:r>
      </w:hyperlink>
      <w:r>
        <w:rPr/>
        <w:t>]. Мутации гена </w:t>
      </w:r>
      <w:r>
        <w:rPr>
          <w:i/>
        </w:rPr>
        <w:t>PCSK9 </w:t>
      </w:r>
      <w:r>
        <w:rPr/>
        <w:t>обеспечивают меньше 5% случаев СГХС [</w:t>
      </w:r>
      <w:hyperlink w:history="true" w:anchor="_bookmark259">
        <w:r>
          <w:rPr/>
          <w:t>218</w:t>
        </w:r>
      </w:hyperlink>
      <w:r>
        <w:rPr/>
        <w:t>]. Уровни ХС ЛНП у носителей миссенс-мутаций PCSK9 очень варьируют от относительно умеренных до</w:t>
      </w:r>
      <w:r>
        <w:rPr>
          <w:spacing w:val="40"/>
        </w:rPr>
        <w:t> </w:t>
      </w:r>
      <w:r>
        <w:rPr/>
        <w:t>очень высоких [</w:t>
      </w:r>
      <w:hyperlink w:history="true" w:anchor="_bookmark266">
        <w:r>
          <w:rPr/>
          <w:t>225</w:t>
        </w:r>
      </w:hyperlink>
      <w:r>
        <w:rPr/>
        <w:t>].</w:t>
      </w:r>
    </w:p>
    <w:p>
      <w:pPr>
        <w:pStyle w:val="BodyText"/>
        <w:ind w:left="0"/>
        <w:rPr>
          <w:sz w:val="20"/>
        </w:rPr>
      </w:pPr>
    </w:p>
    <w:p>
      <w:pPr>
        <w:pStyle w:val="BodyText"/>
        <w:spacing w:before="7"/>
        <w:ind w:left="0"/>
        <w:rPr>
          <w:sz w:val="25"/>
        </w:rPr>
      </w:pPr>
    </w:p>
    <w:p>
      <w:pPr>
        <w:pStyle w:val="Heading3"/>
        <w:spacing w:before="90"/>
        <w:ind w:left="3735"/>
      </w:pPr>
      <w:r>
        <w:rPr/>
        <w:t>Диагностические</w:t>
      </w:r>
      <w:r>
        <w:rPr>
          <w:spacing w:val="-7"/>
        </w:rPr>
        <w:t> </w:t>
      </w:r>
      <w:r>
        <w:rPr/>
        <w:t>критерии</w:t>
      </w:r>
      <w:r>
        <w:rPr>
          <w:spacing w:val="-6"/>
        </w:rPr>
        <w:t> </w:t>
      </w:r>
      <w:r>
        <w:rPr>
          <w:spacing w:val="-2"/>
        </w:rPr>
        <w:t>заболевания</w:t>
      </w:r>
    </w:p>
    <w:p>
      <w:pPr>
        <w:pStyle w:val="BodyText"/>
        <w:spacing w:before="178"/>
        <w:ind w:left="1969"/>
      </w:pPr>
      <w:r>
        <w:rPr/>
        <w:t>Потенциальную</w:t>
      </w:r>
      <w:r>
        <w:rPr>
          <w:spacing w:val="10"/>
        </w:rPr>
        <w:t> </w:t>
      </w:r>
      <w:r>
        <w:rPr/>
        <w:t>вероятность</w:t>
      </w:r>
      <w:r>
        <w:rPr>
          <w:spacing w:val="9"/>
        </w:rPr>
        <w:t> </w:t>
      </w:r>
      <w:r>
        <w:rPr/>
        <w:t>наличия</w:t>
      </w:r>
      <w:r>
        <w:rPr>
          <w:spacing w:val="7"/>
        </w:rPr>
        <w:t> </w:t>
      </w:r>
      <w:r>
        <w:rPr/>
        <w:t>СГХС</w:t>
      </w:r>
      <w:r>
        <w:rPr>
          <w:spacing w:val="9"/>
        </w:rPr>
        <w:t> </w:t>
      </w:r>
      <w:r>
        <w:rPr/>
        <w:t>необходимо</w:t>
      </w:r>
      <w:r>
        <w:rPr>
          <w:spacing w:val="11"/>
        </w:rPr>
        <w:t> </w:t>
      </w:r>
      <w:r>
        <w:rPr/>
        <w:t>оценивать</w:t>
      </w:r>
      <w:r>
        <w:rPr>
          <w:spacing w:val="8"/>
        </w:rPr>
        <w:t> </w:t>
      </w:r>
      <w:r>
        <w:rPr/>
        <w:t>в</w:t>
      </w:r>
      <w:r>
        <w:rPr>
          <w:spacing w:val="8"/>
        </w:rPr>
        <w:t> </w:t>
      </w:r>
      <w:r>
        <w:rPr/>
        <w:t>случаях</w:t>
      </w:r>
      <w:r>
        <w:rPr>
          <w:spacing w:val="11"/>
        </w:rPr>
        <w:t> </w:t>
      </w:r>
      <w:r>
        <w:rPr>
          <w:spacing w:val="-2"/>
        </w:rPr>
        <w:t>[</w:t>
      </w:r>
      <w:hyperlink w:history="true" w:anchor="_bookmark267">
        <w:r>
          <w:rPr>
            <w:spacing w:val="-2"/>
          </w:rPr>
          <w:t>226,</w:t>
        </w:r>
      </w:hyperlink>
    </w:p>
    <w:p>
      <w:pPr>
        <w:pStyle w:val="BodyText"/>
        <w:spacing w:before="136"/>
        <w:ind w:left="1261"/>
      </w:pPr>
      <w:hyperlink w:history="true" w:anchor="_bookmark268">
        <w:r>
          <w:rPr>
            <w:spacing w:val="-4"/>
          </w:rPr>
          <w:t>227</w:t>
        </w:r>
      </w:hyperlink>
      <w:r>
        <w:rPr>
          <w:spacing w:val="-4"/>
        </w:rPr>
        <w:t>]:</w:t>
      </w:r>
    </w:p>
    <w:p>
      <w:pPr>
        <w:spacing w:after="0"/>
        <w:sectPr>
          <w:pgSz w:w="11910" w:h="16840"/>
          <w:pgMar w:header="0" w:footer="710" w:top="1040" w:bottom="900" w:left="440" w:right="280"/>
        </w:sectPr>
      </w:pPr>
    </w:p>
    <w:p>
      <w:pPr>
        <w:pStyle w:val="ListParagraph"/>
        <w:numPr>
          <w:ilvl w:val="0"/>
          <w:numId w:val="15"/>
        </w:numPr>
        <w:tabs>
          <w:tab w:pos="2341" w:val="left" w:leader="none"/>
          <w:tab w:pos="2342" w:val="left" w:leader="none"/>
        </w:tabs>
        <w:spacing w:line="360" w:lineRule="auto" w:before="73" w:after="0"/>
        <w:ind w:left="2341" w:right="569" w:hanging="360"/>
        <w:jc w:val="left"/>
        <w:rPr>
          <w:sz w:val="24"/>
        </w:rPr>
      </w:pPr>
      <w:r>
        <w:rPr>
          <w:sz w:val="24"/>
        </w:rPr>
        <w:t>ОХС ≥8</w:t>
      </w:r>
      <w:r>
        <w:rPr>
          <w:spacing w:val="-2"/>
          <w:sz w:val="24"/>
        </w:rPr>
        <w:t> </w:t>
      </w:r>
      <w:r>
        <w:rPr>
          <w:sz w:val="24"/>
        </w:rPr>
        <w:t>ммоль/л и/или ХС ЛНП ≥5</w:t>
      </w:r>
      <w:r>
        <w:rPr>
          <w:spacing w:val="-2"/>
          <w:sz w:val="24"/>
        </w:rPr>
        <w:t> </w:t>
      </w:r>
      <w:r>
        <w:rPr>
          <w:sz w:val="24"/>
        </w:rPr>
        <w:t>ммоль/л без терапии для взрослых и ОХС&gt; 6,7 ммоль/л или ХС ЛНП ≥3,5 ммоль/л у детей,</w:t>
      </w:r>
    </w:p>
    <w:p>
      <w:pPr>
        <w:pStyle w:val="ListParagraph"/>
        <w:numPr>
          <w:ilvl w:val="0"/>
          <w:numId w:val="15"/>
        </w:numPr>
        <w:tabs>
          <w:tab w:pos="2341" w:val="left" w:leader="none"/>
          <w:tab w:pos="2342" w:val="left" w:leader="none"/>
        </w:tabs>
        <w:spacing w:line="240" w:lineRule="auto" w:before="0" w:after="0"/>
        <w:ind w:left="2341" w:right="0" w:hanging="361"/>
        <w:jc w:val="left"/>
        <w:rPr>
          <w:sz w:val="24"/>
        </w:rPr>
      </w:pPr>
      <w:r>
        <w:rPr>
          <w:sz w:val="24"/>
        </w:rPr>
        <w:t>Ранний</w:t>
      </w:r>
      <w:r>
        <w:rPr>
          <w:spacing w:val="16"/>
          <w:sz w:val="24"/>
        </w:rPr>
        <w:t> </w:t>
      </w:r>
      <w:r>
        <w:rPr>
          <w:sz w:val="24"/>
        </w:rPr>
        <w:t>дебют</w:t>
      </w:r>
      <w:r>
        <w:rPr>
          <w:spacing w:val="17"/>
          <w:sz w:val="24"/>
        </w:rPr>
        <w:t> </w:t>
      </w:r>
      <w:r>
        <w:rPr>
          <w:sz w:val="24"/>
        </w:rPr>
        <w:t>ССЗ</w:t>
      </w:r>
      <w:r>
        <w:rPr>
          <w:spacing w:val="16"/>
          <w:sz w:val="24"/>
        </w:rPr>
        <w:t> </w:t>
      </w:r>
      <w:r>
        <w:rPr>
          <w:sz w:val="24"/>
        </w:rPr>
        <w:t>атеросклеротического</w:t>
      </w:r>
      <w:r>
        <w:rPr>
          <w:spacing w:val="18"/>
          <w:sz w:val="24"/>
        </w:rPr>
        <w:t> </w:t>
      </w:r>
      <w:r>
        <w:rPr>
          <w:sz w:val="24"/>
        </w:rPr>
        <w:t>генеза</w:t>
      </w:r>
      <w:r>
        <w:rPr>
          <w:spacing w:val="16"/>
          <w:sz w:val="24"/>
        </w:rPr>
        <w:t> </w:t>
      </w:r>
      <w:r>
        <w:rPr>
          <w:sz w:val="24"/>
        </w:rPr>
        <w:t>(у</w:t>
      </w:r>
      <w:r>
        <w:rPr>
          <w:spacing w:val="17"/>
          <w:sz w:val="24"/>
        </w:rPr>
        <w:t> </w:t>
      </w:r>
      <w:r>
        <w:rPr>
          <w:sz w:val="24"/>
        </w:rPr>
        <w:t>мужчин</w:t>
      </w:r>
      <w:r>
        <w:rPr>
          <w:spacing w:val="19"/>
          <w:sz w:val="24"/>
        </w:rPr>
        <w:t> </w:t>
      </w:r>
      <w:r>
        <w:rPr>
          <w:sz w:val="24"/>
        </w:rPr>
        <w:t>&lt;55</w:t>
      </w:r>
      <w:r>
        <w:rPr>
          <w:spacing w:val="17"/>
          <w:sz w:val="24"/>
        </w:rPr>
        <w:t> </w:t>
      </w:r>
      <w:r>
        <w:rPr>
          <w:sz w:val="24"/>
        </w:rPr>
        <w:t>лет;</w:t>
      </w:r>
      <w:r>
        <w:rPr>
          <w:spacing w:val="15"/>
          <w:sz w:val="24"/>
        </w:rPr>
        <w:t> </w:t>
      </w:r>
      <w:r>
        <w:rPr>
          <w:sz w:val="24"/>
        </w:rPr>
        <w:t>у</w:t>
      </w:r>
      <w:r>
        <w:rPr>
          <w:spacing w:val="18"/>
          <w:sz w:val="24"/>
        </w:rPr>
        <w:t> </w:t>
      </w:r>
      <w:r>
        <w:rPr>
          <w:spacing w:val="-2"/>
          <w:sz w:val="24"/>
        </w:rPr>
        <w:t>женщин</w:t>
      </w:r>
    </w:p>
    <w:p>
      <w:pPr>
        <w:pStyle w:val="BodyText"/>
        <w:spacing w:before="140"/>
        <w:ind w:left="2341"/>
      </w:pPr>
      <w:r>
        <w:rPr/>
        <w:t>&lt;60</w:t>
      </w:r>
      <w:r>
        <w:rPr>
          <w:spacing w:val="-3"/>
        </w:rPr>
        <w:t> </w:t>
      </w:r>
      <w:r>
        <w:rPr>
          <w:spacing w:val="-2"/>
        </w:rPr>
        <w:t>лет),</w:t>
      </w:r>
    </w:p>
    <w:p>
      <w:pPr>
        <w:pStyle w:val="ListParagraph"/>
        <w:numPr>
          <w:ilvl w:val="0"/>
          <w:numId w:val="15"/>
        </w:numPr>
        <w:tabs>
          <w:tab w:pos="2341" w:val="left" w:leader="none"/>
          <w:tab w:pos="2342" w:val="left" w:leader="none"/>
        </w:tabs>
        <w:spacing w:line="240" w:lineRule="auto" w:before="136" w:after="0"/>
        <w:ind w:left="2341" w:right="0" w:hanging="361"/>
        <w:jc w:val="left"/>
        <w:rPr>
          <w:sz w:val="24"/>
        </w:rPr>
      </w:pPr>
      <w:r>
        <w:rPr>
          <w:sz w:val="24"/>
        </w:rPr>
        <w:t>Кожные</w:t>
      </w:r>
      <w:r>
        <w:rPr>
          <w:spacing w:val="-2"/>
          <w:sz w:val="24"/>
        </w:rPr>
        <w:t> </w:t>
      </w:r>
      <w:r>
        <w:rPr>
          <w:sz w:val="24"/>
        </w:rPr>
        <w:t>/</w:t>
      </w:r>
      <w:r>
        <w:rPr>
          <w:spacing w:val="-1"/>
          <w:sz w:val="24"/>
        </w:rPr>
        <w:t> </w:t>
      </w:r>
      <w:r>
        <w:rPr>
          <w:sz w:val="24"/>
        </w:rPr>
        <w:t>сухожильные</w:t>
      </w:r>
      <w:r>
        <w:rPr>
          <w:spacing w:val="-4"/>
          <w:sz w:val="24"/>
        </w:rPr>
        <w:t> </w:t>
      </w:r>
      <w:r>
        <w:rPr>
          <w:spacing w:val="-2"/>
          <w:sz w:val="24"/>
        </w:rPr>
        <w:t>ксантомы,</w:t>
      </w:r>
    </w:p>
    <w:p>
      <w:pPr>
        <w:pStyle w:val="ListParagraph"/>
        <w:numPr>
          <w:ilvl w:val="0"/>
          <w:numId w:val="15"/>
        </w:numPr>
        <w:tabs>
          <w:tab w:pos="2341" w:val="left" w:leader="none"/>
          <w:tab w:pos="2342" w:val="left" w:leader="none"/>
        </w:tabs>
        <w:spacing w:line="240" w:lineRule="auto" w:before="140" w:after="0"/>
        <w:ind w:left="2341" w:right="0" w:hanging="361"/>
        <w:jc w:val="left"/>
        <w:rPr>
          <w:sz w:val="24"/>
        </w:rPr>
      </w:pPr>
      <w:r>
        <w:rPr>
          <w:sz w:val="24"/>
        </w:rPr>
        <w:t>Случай</w:t>
      </w:r>
      <w:r>
        <w:rPr>
          <w:spacing w:val="-2"/>
          <w:sz w:val="24"/>
        </w:rPr>
        <w:t> </w:t>
      </w:r>
      <w:r>
        <w:rPr>
          <w:sz w:val="24"/>
        </w:rPr>
        <w:t>внезапной</w:t>
      </w:r>
      <w:r>
        <w:rPr>
          <w:spacing w:val="-1"/>
          <w:sz w:val="24"/>
        </w:rPr>
        <w:t> </w:t>
      </w:r>
      <w:r>
        <w:rPr>
          <w:sz w:val="24"/>
        </w:rPr>
        <w:t>сердечной</w:t>
      </w:r>
      <w:r>
        <w:rPr>
          <w:spacing w:val="-2"/>
          <w:sz w:val="24"/>
        </w:rPr>
        <w:t> </w:t>
      </w:r>
      <w:r>
        <w:rPr>
          <w:sz w:val="24"/>
        </w:rPr>
        <w:t>смерти</w:t>
      </w:r>
      <w:r>
        <w:rPr>
          <w:spacing w:val="-1"/>
          <w:sz w:val="24"/>
        </w:rPr>
        <w:t> </w:t>
      </w:r>
      <w:r>
        <w:rPr>
          <w:sz w:val="24"/>
        </w:rPr>
        <w:t>члена</w:t>
      </w:r>
      <w:r>
        <w:rPr>
          <w:spacing w:val="-3"/>
          <w:sz w:val="24"/>
        </w:rPr>
        <w:t> </w:t>
      </w:r>
      <w:r>
        <w:rPr>
          <w:spacing w:val="-2"/>
          <w:sz w:val="24"/>
        </w:rPr>
        <w:t>семьи.</w:t>
      </w:r>
    </w:p>
    <w:p>
      <w:pPr>
        <w:pStyle w:val="BodyText"/>
        <w:spacing w:before="10"/>
        <w:ind w:left="0"/>
        <w:rPr>
          <w:sz w:val="35"/>
        </w:rPr>
      </w:pPr>
    </w:p>
    <w:p>
      <w:pPr>
        <w:pStyle w:val="BodyText"/>
        <w:spacing w:line="360" w:lineRule="auto"/>
        <w:ind w:left="1261" w:right="568" w:firstLine="708"/>
        <w:jc w:val="both"/>
      </w:pPr>
      <w:r>
        <w:rPr/>
        <w:t>С учетом генетической предиспозиции быстрая прогрессия атеросклероза у пациентов с СГХС приводит к раннему дебюту ССЗ атеросклеротического генеза, чаще всего — ИБС. Длительное бессимптомное течение заболевания диктует необходимость опираться в первую очередь на лабораторные показатели и семейный анамнез при выявлении новых случаев СГХС для своевременного старта терапии в зоне первичной </w:t>
      </w:r>
      <w:r>
        <w:rPr>
          <w:spacing w:val="-2"/>
        </w:rPr>
        <w:t>профилактики.</w:t>
      </w:r>
    </w:p>
    <w:p>
      <w:pPr>
        <w:pStyle w:val="BodyText"/>
        <w:spacing w:line="360" w:lineRule="auto"/>
        <w:ind w:left="1261" w:right="567" w:firstLine="708"/>
        <w:jc w:val="both"/>
      </w:pPr>
      <w:r>
        <w:rPr/>
        <w:t>Для клинической диагностики заболевания целесообразно использование специализированных критериев, разработанных для взрослых и детей с геСГХС и для пациентов с гоСГСХ. Крайне важно проведение дообследования с целью исключения вторичных дислипидемий и их вклада в повышенные значения ХС ЛНП у лиц с подозрением на СГХС.</w:t>
      </w:r>
    </w:p>
    <w:p>
      <w:pPr>
        <w:pStyle w:val="BodyText"/>
        <w:ind w:left="0"/>
        <w:rPr>
          <w:sz w:val="26"/>
        </w:rPr>
      </w:pPr>
    </w:p>
    <w:p>
      <w:pPr>
        <w:pStyle w:val="BodyText"/>
        <w:spacing w:before="2"/>
        <w:ind w:left="0"/>
        <w:rPr>
          <w:sz w:val="33"/>
        </w:rPr>
      </w:pPr>
    </w:p>
    <w:p>
      <w:pPr>
        <w:pStyle w:val="Heading3"/>
        <w:ind w:left="3968"/>
      </w:pPr>
      <w:bookmarkStart w:name="Диагностические критерии геСГХС" w:id="59"/>
      <w:bookmarkEnd w:id="59"/>
      <w:r>
        <w:rPr>
          <w:b w:val="0"/>
        </w:rPr>
      </w:r>
      <w:bookmarkStart w:name="_bookmark29" w:id="60"/>
      <w:bookmarkEnd w:id="60"/>
      <w:r>
        <w:rPr>
          <w:b w:val="0"/>
        </w:rPr>
      </w:r>
      <w:r>
        <w:rPr/>
        <w:t>Диагностические</w:t>
      </w:r>
      <w:r>
        <w:rPr>
          <w:spacing w:val="-7"/>
        </w:rPr>
        <w:t> </w:t>
      </w:r>
      <w:r>
        <w:rPr/>
        <w:t>критерии</w:t>
      </w:r>
      <w:r>
        <w:rPr>
          <w:spacing w:val="-6"/>
        </w:rPr>
        <w:t> </w:t>
      </w:r>
      <w:r>
        <w:rPr>
          <w:spacing w:val="-2"/>
        </w:rPr>
        <w:t>геСГХС</w:t>
      </w:r>
    </w:p>
    <w:p>
      <w:pPr>
        <w:pStyle w:val="BodyText"/>
        <w:spacing w:before="10"/>
        <w:ind w:left="0"/>
        <w:rPr>
          <w:b/>
          <w:sz w:val="20"/>
        </w:rPr>
      </w:pPr>
    </w:p>
    <w:p>
      <w:pPr>
        <w:pStyle w:val="ListParagraph"/>
        <w:numPr>
          <w:ilvl w:val="0"/>
          <w:numId w:val="16"/>
        </w:numPr>
        <w:tabs>
          <w:tab w:pos="1982" w:val="left" w:leader="none"/>
        </w:tabs>
        <w:spacing w:line="360" w:lineRule="auto" w:before="0" w:after="0"/>
        <w:ind w:left="1981" w:right="569" w:hanging="360"/>
        <w:jc w:val="both"/>
        <w:rPr>
          <w:rFonts w:ascii="Wingdings" w:hAnsi="Wingdings"/>
          <w:sz w:val="24"/>
        </w:rPr>
      </w:pPr>
      <w:r>
        <w:rPr>
          <w:sz w:val="24"/>
        </w:rPr>
        <w:t>Для диагностики геСГХС у взрослых пациентов 18 лет и старше рекомендовано использовать диагностические критерии Dutch Lipid Clinic Network (DLCN) — шкалы Голландских липидных клиник (Приложение </w:t>
      </w:r>
      <w:r>
        <w:rPr>
          <w:b/>
          <w:sz w:val="24"/>
          <w:u w:val="thick"/>
        </w:rPr>
        <w:t>Г1</w:t>
      </w:r>
      <w:r>
        <w:rPr>
          <w:sz w:val="24"/>
        </w:rPr>
        <w:t>) [</w:t>
      </w:r>
      <w:hyperlink w:history="true" w:anchor="_bookmark95">
        <w:r>
          <w:rPr>
            <w:sz w:val="24"/>
          </w:rPr>
          <w:t>50,</w:t>
        </w:r>
      </w:hyperlink>
      <w:r>
        <w:rPr>
          <w:sz w:val="24"/>
        </w:rPr>
        <w:t> </w:t>
      </w:r>
      <w:hyperlink w:history="true" w:anchor="_bookmark267">
        <w:r>
          <w:rPr>
            <w:sz w:val="24"/>
          </w:rPr>
          <w:t>226</w:t>
        </w:r>
      </w:hyperlink>
      <w:r>
        <w:rPr>
          <w:sz w:val="24"/>
        </w:rPr>
        <w:t>].</w:t>
      </w:r>
    </w:p>
    <w:p>
      <w:pPr>
        <w:pStyle w:val="Heading2"/>
        <w:spacing w:line="275" w:lineRule="exact"/>
        <w:ind w:left="1969"/>
      </w:pPr>
      <w:r>
        <w:rPr/>
        <w:t>ЕОК/ЕОА</w:t>
      </w:r>
      <w:r>
        <w:rPr>
          <w:spacing w:val="-3"/>
        </w:rPr>
        <w:t> </w:t>
      </w:r>
      <w:r>
        <w:rPr/>
        <w:t>I</w:t>
      </w:r>
      <w:r>
        <w:rPr>
          <w:spacing w:val="-1"/>
        </w:rPr>
        <w:t> </w:t>
      </w:r>
      <w:r>
        <w:rPr/>
        <w:t>С</w:t>
      </w:r>
      <w:r>
        <w:rPr>
          <w:spacing w:val="-3"/>
        </w:rPr>
        <w:t> </w:t>
      </w:r>
      <w:r>
        <w:rPr/>
        <w:t>(УУРС,</w:t>
      </w:r>
      <w:r>
        <w:rPr>
          <w:spacing w:val="1"/>
        </w:rPr>
        <w:t> </w:t>
      </w:r>
      <w:r>
        <w:rPr/>
        <w:t>УДД</w:t>
      </w:r>
      <w:r>
        <w:rPr>
          <w:spacing w:val="-1"/>
        </w:rPr>
        <w:t> </w:t>
      </w:r>
      <w:r>
        <w:rPr>
          <w:spacing w:val="-5"/>
        </w:rPr>
        <w:t>5)</w:t>
      </w:r>
    </w:p>
    <w:p>
      <w:pPr>
        <w:pStyle w:val="BodyText"/>
        <w:spacing w:before="7"/>
        <w:ind w:left="0"/>
        <w:rPr>
          <w:b/>
          <w:sz w:val="29"/>
        </w:rPr>
      </w:pPr>
    </w:p>
    <w:p>
      <w:pPr>
        <w:pStyle w:val="ListParagraph"/>
        <w:numPr>
          <w:ilvl w:val="1"/>
          <w:numId w:val="16"/>
        </w:numPr>
        <w:tabs>
          <w:tab w:pos="2752" w:val="left" w:leader="none"/>
        </w:tabs>
        <w:spacing w:line="357" w:lineRule="auto" w:before="0" w:after="0"/>
        <w:ind w:left="2752" w:right="566" w:hanging="360"/>
        <w:jc w:val="both"/>
        <w:rPr>
          <w:sz w:val="24"/>
        </w:rPr>
      </w:pPr>
      <w:r>
        <w:rPr>
          <w:sz w:val="24"/>
        </w:rPr>
        <w:t>Диагноз устанавливается на основании суммы баллов, полученных в</w:t>
      </w:r>
      <w:r>
        <w:rPr>
          <w:spacing w:val="40"/>
          <w:sz w:val="24"/>
        </w:rPr>
        <w:t> </w:t>
      </w:r>
      <w:r>
        <w:rPr>
          <w:sz w:val="24"/>
        </w:rPr>
        <w:t>каждой группе. Внутри группы баллы не суммируются, учитывается только один признак, дающий максимальное количество баллов внутри каждой из </w:t>
      </w:r>
      <w:r>
        <w:rPr>
          <w:spacing w:val="-2"/>
          <w:sz w:val="24"/>
        </w:rPr>
        <w:t>групп.</w:t>
      </w:r>
    </w:p>
    <w:p>
      <w:pPr>
        <w:pStyle w:val="ListParagraph"/>
        <w:numPr>
          <w:ilvl w:val="1"/>
          <w:numId w:val="16"/>
        </w:numPr>
        <w:tabs>
          <w:tab w:pos="2752" w:val="left" w:leader="none"/>
        </w:tabs>
        <w:spacing w:line="355" w:lineRule="auto" w:before="1" w:after="0"/>
        <w:ind w:left="2751" w:right="568" w:hanging="360"/>
        <w:jc w:val="both"/>
        <w:rPr>
          <w:sz w:val="24"/>
        </w:rPr>
      </w:pPr>
      <w:r>
        <w:rPr>
          <w:sz w:val="24"/>
        </w:rPr>
        <w:t>В соответствии с набранной суммой баллов геСГХС может быть определенной, вероятной или возможной. При этом диагноз геСГХС выставляется только при наличии определенной или вероятной формы.</w:t>
      </w:r>
    </w:p>
    <w:p>
      <w:pPr>
        <w:pStyle w:val="ListParagraph"/>
        <w:numPr>
          <w:ilvl w:val="1"/>
          <w:numId w:val="16"/>
        </w:numPr>
        <w:tabs>
          <w:tab w:pos="2752" w:val="left" w:leader="none"/>
        </w:tabs>
        <w:spacing w:line="355" w:lineRule="auto" w:before="8" w:after="0"/>
        <w:ind w:left="2751" w:right="566" w:hanging="360"/>
        <w:jc w:val="both"/>
        <w:rPr>
          <w:sz w:val="24"/>
        </w:rPr>
      </w:pPr>
      <w:r>
        <w:rPr>
          <w:sz w:val="24"/>
        </w:rPr>
        <w:t>Для</w:t>
      </w:r>
      <w:r>
        <w:rPr>
          <w:spacing w:val="-3"/>
          <w:sz w:val="24"/>
        </w:rPr>
        <w:t> </w:t>
      </w:r>
      <w:r>
        <w:rPr>
          <w:sz w:val="24"/>
        </w:rPr>
        <w:t>определения</w:t>
      </w:r>
      <w:r>
        <w:rPr>
          <w:spacing w:val="-3"/>
          <w:sz w:val="24"/>
        </w:rPr>
        <w:t> </w:t>
      </w:r>
      <w:r>
        <w:rPr>
          <w:sz w:val="24"/>
        </w:rPr>
        <w:t>95-го</w:t>
      </w:r>
      <w:r>
        <w:rPr>
          <w:spacing w:val="-1"/>
          <w:sz w:val="24"/>
        </w:rPr>
        <w:t> </w:t>
      </w:r>
      <w:r>
        <w:rPr>
          <w:sz w:val="24"/>
        </w:rPr>
        <w:t>перцентиля</w:t>
      </w:r>
      <w:r>
        <w:rPr>
          <w:spacing w:val="-3"/>
          <w:sz w:val="24"/>
        </w:rPr>
        <w:t> </w:t>
      </w:r>
      <w:r>
        <w:rPr>
          <w:sz w:val="24"/>
        </w:rPr>
        <w:t>уровня</w:t>
      </w:r>
      <w:r>
        <w:rPr>
          <w:spacing w:val="-3"/>
          <w:sz w:val="24"/>
        </w:rPr>
        <w:t> </w:t>
      </w:r>
      <w:r>
        <w:rPr>
          <w:sz w:val="24"/>
        </w:rPr>
        <w:t>ХС</w:t>
      </w:r>
      <w:r>
        <w:rPr>
          <w:spacing w:val="-3"/>
          <w:sz w:val="24"/>
        </w:rPr>
        <w:t> </w:t>
      </w:r>
      <w:r>
        <w:rPr>
          <w:sz w:val="24"/>
        </w:rPr>
        <w:t>ЛНП</w:t>
      </w:r>
      <w:r>
        <w:rPr>
          <w:spacing w:val="-4"/>
          <w:sz w:val="24"/>
        </w:rPr>
        <w:t> </w:t>
      </w:r>
      <w:r>
        <w:rPr>
          <w:sz w:val="24"/>
        </w:rPr>
        <w:t>в</w:t>
      </w:r>
      <w:r>
        <w:rPr>
          <w:spacing w:val="-4"/>
          <w:sz w:val="24"/>
        </w:rPr>
        <w:t> </w:t>
      </w:r>
      <w:r>
        <w:rPr>
          <w:sz w:val="24"/>
        </w:rPr>
        <w:t>зависимости</w:t>
      </w:r>
      <w:r>
        <w:rPr>
          <w:spacing w:val="-2"/>
          <w:sz w:val="24"/>
        </w:rPr>
        <w:t> </w:t>
      </w:r>
      <w:r>
        <w:rPr>
          <w:sz w:val="24"/>
        </w:rPr>
        <w:t>от пола</w:t>
      </w:r>
      <w:r>
        <w:rPr>
          <w:spacing w:val="-7"/>
          <w:sz w:val="24"/>
        </w:rPr>
        <w:t> </w:t>
      </w:r>
      <w:r>
        <w:rPr>
          <w:sz w:val="24"/>
        </w:rPr>
        <w:t>и возраста следует использовать значения, приведенные в </w:t>
      </w:r>
      <w:r>
        <w:rPr>
          <w:b/>
          <w:sz w:val="24"/>
        </w:rPr>
        <w:t>Таблице П6/А3 </w:t>
      </w:r>
      <w:r>
        <w:rPr>
          <w:sz w:val="24"/>
        </w:rPr>
        <w:t>(Популяционные показатели ХС ЛНП в зависимости от пола и возраста, по</w:t>
      </w:r>
    </w:p>
    <w:p>
      <w:pPr>
        <w:spacing w:after="0" w:line="355" w:lineRule="auto"/>
        <w:jc w:val="both"/>
        <w:rPr>
          <w:sz w:val="24"/>
        </w:rPr>
        <w:sectPr>
          <w:pgSz w:w="11910" w:h="16840"/>
          <w:pgMar w:header="0" w:footer="710" w:top="1040" w:bottom="900" w:left="440" w:right="280"/>
        </w:sectPr>
      </w:pPr>
    </w:p>
    <w:p>
      <w:pPr>
        <w:pStyle w:val="BodyText"/>
        <w:spacing w:before="73"/>
        <w:ind w:left="2752"/>
      </w:pPr>
      <w:r>
        <w:rPr/>
        <w:t>данным</w:t>
      </w:r>
      <w:r>
        <w:rPr>
          <w:spacing w:val="-3"/>
        </w:rPr>
        <w:t> </w:t>
      </w:r>
      <w:r>
        <w:rPr/>
        <w:t>исследования</w:t>
      </w:r>
      <w:r>
        <w:rPr>
          <w:spacing w:val="-3"/>
        </w:rPr>
        <w:t> </w:t>
      </w:r>
      <w:r>
        <w:rPr/>
        <w:t>ЭССЕ-РФ)</w:t>
      </w:r>
      <w:r>
        <w:rPr>
          <w:spacing w:val="-2"/>
        </w:rPr>
        <w:t> [</w:t>
      </w:r>
      <w:hyperlink w:history="true" w:anchor="_bookmark195">
        <w:r>
          <w:rPr>
            <w:spacing w:val="-2"/>
          </w:rPr>
          <w:t>150</w:t>
        </w:r>
      </w:hyperlink>
      <w:r>
        <w:rPr>
          <w:spacing w:val="-2"/>
        </w:rPr>
        <w:t>].</w:t>
      </w:r>
    </w:p>
    <w:p>
      <w:pPr>
        <w:pStyle w:val="BodyText"/>
        <w:ind w:left="0"/>
        <w:rPr>
          <w:sz w:val="33"/>
        </w:rPr>
      </w:pPr>
    </w:p>
    <w:p>
      <w:pPr>
        <w:pStyle w:val="ListParagraph"/>
        <w:numPr>
          <w:ilvl w:val="0"/>
          <w:numId w:val="16"/>
        </w:numPr>
        <w:tabs>
          <w:tab w:pos="1982" w:val="left" w:leader="none"/>
        </w:tabs>
        <w:spacing w:line="360" w:lineRule="auto" w:before="0" w:after="0"/>
        <w:ind w:left="1981" w:right="567" w:hanging="360"/>
        <w:jc w:val="both"/>
        <w:rPr>
          <w:rFonts w:ascii="Wingdings" w:hAnsi="Wingdings"/>
          <w:sz w:val="20"/>
        </w:rPr>
      </w:pPr>
      <w:r>
        <w:rPr>
          <w:sz w:val="24"/>
        </w:rPr>
        <w:t>Для диагностики геСГХС у взрослых пациентов 18 лет и старше только в случаях отсутствия возможности определения ХС ЛНП, а также у детей рекомендовано использовать диагностические критерии Simon Broome Registry — Саймона Брума (</w:t>
      </w:r>
      <w:r>
        <w:rPr>
          <w:b/>
          <w:sz w:val="24"/>
        </w:rPr>
        <w:t>Таблица 7/А3</w:t>
      </w:r>
      <w:r>
        <w:rPr>
          <w:sz w:val="24"/>
        </w:rPr>
        <w:t>) [</w:t>
      </w:r>
      <w:hyperlink w:history="true" w:anchor="_bookmark267">
        <w:r>
          <w:rPr>
            <w:sz w:val="24"/>
          </w:rPr>
          <w:t>226</w:t>
        </w:r>
      </w:hyperlink>
      <w:r>
        <w:rPr>
          <w:sz w:val="24"/>
        </w:rPr>
        <w:t>, </w:t>
      </w:r>
      <w:hyperlink w:history="true" w:anchor="_bookmark269">
        <w:r>
          <w:rPr>
            <w:sz w:val="24"/>
          </w:rPr>
          <w:t>228</w:t>
        </w:r>
      </w:hyperlink>
      <w:r>
        <w:rPr>
          <w:sz w:val="24"/>
        </w:rPr>
        <w:t>].</w:t>
      </w:r>
    </w:p>
    <w:p>
      <w:pPr>
        <w:pStyle w:val="Heading2"/>
        <w:ind w:left="1969"/>
      </w:pPr>
      <w:r>
        <w:rPr/>
        <w:t>ЕОК/ЕОА</w:t>
      </w:r>
      <w:r>
        <w:rPr>
          <w:spacing w:val="-3"/>
        </w:rPr>
        <w:t> </w:t>
      </w:r>
      <w:r>
        <w:rPr/>
        <w:t>I</w:t>
      </w:r>
      <w:r>
        <w:rPr>
          <w:spacing w:val="-1"/>
        </w:rPr>
        <w:t> </w:t>
      </w:r>
      <w:r>
        <w:rPr/>
        <w:t>С</w:t>
      </w:r>
      <w:r>
        <w:rPr>
          <w:spacing w:val="-3"/>
        </w:rPr>
        <w:t> </w:t>
      </w:r>
      <w:r>
        <w:rPr/>
        <w:t>(УУРС,</w:t>
      </w:r>
      <w:r>
        <w:rPr>
          <w:spacing w:val="1"/>
        </w:rPr>
        <w:t> </w:t>
      </w:r>
      <w:r>
        <w:rPr/>
        <w:t>УДД</w:t>
      </w:r>
      <w:r>
        <w:rPr>
          <w:spacing w:val="-1"/>
        </w:rPr>
        <w:t> </w:t>
      </w:r>
      <w:r>
        <w:rPr>
          <w:spacing w:val="-5"/>
        </w:rPr>
        <w:t>5)</w:t>
      </w:r>
    </w:p>
    <w:p>
      <w:pPr>
        <w:pStyle w:val="BodyText"/>
        <w:spacing w:before="5"/>
        <w:ind w:left="0"/>
        <w:rPr>
          <w:b/>
          <w:sz w:val="29"/>
        </w:rPr>
      </w:pPr>
    </w:p>
    <w:p>
      <w:pPr>
        <w:pStyle w:val="ListParagraph"/>
        <w:numPr>
          <w:ilvl w:val="0"/>
          <w:numId w:val="17"/>
        </w:numPr>
        <w:tabs>
          <w:tab w:pos="2689" w:val="left" w:leader="none"/>
          <w:tab w:pos="2690" w:val="left" w:leader="none"/>
        </w:tabs>
        <w:spacing w:line="360" w:lineRule="auto" w:before="0" w:after="0"/>
        <w:ind w:left="2689" w:right="568" w:hanging="360"/>
        <w:jc w:val="left"/>
        <w:rPr>
          <w:sz w:val="24"/>
        </w:rPr>
      </w:pPr>
      <w:r>
        <w:rPr>
          <w:sz w:val="24"/>
        </w:rPr>
        <w:t>Диагноз</w:t>
      </w:r>
      <w:r>
        <w:rPr>
          <w:spacing w:val="39"/>
          <w:sz w:val="24"/>
        </w:rPr>
        <w:t> </w:t>
      </w:r>
      <w:r>
        <w:rPr>
          <w:sz w:val="24"/>
        </w:rPr>
        <w:t>геСГХС</w:t>
      </w:r>
      <w:r>
        <w:rPr>
          <w:spacing w:val="38"/>
          <w:sz w:val="24"/>
        </w:rPr>
        <w:t> </w:t>
      </w:r>
      <w:r>
        <w:rPr>
          <w:sz w:val="24"/>
        </w:rPr>
        <w:t>выставляется</w:t>
      </w:r>
      <w:r>
        <w:rPr>
          <w:spacing w:val="38"/>
          <w:sz w:val="24"/>
        </w:rPr>
        <w:t> </w:t>
      </w:r>
      <w:r>
        <w:rPr>
          <w:sz w:val="24"/>
        </w:rPr>
        <w:t>в</w:t>
      </w:r>
      <w:r>
        <w:rPr>
          <w:spacing w:val="40"/>
          <w:sz w:val="24"/>
        </w:rPr>
        <w:t> </w:t>
      </w:r>
      <w:r>
        <w:rPr>
          <w:sz w:val="24"/>
        </w:rPr>
        <w:t>случае</w:t>
      </w:r>
      <w:r>
        <w:rPr>
          <w:spacing w:val="37"/>
          <w:sz w:val="24"/>
        </w:rPr>
        <w:t> </w:t>
      </w:r>
      <w:r>
        <w:rPr>
          <w:sz w:val="24"/>
        </w:rPr>
        <w:t>соответствия</w:t>
      </w:r>
      <w:r>
        <w:rPr>
          <w:spacing w:val="38"/>
          <w:sz w:val="24"/>
        </w:rPr>
        <w:t> </w:t>
      </w:r>
      <w:r>
        <w:rPr>
          <w:sz w:val="24"/>
        </w:rPr>
        <w:t>пациента</w:t>
      </w:r>
      <w:r>
        <w:rPr>
          <w:spacing w:val="37"/>
          <w:sz w:val="24"/>
        </w:rPr>
        <w:t> </w:t>
      </w:r>
      <w:r>
        <w:rPr>
          <w:sz w:val="24"/>
        </w:rPr>
        <w:t>критериям определенного или вероятного диагноза СГХС.</w:t>
      </w:r>
    </w:p>
    <w:p>
      <w:pPr>
        <w:pStyle w:val="BodyText"/>
        <w:spacing w:before="10"/>
        <w:ind w:left="0"/>
        <w:rPr>
          <w:sz w:val="20"/>
        </w:rPr>
      </w:pPr>
    </w:p>
    <w:p>
      <w:pPr>
        <w:pStyle w:val="Heading3"/>
        <w:ind w:left="3961"/>
      </w:pPr>
      <w:bookmarkStart w:name="Диагностические критерии гоСГХС" w:id="61"/>
      <w:bookmarkEnd w:id="61"/>
      <w:r>
        <w:rPr>
          <w:b w:val="0"/>
        </w:rPr>
      </w:r>
      <w:bookmarkStart w:name="_bookmark30" w:id="62"/>
      <w:bookmarkEnd w:id="62"/>
      <w:r>
        <w:rPr>
          <w:b w:val="0"/>
        </w:rPr>
      </w:r>
      <w:r>
        <w:rPr/>
        <w:t>Диагностические</w:t>
      </w:r>
      <w:r>
        <w:rPr>
          <w:spacing w:val="-7"/>
        </w:rPr>
        <w:t> </w:t>
      </w:r>
      <w:r>
        <w:rPr/>
        <w:t>критерии</w:t>
      </w:r>
      <w:r>
        <w:rPr>
          <w:spacing w:val="-6"/>
        </w:rPr>
        <w:t> </w:t>
      </w:r>
      <w:r>
        <w:rPr>
          <w:spacing w:val="-2"/>
        </w:rPr>
        <w:t>гоСГХС</w:t>
      </w:r>
    </w:p>
    <w:p>
      <w:pPr>
        <w:pStyle w:val="BodyText"/>
        <w:spacing w:before="10"/>
        <w:ind w:left="0"/>
        <w:rPr>
          <w:b/>
          <w:sz w:val="20"/>
        </w:rPr>
      </w:pPr>
    </w:p>
    <w:p>
      <w:pPr>
        <w:pStyle w:val="ListParagraph"/>
        <w:numPr>
          <w:ilvl w:val="0"/>
          <w:numId w:val="16"/>
        </w:numPr>
        <w:tabs>
          <w:tab w:pos="1982" w:val="left" w:leader="none"/>
        </w:tabs>
        <w:spacing w:line="360" w:lineRule="auto" w:before="0" w:after="0"/>
        <w:ind w:left="1981" w:right="567" w:hanging="360"/>
        <w:jc w:val="both"/>
        <w:rPr>
          <w:rFonts w:ascii="Wingdings" w:hAnsi="Wingdings"/>
          <w:sz w:val="20"/>
        </w:rPr>
      </w:pPr>
      <w:r>
        <w:rPr>
          <w:sz w:val="24"/>
        </w:rPr>
        <w:t>Для диагностики гоСГХС и у взрослых, и у детей рекомендовано использовать критерии, предложенные экспертами европейского общества по атеросклерозу (</w:t>
      </w:r>
      <w:r>
        <w:rPr>
          <w:b/>
          <w:sz w:val="24"/>
        </w:rPr>
        <w:t>Таблица 8/А3</w:t>
      </w:r>
      <w:r>
        <w:rPr>
          <w:sz w:val="24"/>
        </w:rPr>
        <w:t>) [</w:t>
      </w:r>
      <w:hyperlink w:history="true" w:anchor="_bookmark254">
        <w:r>
          <w:rPr>
            <w:sz w:val="24"/>
          </w:rPr>
          <w:t>213</w:t>
        </w:r>
      </w:hyperlink>
      <w:r>
        <w:rPr>
          <w:sz w:val="24"/>
        </w:rPr>
        <w:t>].</w:t>
      </w:r>
    </w:p>
    <w:p>
      <w:pPr>
        <w:pStyle w:val="Heading2"/>
        <w:spacing w:line="275" w:lineRule="exact"/>
        <w:ind w:left="1981"/>
      </w:pPr>
      <w:r>
        <w:rPr/>
        <w:t>ЕОК/ЕОА</w:t>
      </w:r>
      <w:r>
        <w:rPr>
          <w:spacing w:val="-2"/>
        </w:rPr>
        <w:t> </w:t>
      </w:r>
      <w:r>
        <w:rPr/>
        <w:t>I</w:t>
      </w:r>
      <w:r>
        <w:rPr>
          <w:spacing w:val="-1"/>
        </w:rPr>
        <w:t> </w:t>
      </w:r>
      <w:r>
        <w:rPr/>
        <w:t>С</w:t>
      </w:r>
      <w:r>
        <w:rPr>
          <w:spacing w:val="-2"/>
        </w:rPr>
        <w:t> </w:t>
      </w:r>
      <w:r>
        <w:rPr/>
        <w:t>(УУР</w:t>
      </w:r>
      <w:r>
        <w:rPr>
          <w:spacing w:val="-2"/>
        </w:rPr>
        <w:t> </w:t>
      </w:r>
      <w:r>
        <w:rPr/>
        <w:t>А,</w:t>
      </w:r>
      <w:r>
        <w:rPr>
          <w:spacing w:val="1"/>
        </w:rPr>
        <w:t> </w:t>
      </w:r>
      <w:r>
        <w:rPr/>
        <w:t>УДД</w:t>
      </w:r>
      <w:r>
        <w:rPr>
          <w:spacing w:val="-1"/>
        </w:rPr>
        <w:t> </w:t>
      </w:r>
      <w:r>
        <w:rPr>
          <w:spacing w:val="-5"/>
        </w:rPr>
        <w:t>3)</w:t>
      </w:r>
    </w:p>
    <w:p>
      <w:pPr>
        <w:pStyle w:val="ListParagraph"/>
        <w:numPr>
          <w:ilvl w:val="0"/>
          <w:numId w:val="18"/>
        </w:numPr>
        <w:tabs>
          <w:tab w:pos="2689" w:val="left" w:leader="none"/>
          <w:tab w:pos="2690" w:val="left" w:leader="none"/>
        </w:tabs>
        <w:spacing w:line="360" w:lineRule="auto" w:before="139" w:after="0"/>
        <w:ind w:left="2689" w:right="568" w:hanging="360"/>
        <w:jc w:val="left"/>
        <w:rPr>
          <w:sz w:val="24"/>
        </w:rPr>
      </w:pPr>
      <w:r>
        <w:rPr>
          <w:sz w:val="24"/>
        </w:rPr>
        <w:t>Согласно</w:t>
      </w:r>
      <w:r>
        <w:rPr>
          <w:spacing w:val="80"/>
          <w:sz w:val="24"/>
        </w:rPr>
        <w:t> </w:t>
      </w:r>
      <w:r>
        <w:rPr>
          <w:sz w:val="24"/>
        </w:rPr>
        <w:t>данным</w:t>
      </w:r>
      <w:r>
        <w:rPr>
          <w:spacing w:val="80"/>
          <w:sz w:val="24"/>
        </w:rPr>
        <w:t> </w:t>
      </w:r>
      <w:r>
        <w:rPr>
          <w:sz w:val="24"/>
        </w:rPr>
        <w:t>критериям,</w:t>
      </w:r>
      <w:r>
        <w:rPr>
          <w:spacing w:val="80"/>
          <w:sz w:val="24"/>
        </w:rPr>
        <w:t> </w:t>
      </w:r>
      <w:r>
        <w:rPr>
          <w:sz w:val="24"/>
        </w:rPr>
        <w:t>диагноз</w:t>
      </w:r>
      <w:r>
        <w:rPr>
          <w:spacing w:val="80"/>
          <w:sz w:val="24"/>
        </w:rPr>
        <w:t> </w:t>
      </w:r>
      <w:r>
        <w:rPr>
          <w:sz w:val="24"/>
        </w:rPr>
        <w:t>гоСГХС</w:t>
      </w:r>
      <w:r>
        <w:rPr>
          <w:spacing w:val="80"/>
          <w:sz w:val="24"/>
        </w:rPr>
        <w:t> </w:t>
      </w:r>
      <w:r>
        <w:rPr>
          <w:sz w:val="24"/>
        </w:rPr>
        <w:t>выставляется</w:t>
      </w:r>
      <w:r>
        <w:rPr>
          <w:spacing w:val="80"/>
          <w:sz w:val="24"/>
        </w:rPr>
        <w:t> </w:t>
      </w:r>
      <w:r>
        <w:rPr>
          <w:sz w:val="24"/>
        </w:rPr>
        <w:t>у</w:t>
      </w:r>
      <w:r>
        <w:rPr>
          <w:spacing w:val="80"/>
          <w:sz w:val="24"/>
        </w:rPr>
        <w:t> </w:t>
      </w:r>
      <w:r>
        <w:rPr>
          <w:sz w:val="24"/>
        </w:rPr>
        <w:t>детей</w:t>
      </w:r>
      <w:r>
        <w:rPr>
          <w:spacing w:val="80"/>
          <w:sz w:val="24"/>
        </w:rPr>
        <w:t> </w:t>
      </w:r>
      <w:r>
        <w:rPr>
          <w:sz w:val="24"/>
        </w:rPr>
        <w:t>и взрослых при наличии одного из двух условий.</w:t>
      </w:r>
    </w:p>
    <w:p>
      <w:pPr>
        <w:pStyle w:val="BodyText"/>
        <w:ind w:left="0"/>
        <w:rPr>
          <w:sz w:val="26"/>
        </w:rPr>
      </w:pPr>
    </w:p>
    <w:p>
      <w:pPr>
        <w:pStyle w:val="BodyText"/>
        <w:spacing w:before="3"/>
        <w:ind w:left="0"/>
        <w:rPr>
          <w:sz w:val="27"/>
        </w:rPr>
      </w:pPr>
    </w:p>
    <w:p>
      <w:pPr>
        <w:pStyle w:val="BodyText"/>
        <w:spacing w:line="360" w:lineRule="auto"/>
        <w:ind w:left="1261" w:right="564" w:firstLine="708"/>
        <w:jc w:val="both"/>
      </w:pPr>
      <w:r>
        <w:rPr/>
        <w:t>Таким образом, диагностика СГХС возможна без выполнения молекулярно- генетического исследования по клиническим критериям, однако выявление конкретной мутации существенно облегчает постановку диагноза СГХС и последующее проведение каскадного скрининга, а также позволяет точнее стратифицировать сердечно-сосудистый риск [</w:t>
      </w:r>
      <w:hyperlink w:history="true" w:anchor="_bookmark270">
        <w:r>
          <w:rPr/>
          <w:t>229</w:t>
        </w:r>
      </w:hyperlink>
      <w:r>
        <w:rPr/>
        <w:t>].</w:t>
      </w:r>
    </w:p>
    <w:p>
      <w:pPr>
        <w:pStyle w:val="BodyText"/>
        <w:spacing w:line="360" w:lineRule="auto" w:before="1"/>
        <w:ind w:left="1261" w:right="568" w:firstLine="708"/>
        <w:jc w:val="both"/>
      </w:pPr>
      <w:r>
        <w:rPr/>
        <w:t>Выполнение молекулярно-генетического исследования для верификации СГХС показано лицам с суммой баллов 6 и более согласно клиническим критериям DLCN или при постановке диагноза геСГХС согласно критериям Саймона Брума [</w:t>
      </w:r>
      <w:hyperlink w:history="true" w:anchor="_bookmark271">
        <w:r>
          <w:rPr/>
          <w:t>230</w:t>
        </w:r>
      </w:hyperlink>
      <w:r>
        <w:rPr/>
        <w:t>, </w:t>
      </w:r>
      <w:hyperlink w:history="true" w:anchor="_bookmark272">
        <w:r>
          <w:rPr/>
          <w:t>231</w:t>
        </w:r>
      </w:hyperlink>
      <w:r>
        <w:rPr/>
        <w:t>].</w:t>
      </w:r>
    </w:p>
    <w:p>
      <w:pPr>
        <w:pStyle w:val="Heading2"/>
        <w:spacing w:line="275" w:lineRule="exact"/>
        <w:ind w:left="1969"/>
      </w:pPr>
      <w:r>
        <w:rPr/>
        <w:t>ЕОК/ЕОА</w:t>
      </w:r>
      <w:r>
        <w:rPr>
          <w:spacing w:val="-3"/>
        </w:rPr>
        <w:t> </w:t>
      </w:r>
      <w:r>
        <w:rPr/>
        <w:t>I</w:t>
      </w:r>
      <w:r>
        <w:rPr>
          <w:spacing w:val="-1"/>
        </w:rPr>
        <w:t> </w:t>
      </w:r>
      <w:r>
        <w:rPr/>
        <w:t>С</w:t>
      </w:r>
      <w:r>
        <w:rPr>
          <w:spacing w:val="-3"/>
        </w:rPr>
        <w:t> </w:t>
      </w:r>
      <w:r>
        <w:rPr/>
        <w:t>(УУРА,</w:t>
      </w:r>
      <w:r>
        <w:rPr>
          <w:spacing w:val="1"/>
        </w:rPr>
        <w:t> </w:t>
      </w:r>
      <w:r>
        <w:rPr/>
        <w:t>УДД</w:t>
      </w:r>
      <w:r>
        <w:rPr>
          <w:spacing w:val="-1"/>
        </w:rPr>
        <w:t> </w:t>
      </w:r>
      <w:r>
        <w:rPr>
          <w:spacing w:val="-5"/>
        </w:rPr>
        <w:t>2)</w:t>
      </w:r>
    </w:p>
    <w:p>
      <w:pPr>
        <w:pStyle w:val="BodyText"/>
        <w:ind w:left="0"/>
        <w:rPr>
          <w:b/>
          <w:sz w:val="26"/>
        </w:rPr>
      </w:pPr>
    </w:p>
    <w:p>
      <w:pPr>
        <w:pStyle w:val="BodyText"/>
        <w:ind w:left="0"/>
        <w:rPr>
          <w:b/>
          <w:sz w:val="26"/>
        </w:rPr>
      </w:pPr>
    </w:p>
    <w:p>
      <w:pPr>
        <w:pStyle w:val="Heading3"/>
        <w:spacing w:before="197"/>
        <w:ind w:left="4765"/>
        <w:jc w:val="both"/>
      </w:pPr>
      <w:bookmarkStart w:name="Каскадный скрининг" w:id="63"/>
      <w:bookmarkEnd w:id="63"/>
      <w:r>
        <w:rPr>
          <w:b w:val="0"/>
        </w:rPr>
      </w:r>
      <w:bookmarkStart w:name="_bookmark31" w:id="64"/>
      <w:bookmarkEnd w:id="64"/>
      <w:r>
        <w:rPr>
          <w:b w:val="0"/>
        </w:rPr>
      </w:r>
      <w:r>
        <w:rPr/>
        <w:t>Каскадный</w:t>
      </w:r>
      <w:r>
        <w:rPr>
          <w:spacing w:val="-2"/>
        </w:rPr>
        <w:t> скрининг</w:t>
      </w:r>
    </w:p>
    <w:p>
      <w:pPr>
        <w:pStyle w:val="BodyText"/>
        <w:spacing w:line="360" w:lineRule="auto" w:before="58"/>
        <w:ind w:left="1261" w:right="566"/>
        <w:jc w:val="both"/>
      </w:pPr>
      <w:r>
        <w:rPr/>
        <w:t>Каскадный скрининг рекомендован к проведению родственникам первой, второй, и если возможно, третьей степени родства пациента с установленным диагнозом СГХС, а в случае, если у пробанда выявлен патогенный или вероятно-патогенный вариант нуклеотидной последовательности генов </w:t>
      </w:r>
      <w:r>
        <w:rPr>
          <w:i/>
        </w:rPr>
        <w:t>LDLR, APOB, PCSK9</w:t>
      </w:r>
      <w:r>
        <w:rPr/>
        <w:t>, — проведение генетического</w:t>
      </w:r>
      <w:r>
        <w:rPr>
          <w:spacing w:val="41"/>
        </w:rPr>
        <w:t> </w:t>
      </w:r>
      <w:r>
        <w:rPr/>
        <w:t>каскадного</w:t>
      </w:r>
      <w:r>
        <w:rPr>
          <w:spacing w:val="42"/>
        </w:rPr>
        <w:t> </w:t>
      </w:r>
      <w:r>
        <w:rPr/>
        <w:t>скрининга</w:t>
      </w:r>
      <w:r>
        <w:rPr>
          <w:spacing w:val="41"/>
        </w:rPr>
        <w:t> </w:t>
      </w:r>
      <w:r>
        <w:rPr/>
        <w:t>у</w:t>
      </w:r>
      <w:r>
        <w:rPr>
          <w:spacing w:val="39"/>
        </w:rPr>
        <w:t> </w:t>
      </w:r>
      <w:r>
        <w:rPr/>
        <w:t>родственников</w:t>
      </w:r>
      <w:r>
        <w:rPr>
          <w:spacing w:val="39"/>
        </w:rPr>
        <w:t> </w:t>
      </w:r>
      <w:r>
        <w:rPr/>
        <w:t>пробанда</w:t>
      </w:r>
      <w:r>
        <w:rPr>
          <w:spacing w:val="41"/>
        </w:rPr>
        <w:t> </w:t>
      </w:r>
      <w:r>
        <w:rPr/>
        <w:t>с</w:t>
      </w:r>
      <w:r>
        <w:rPr>
          <w:spacing w:val="39"/>
        </w:rPr>
        <w:t> </w:t>
      </w:r>
      <w:r>
        <w:rPr/>
        <w:t>целью</w:t>
      </w:r>
      <w:r>
        <w:rPr>
          <w:spacing w:val="41"/>
        </w:rPr>
        <w:t> </w:t>
      </w:r>
      <w:r>
        <w:rPr/>
        <w:t>определения</w:t>
      </w:r>
      <w:r>
        <w:rPr>
          <w:spacing w:val="40"/>
        </w:rPr>
        <w:t> </w:t>
      </w:r>
      <w:r>
        <w:rPr>
          <w:spacing w:val="-10"/>
        </w:rPr>
        <w:t>у</w:t>
      </w:r>
    </w:p>
    <w:p>
      <w:pPr>
        <w:spacing w:after="0" w:line="360" w:lineRule="auto"/>
        <w:jc w:val="both"/>
        <w:sectPr>
          <w:pgSz w:w="11910" w:h="16840"/>
          <w:pgMar w:header="0" w:footer="710" w:top="1040" w:bottom="900" w:left="440" w:right="280"/>
        </w:sectPr>
      </w:pPr>
    </w:p>
    <w:p>
      <w:pPr>
        <w:pStyle w:val="BodyText"/>
        <w:spacing w:line="360" w:lineRule="auto" w:before="73"/>
        <w:ind w:left="1261" w:right="567"/>
        <w:jc w:val="both"/>
      </w:pPr>
      <w:r>
        <w:rPr/>
        <w:t>них наличия или отсутствия данного генетического варианта. При подтверждении</w:t>
      </w:r>
      <w:r>
        <w:rPr>
          <w:spacing w:val="40"/>
        </w:rPr>
        <w:t> </w:t>
      </w:r>
      <w:r>
        <w:rPr/>
        <w:t>наличия патогенных или вероятно-патогенных вариантов у родственника рекомендовано выставление</w:t>
      </w:r>
      <w:r>
        <w:rPr>
          <w:spacing w:val="-2"/>
        </w:rPr>
        <w:t> </w:t>
      </w:r>
      <w:r>
        <w:rPr/>
        <w:t>диагноза</w:t>
      </w:r>
      <w:r>
        <w:rPr>
          <w:spacing w:val="-2"/>
        </w:rPr>
        <w:t> </w:t>
      </w:r>
      <w:r>
        <w:rPr/>
        <w:t>СГХС,</w:t>
      </w:r>
      <w:r>
        <w:rPr>
          <w:spacing w:val="-1"/>
        </w:rPr>
        <w:t> </w:t>
      </w:r>
      <w:r>
        <w:rPr/>
        <w:t>даже</w:t>
      </w:r>
      <w:r>
        <w:rPr>
          <w:spacing w:val="-2"/>
        </w:rPr>
        <w:t> </w:t>
      </w:r>
      <w:r>
        <w:rPr/>
        <w:t>если уровень ХС ЛНП</w:t>
      </w:r>
      <w:r>
        <w:rPr>
          <w:spacing w:val="-2"/>
        </w:rPr>
        <w:t> </w:t>
      </w:r>
      <w:r>
        <w:rPr/>
        <w:t>ниже</w:t>
      </w:r>
      <w:r>
        <w:rPr>
          <w:spacing w:val="-2"/>
        </w:rPr>
        <w:t> </w:t>
      </w:r>
      <w:r>
        <w:rPr/>
        <w:t>диагностических</w:t>
      </w:r>
      <w:r>
        <w:rPr>
          <w:spacing w:val="-1"/>
        </w:rPr>
        <w:t> </w:t>
      </w:r>
      <w:r>
        <w:rPr/>
        <w:t>значений согласно клиническим критериям [</w:t>
      </w:r>
      <w:hyperlink w:history="true" w:anchor="_bookmark267">
        <w:r>
          <w:rPr/>
          <w:t>226</w:t>
        </w:r>
      </w:hyperlink>
      <w:r>
        <w:rPr/>
        <w:t>, </w:t>
      </w:r>
      <w:hyperlink w:history="true" w:anchor="_bookmark269">
        <w:r>
          <w:rPr/>
          <w:t>228</w:t>
        </w:r>
      </w:hyperlink>
      <w:r>
        <w:rPr/>
        <w:t>].</w:t>
      </w:r>
    </w:p>
    <w:p>
      <w:pPr>
        <w:pStyle w:val="Heading2"/>
        <w:spacing w:before="202"/>
        <w:ind w:left="1969"/>
      </w:pPr>
      <w:r>
        <w:rPr/>
        <w:t>ЕОК/ЕОА</w:t>
      </w:r>
      <w:r>
        <w:rPr>
          <w:spacing w:val="-3"/>
        </w:rPr>
        <w:t> </w:t>
      </w:r>
      <w:r>
        <w:rPr/>
        <w:t>I</w:t>
      </w:r>
      <w:r>
        <w:rPr>
          <w:spacing w:val="-1"/>
        </w:rPr>
        <w:t> </w:t>
      </w:r>
      <w:r>
        <w:rPr/>
        <w:t>С</w:t>
      </w:r>
      <w:r>
        <w:rPr>
          <w:spacing w:val="-3"/>
        </w:rPr>
        <w:t> </w:t>
      </w:r>
      <w:r>
        <w:rPr/>
        <w:t>(УУРС,</w:t>
      </w:r>
      <w:r>
        <w:rPr>
          <w:spacing w:val="1"/>
        </w:rPr>
        <w:t> </w:t>
      </w:r>
      <w:r>
        <w:rPr/>
        <w:t>УДД</w:t>
      </w:r>
      <w:r>
        <w:rPr>
          <w:spacing w:val="-1"/>
        </w:rPr>
        <w:t> </w:t>
      </w:r>
      <w:r>
        <w:rPr>
          <w:spacing w:val="-5"/>
        </w:rPr>
        <w:t>5)</w:t>
      </w:r>
    </w:p>
    <w:p>
      <w:pPr>
        <w:pStyle w:val="BodyText"/>
        <w:spacing w:before="5"/>
        <w:ind w:left="0"/>
        <w:rPr>
          <w:b/>
          <w:sz w:val="29"/>
        </w:rPr>
      </w:pPr>
    </w:p>
    <w:p>
      <w:pPr>
        <w:pStyle w:val="Heading3"/>
        <w:ind w:left="1253" w:right="563"/>
        <w:jc w:val="center"/>
      </w:pPr>
      <w:r>
        <w:rPr>
          <w:spacing w:val="-2"/>
        </w:rPr>
        <w:t>Лечение</w:t>
      </w:r>
    </w:p>
    <w:p>
      <w:pPr>
        <w:spacing w:before="178"/>
        <w:ind w:left="4744" w:right="2986" w:firstLine="0"/>
        <w:jc w:val="center"/>
        <w:rPr>
          <w:i/>
          <w:sz w:val="24"/>
        </w:rPr>
      </w:pPr>
      <w:bookmarkStart w:name="Целевые уровни ХС ЛНП" w:id="65"/>
      <w:bookmarkEnd w:id="65"/>
      <w:r>
        <w:rPr/>
      </w:r>
      <w:bookmarkStart w:name="_bookmark32" w:id="66"/>
      <w:bookmarkEnd w:id="66"/>
      <w:r>
        <w:rPr/>
      </w:r>
      <w:r>
        <w:rPr>
          <w:i/>
          <w:sz w:val="24"/>
        </w:rPr>
        <w:t>Целевые</w:t>
      </w:r>
      <w:r>
        <w:rPr>
          <w:i/>
          <w:spacing w:val="-4"/>
          <w:sz w:val="24"/>
        </w:rPr>
        <w:t> </w:t>
      </w:r>
      <w:r>
        <w:rPr>
          <w:i/>
          <w:sz w:val="24"/>
        </w:rPr>
        <w:t>уровни</w:t>
      </w:r>
      <w:r>
        <w:rPr>
          <w:i/>
          <w:spacing w:val="-2"/>
          <w:sz w:val="24"/>
        </w:rPr>
        <w:t> </w:t>
      </w:r>
      <w:r>
        <w:rPr>
          <w:i/>
          <w:sz w:val="24"/>
        </w:rPr>
        <w:t>ХС</w:t>
      </w:r>
      <w:r>
        <w:rPr>
          <w:i/>
          <w:spacing w:val="-2"/>
          <w:sz w:val="24"/>
        </w:rPr>
        <w:t> </w:t>
      </w:r>
      <w:r>
        <w:rPr>
          <w:i/>
          <w:spacing w:val="-5"/>
          <w:sz w:val="24"/>
        </w:rPr>
        <w:t>ЛНП</w:t>
      </w:r>
    </w:p>
    <w:p>
      <w:pPr>
        <w:pStyle w:val="ListParagraph"/>
        <w:numPr>
          <w:ilvl w:val="0"/>
          <w:numId w:val="19"/>
        </w:numPr>
        <w:tabs>
          <w:tab w:pos="1982" w:val="left" w:leader="none"/>
        </w:tabs>
        <w:spacing w:line="360" w:lineRule="auto" w:before="136" w:after="0"/>
        <w:ind w:left="1981" w:right="567" w:hanging="360"/>
        <w:jc w:val="both"/>
        <w:rPr>
          <w:sz w:val="24"/>
        </w:rPr>
      </w:pPr>
      <w:r>
        <w:rPr>
          <w:sz w:val="24"/>
        </w:rPr>
        <w:t>У пациентов очень высокого риска с СГХС рекомендовано достижение целевого уровня ХС ЛНП &lt;1,4 ммоль/л и снижение по меньшей мере на 50% от исходного для первичной профилактики ССО [</w:t>
      </w:r>
      <w:hyperlink w:history="true" w:anchor="_bookmark82">
        <w:r>
          <w:rPr>
            <w:sz w:val="24"/>
          </w:rPr>
          <w:t>37</w:t>
        </w:r>
      </w:hyperlink>
      <w:r>
        <w:rPr>
          <w:sz w:val="24"/>
        </w:rPr>
        <w:t>, </w:t>
      </w:r>
      <w:hyperlink w:history="true" w:anchor="_bookmark88">
        <w:r>
          <w:rPr>
            <w:sz w:val="24"/>
          </w:rPr>
          <w:t>43</w:t>
        </w:r>
      </w:hyperlink>
      <w:r>
        <w:rPr>
          <w:sz w:val="24"/>
        </w:rPr>
        <w:t>, </w:t>
      </w:r>
      <w:hyperlink w:history="true" w:anchor="_bookmark95">
        <w:r>
          <w:rPr>
            <w:sz w:val="24"/>
          </w:rPr>
          <w:t>50</w:t>
        </w:r>
      </w:hyperlink>
      <w:r>
        <w:rPr>
          <w:sz w:val="24"/>
        </w:rPr>
        <w:t>]</w:t>
      </w:r>
    </w:p>
    <w:p>
      <w:pPr>
        <w:pStyle w:val="Heading3"/>
        <w:spacing w:before="2"/>
        <w:ind w:left="1621"/>
      </w:pPr>
      <w:r>
        <w:rPr/>
        <w:t>ЕОК/ЕОА</w:t>
      </w:r>
      <w:r>
        <w:rPr>
          <w:spacing w:val="-3"/>
        </w:rPr>
        <w:t> </w:t>
      </w:r>
      <w:r>
        <w:rPr/>
        <w:t>IIaС</w:t>
      </w:r>
      <w:r>
        <w:rPr>
          <w:spacing w:val="-2"/>
        </w:rPr>
        <w:t> </w:t>
      </w:r>
      <w:r>
        <w:rPr/>
        <w:t>(УУР</w:t>
      </w:r>
      <w:r>
        <w:rPr>
          <w:spacing w:val="1"/>
        </w:rPr>
        <w:t> </w:t>
      </w:r>
      <w:r>
        <w:rPr/>
        <w:t>С,</w:t>
      </w:r>
      <w:r>
        <w:rPr>
          <w:spacing w:val="-1"/>
        </w:rPr>
        <w:t> </w:t>
      </w:r>
      <w:r>
        <w:rPr/>
        <w:t>УДД</w:t>
      </w:r>
      <w:r>
        <w:rPr>
          <w:spacing w:val="-1"/>
        </w:rPr>
        <w:t> </w:t>
      </w:r>
      <w:r>
        <w:rPr>
          <w:spacing w:val="-5"/>
        </w:rPr>
        <w:t>5)</w:t>
      </w:r>
    </w:p>
    <w:p>
      <w:pPr>
        <w:pStyle w:val="ListParagraph"/>
        <w:numPr>
          <w:ilvl w:val="0"/>
          <w:numId w:val="19"/>
        </w:numPr>
        <w:tabs>
          <w:tab w:pos="1982" w:val="left" w:leader="none"/>
        </w:tabs>
        <w:spacing w:line="360" w:lineRule="auto" w:before="137" w:after="0"/>
        <w:ind w:left="1981" w:right="566" w:hanging="360"/>
        <w:jc w:val="both"/>
        <w:rPr>
          <w:sz w:val="24"/>
        </w:rPr>
      </w:pPr>
      <w:r>
        <w:rPr>
          <w:sz w:val="24"/>
        </w:rPr>
        <w:t>У пациентов очень высокого риска с СГХС и АССЗ рекомендовано достижение целевого уровня ХС ЛНП &lt;1,4</w:t>
      </w:r>
      <w:r>
        <w:rPr>
          <w:spacing w:val="-2"/>
          <w:sz w:val="24"/>
        </w:rPr>
        <w:t> </w:t>
      </w:r>
      <w:r>
        <w:rPr>
          <w:sz w:val="24"/>
        </w:rPr>
        <w:t>ммоль/л и снижение по меньшей мере на 50% от исходного для вторичной профилактики ССО [</w:t>
      </w:r>
      <w:hyperlink w:history="true" w:anchor="_bookmark82">
        <w:r>
          <w:rPr>
            <w:sz w:val="24"/>
          </w:rPr>
          <w:t>37,</w:t>
        </w:r>
      </w:hyperlink>
      <w:r>
        <w:rPr>
          <w:sz w:val="24"/>
        </w:rPr>
        <w:t> </w:t>
      </w:r>
      <w:hyperlink w:history="true" w:anchor="_bookmark88">
        <w:r>
          <w:rPr>
            <w:sz w:val="24"/>
          </w:rPr>
          <w:t>43</w:t>
        </w:r>
      </w:hyperlink>
      <w:r>
        <w:rPr>
          <w:sz w:val="24"/>
        </w:rPr>
        <w:t>]</w:t>
      </w:r>
    </w:p>
    <w:p>
      <w:pPr>
        <w:pStyle w:val="Heading2"/>
        <w:spacing w:before="1"/>
        <w:ind w:left="1621"/>
      </w:pPr>
      <w:r>
        <w:rPr/>
        <w:t>ЕОК/ЕОА</w:t>
      </w:r>
      <w:r>
        <w:rPr>
          <w:spacing w:val="-3"/>
        </w:rPr>
        <w:t> </w:t>
      </w:r>
      <w:r>
        <w:rPr/>
        <w:t>IС</w:t>
      </w:r>
      <w:r>
        <w:rPr>
          <w:spacing w:val="-2"/>
        </w:rPr>
        <w:t> </w:t>
      </w:r>
      <w:r>
        <w:rPr/>
        <w:t>(УУР</w:t>
      </w:r>
      <w:r>
        <w:rPr>
          <w:spacing w:val="-2"/>
        </w:rPr>
        <w:t> </w:t>
      </w:r>
      <w:r>
        <w:rPr/>
        <w:t>С,</w:t>
      </w:r>
      <w:r>
        <w:rPr>
          <w:spacing w:val="1"/>
        </w:rPr>
        <w:t> </w:t>
      </w:r>
      <w:r>
        <w:rPr>
          <w:spacing w:val="-2"/>
        </w:rPr>
        <w:t>УДД5)</w:t>
      </w:r>
    </w:p>
    <w:p>
      <w:pPr>
        <w:pStyle w:val="ListParagraph"/>
        <w:numPr>
          <w:ilvl w:val="0"/>
          <w:numId w:val="20"/>
        </w:numPr>
        <w:tabs>
          <w:tab w:pos="1982" w:val="left" w:leader="none"/>
        </w:tabs>
        <w:spacing w:line="355" w:lineRule="auto" w:before="139" w:after="0"/>
        <w:ind w:left="1981" w:right="570" w:hanging="360"/>
        <w:jc w:val="both"/>
        <w:rPr>
          <w:sz w:val="24"/>
        </w:rPr>
      </w:pPr>
      <w:r>
        <w:rPr>
          <w:sz w:val="24"/>
        </w:rPr>
        <w:t>У пациентов высокого риска с СГХС рекомендовано достижение целевого уровня ХС ЛНП &lt;1,8 ммоль/л и его снижение по меньшей мере на 50% от исходного [</w:t>
      </w:r>
      <w:hyperlink w:history="true" w:anchor="_bookmark84">
        <w:r>
          <w:rPr>
            <w:sz w:val="24"/>
          </w:rPr>
          <w:t>39,</w:t>
        </w:r>
      </w:hyperlink>
      <w:r>
        <w:rPr>
          <w:sz w:val="24"/>
        </w:rPr>
        <w:t> </w:t>
      </w:r>
      <w:hyperlink w:history="true" w:anchor="_bookmark87">
        <w:r>
          <w:rPr>
            <w:sz w:val="24"/>
          </w:rPr>
          <w:t>42</w:t>
        </w:r>
      </w:hyperlink>
      <w:r>
        <w:rPr>
          <w:sz w:val="24"/>
        </w:rPr>
        <w:t>, </w:t>
      </w:r>
      <w:hyperlink w:history="true" w:anchor="_bookmark95">
        <w:r>
          <w:rPr>
            <w:sz w:val="24"/>
          </w:rPr>
          <w:t>50</w:t>
        </w:r>
      </w:hyperlink>
      <w:r>
        <w:rPr>
          <w:sz w:val="24"/>
        </w:rPr>
        <w:t>].</w:t>
      </w:r>
    </w:p>
    <w:p>
      <w:pPr>
        <w:pStyle w:val="Heading2"/>
        <w:spacing w:before="6"/>
        <w:ind w:left="1621"/>
      </w:pPr>
      <w:r>
        <w:rPr/>
        <w:t>ЕОК/ЕОА</w:t>
      </w:r>
      <w:r>
        <w:rPr>
          <w:spacing w:val="-3"/>
        </w:rPr>
        <w:t> </w:t>
      </w:r>
      <w:r>
        <w:rPr/>
        <w:t>IA</w:t>
      </w:r>
      <w:r>
        <w:rPr>
          <w:spacing w:val="-2"/>
        </w:rPr>
        <w:t> </w:t>
      </w:r>
      <w:r>
        <w:rPr/>
        <w:t>(УУР</w:t>
      </w:r>
      <w:r>
        <w:rPr>
          <w:spacing w:val="-2"/>
        </w:rPr>
        <w:t> </w:t>
      </w:r>
      <w:r>
        <w:rPr/>
        <w:t>С,</w:t>
      </w:r>
      <w:r>
        <w:rPr>
          <w:spacing w:val="1"/>
        </w:rPr>
        <w:t> </w:t>
      </w:r>
      <w:r>
        <w:rPr/>
        <w:t>УДД</w:t>
      </w:r>
      <w:r>
        <w:rPr>
          <w:spacing w:val="-1"/>
        </w:rPr>
        <w:t> </w:t>
      </w:r>
      <w:r>
        <w:rPr>
          <w:spacing w:val="-5"/>
        </w:rPr>
        <w:t>5)</w:t>
      </w:r>
    </w:p>
    <w:p>
      <w:pPr>
        <w:pStyle w:val="BodyText"/>
        <w:ind w:left="0"/>
        <w:rPr>
          <w:b/>
          <w:sz w:val="26"/>
        </w:rPr>
      </w:pPr>
    </w:p>
    <w:p>
      <w:pPr>
        <w:pStyle w:val="BodyText"/>
        <w:ind w:left="0"/>
        <w:rPr>
          <w:b/>
          <w:sz w:val="26"/>
        </w:rPr>
      </w:pPr>
    </w:p>
    <w:p>
      <w:pPr>
        <w:spacing w:before="194"/>
        <w:ind w:left="4744" w:right="2986" w:firstLine="0"/>
        <w:jc w:val="center"/>
        <w:rPr>
          <w:i/>
          <w:sz w:val="24"/>
        </w:rPr>
      </w:pPr>
      <w:bookmarkStart w:name="Медикаментозная терапия" w:id="67"/>
      <w:bookmarkEnd w:id="67"/>
      <w:r>
        <w:rPr/>
      </w:r>
      <w:bookmarkStart w:name="_bookmark33" w:id="68"/>
      <w:bookmarkEnd w:id="68"/>
      <w:r>
        <w:rPr/>
      </w:r>
      <w:r>
        <w:rPr>
          <w:i/>
          <w:sz w:val="24"/>
        </w:rPr>
        <w:t>Медикаментозная</w:t>
      </w:r>
      <w:r>
        <w:rPr>
          <w:i/>
          <w:spacing w:val="-2"/>
          <w:sz w:val="24"/>
        </w:rPr>
        <w:t> терапия</w:t>
      </w:r>
    </w:p>
    <w:p>
      <w:pPr>
        <w:pStyle w:val="BodyText"/>
        <w:spacing w:before="4"/>
        <w:ind w:left="0"/>
        <w:rPr>
          <w:i/>
          <w:sz w:val="29"/>
        </w:rPr>
      </w:pPr>
    </w:p>
    <w:p>
      <w:pPr>
        <w:pStyle w:val="BodyText"/>
        <w:tabs>
          <w:tab w:pos="4520" w:val="left" w:leader="none"/>
          <w:tab w:pos="5667" w:val="left" w:leader="none"/>
          <w:tab w:pos="7498" w:val="left" w:leader="none"/>
          <w:tab w:pos="9214" w:val="left" w:leader="none"/>
          <w:tab w:pos="10033" w:val="left" w:leader="none"/>
        </w:tabs>
        <w:spacing w:line="360" w:lineRule="auto" w:before="1"/>
        <w:ind w:left="1261" w:right="569" w:firstLine="708"/>
      </w:pPr>
      <w:r>
        <w:rPr>
          <w:spacing w:val="-2"/>
        </w:rPr>
        <w:t>Гиполипидемическую</w:t>
      </w:r>
      <w:r>
        <w:rPr/>
        <w:tab/>
      </w:r>
      <w:r>
        <w:rPr>
          <w:spacing w:val="-2"/>
        </w:rPr>
        <w:t>терапию</w:t>
      </w:r>
      <w:r>
        <w:rPr/>
        <w:tab/>
      </w:r>
      <w:r>
        <w:rPr>
          <w:spacing w:val="-2"/>
        </w:rPr>
        <w:t>рекомендовано</w:t>
      </w:r>
      <w:r>
        <w:rPr/>
        <w:tab/>
      </w:r>
      <w:r>
        <w:rPr>
          <w:spacing w:val="-2"/>
        </w:rPr>
        <w:t>инициировать</w:t>
      </w:r>
      <w:r>
        <w:rPr/>
        <w:tab/>
      </w:r>
      <w:r>
        <w:rPr>
          <w:spacing w:val="-2"/>
        </w:rPr>
        <w:t>сразу</w:t>
      </w:r>
      <w:r>
        <w:rPr/>
        <w:tab/>
      </w:r>
      <w:r>
        <w:rPr>
          <w:spacing w:val="-2"/>
        </w:rPr>
        <w:t>после </w:t>
      </w:r>
      <w:r>
        <w:rPr/>
        <w:t>установления диагноза.</w:t>
      </w:r>
    </w:p>
    <w:p>
      <w:pPr>
        <w:pStyle w:val="ListParagraph"/>
        <w:numPr>
          <w:ilvl w:val="0"/>
          <w:numId w:val="19"/>
        </w:numPr>
        <w:tabs>
          <w:tab w:pos="1982" w:val="left" w:leader="none"/>
        </w:tabs>
        <w:spacing w:line="360" w:lineRule="auto" w:before="199" w:after="0"/>
        <w:ind w:left="1981" w:right="567" w:hanging="360"/>
        <w:jc w:val="both"/>
        <w:rPr>
          <w:sz w:val="24"/>
        </w:rPr>
      </w:pPr>
      <w:r>
        <w:rPr>
          <w:sz w:val="24"/>
        </w:rPr>
        <w:t>Всем пациентам с СГХС рекомендована стартовая терапия статином в дозах, необходимых для достижения целевого уровня ХС ЛНП [</w:t>
      </w:r>
      <w:hyperlink w:history="true" w:anchor="_bookmark84">
        <w:r>
          <w:rPr>
            <w:sz w:val="24"/>
          </w:rPr>
          <w:t>39</w:t>
        </w:r>
      </w:hyperlink>
      <w:r>
        <w:rPr>
          <w:sz w:val="24"/>
        </w:rPr>
        <w:t>, </w:t>
      </w:r>
      <w:hyperlink w:history="true" w:anchor="_bookmark114">
        <w:r>
          <w:rPr>
            <w:sz w:val="24"/>
          </w:rPr>
          <w:t>69</w:t>
        </w:r>
      </w:hyperlink>
      <w:r>
        <w:rPr>
          <w:sz w:val="24"/>
        </w:rPr>
        <w:t>, </w:t>
      </w:r>
      <w:hyperlink w:history="true" w:anchor="_bookmark115">
        <w:r>
          <w:rPr>
            <w:sz w:val="24"/>
          </w:rPr>
          <w:t>70</w:t>
        </w:r>
      </w:hyperlink>
      <w:r>
        <w:rPr>
          <w:sz w:val="24"/>
        </w:rPr>
        <w:t>].</w:t>
      </w:r>
    </w:p>
    <w:p>
      <w:pPr>
        <w:pStyle w:val="Heading2"/>
        <w:numPr>
          <w:ilvl w:val="0"/>
          <w:numId w:val="19"/>
        </w:numPr>
        <w:tabs>
          <w:tab w:pos="1981" w:val="left" w:leader="none"/>
          <w:tab w:pos="1982" w:val="left" w:leader="none"/>
        </w:tabs>
        <w:spacing w:line="240" w:lineRule="auto" w:before="0" w:after="0"/>
        <w:ind w:left="1981" w:right="0" w:hanging="361"/>
        <w:jc w:val="left"/>
      </w:pPr>
      <w:r>
        <w:rPr/>
        <w:t>ЕОК/ЕОА</w:t>
      </w:r>
      <w:r>
        <w:rPr>
          <w:spacing w:val="-2"/>
        </w:rPr>
        <w:t> </w:t>
      </w:r>
      <w:r>
        <w:rPr/>
        <w:t>IA</w:t>
      </w:r>
      <w:r>
        <w:rPr>
          <w:spacing w:val="-2"/>
        </w:rPr>
        <w:t> </w:t>
      </w:r>
      <w:r>
        <w:rPr/>
        <w:t>(УУР</w:t>
      </w:r>
      <w:r>
        <w:rPr>
          <w:spacing w:val="-2"/>
        </w:rPr>
        <w:t> </w:t>
      </w:r>
      <w:r>
        <w:rPr/>
        <w:t>В,</w:t>
      </w:r>
      <w:r>
        <w:rPr>
          <w:spacing w:val="1"/>
        </w:rPr>
        <w:t> </w:t>
      </w:r>
      <w:r>
        <w:rPr/>
        <w:t>УДД</w:t>
      </w:r>
      <w:r>
        <w:rPr>
          <w:spacing w:val="-1"/>
        </w:rPr>
        <w:t> </w:t>
      </w:r>
      <w:r>
        <w:rPr>
          <w:spacing w:val="-5"/>
        </w:rPr>
        <w:t>1)</w:t>
      </w:r>
    </w:p>
    <w:p>
      <w:pPr>
        <w:spacing w:line="357" w:lineRule="auto" w:before="0"/>
        <w:ind w:left="1619" w:right="567" w:firstLine="708"/>
        <w:jc w:val="both"/>
        <w:rPr>
          <w:i/>
          <w:sz w:val="24"/>
        </w:rPr>
      </w:pPr>
      <w:r>
        <w:rPr>
          <w:i/>
          <w:sz w:val="24"/>
        </w:rPr>
        <w:t>Комментарии: дозы </w:t>
      </w:r>
      <w:r>
        <w:rPr>
          <w:rFonts w:ascii="Calibri" w:hAnsi="Calibri"/>
          <w:i/>
          <w:sz w:val="22"/>
        </w:rPr>
        <w:t>с</w:t>
      </w:r>
      <w:r>
        <w:rPr>
          <w:i/>
          <w:sz w:val="24"/>
        </w:rPr>
        <w:t>татин</w:t>
      </w:r>
      <w:r>
        <w:rPr>
          <w:rFonts w:ascii="Calibri" w:hAnsi="Calibri"/>
          <w:i/>
          <w:sz w:val="22"/>
        </w:rPr>
        <w:t>ов </w:t>
      </w:r>
      <w:r>
        <w:rPr>
          <w:i/>
          <w:sz w:val="24"/>
        </w:rPr>
        <w:t>для интенсивного и умеренного снижения ХС ЛНП приведены в таблице 4, приложение Б3. При непереносимости высокоинтенсивной терапии </w:t>
      </w:r>
      <w:r>
        <w:rPr>
          <w:rFonts w:ascii="Calibri" w:hAnsi="Calibri"/>
          <w:i/>
          <w:sz w:val="22"/>
        </w:rPr>
        <w:t>с</w:t>
      </w:r>
      <w:r>
        <w:rPr>
          <w:i/>
          <w:sz w:val="24"/>
        </w:rPr>
        <w:t>татин</w:t>
      </w:r>
      <w:r>
        <w:rPr>
          <w:rFonts w:ascii="Calibri" w:hAnsi="Calibri"/>
          <w:i/>
          <w:sz w:val="22"/>
        </w:rPr>
        <w:t>ами </w:t>
      </w:r>
      <w:r>
        <w:rPr>
          <w:i/>
          <w:sz w:val="24"/>
        </w:rPr>
        <w:t>следует рассмотреть снижение дозы препарата с последующей переоценкой переносимости.</w:t>
      </w:r>
    </w:p>
    <w:p>
      <w:pPr>
        <w:pStyle w:val="ListParagraph"/>
        <w:numPr>
          <w:ilvl w:val="0"/>
          <w:numId w:val="19"/>
        </w:numPr>
        <w:tabs>
          <w:tab w:pos="1982" w:val="left" w:leader="none"/>
        </w:tabs>
        <w:spacing w:line="360" w:lineRule="auto" w:before="210" w:after="0"/>
        <w:ind w:left="1981" w:right="567" w:hanging="360"/>
        <w:jc w:val="both"/>
        <w:rPr>
          <w:sz w:val="24"/>
        </w:rPr>
      </w:pPr>
      <w:r>
        <w:rPr>
          <w:sz w:val="24"/>
        </w:rPr>
        <w:t>Пациентам, не достигшим целевого уровня ХС ЛНП на фоне максимально переносимых</w:t>
      </w:r>
      <w:r>
        <w:rPr>
          <w:spacing w:val="40"/>
          <w:sz w:val="24"/>
        </w:rPr>
        <w:t> </w:t>
      </w:r>
      <w:r>
        <w:rPr>
          <w:sz w:val="24"/>
        </w:rPr>
        <w:t>доз</w:t>
      </w:r>
      <w:r>
        <w:rPr>
          <w:spacing w:val="40"/>
          <w:sz w:val="24"/>
        </w:rPr>
        <w:t> </w:t>
      </w:r>
      <w:r>
        <w:rPr>
          <w:sz w:val="24"/>
        </w:rPr>
        <w:t>статина</w:t>
      </w:r>
      <w:r>
        <w:rPr>
          <w:i/>
          <w:sz w:val="24"/>
        </w:rPr>
        <w:t>,</w:t>
      </w:r>
      <w:r>
        <w:rPr>
          <w:i/>
          <w:spacing w:val="40"/>
          <w:sz w:val="24"/>
        </w:rPr>
        <w:t> </w:t>
      </w:r>
      <w:r>
        <w:rPr>
          <w:sz w:val="24"/>
        </w:rPr>
        <w:t>рекомендуется</w:t>
      </w:r>
      <w:r>
        <w:rPr>
          <w:spacing w:val="40"/>
          <w:sz w:val="24"/>
        </w:rPr>
        <w:t> </w:t>
      </w:r>
      <w:r>
        <w:rPr>
          <w:sz w:val="24"/>
        </w:rPr>
        <w:t>комбинированная</w:t>
      </w:r>
      <w:r>
        <w:rPr>
          <w:spacing w:val="40"/>
          <w:sz w:val="24"/>
        </w:rPr>
        <w:t> </w:t>
      </w:r>
      <w:r>
        <w:rPr>
          <w:sz w:val="24"/>
        </w:rPr>
        <w:t>терапия</w:t>
      </w:r>
      <w:r>
        <w:rPr>
          <w:spacing w:val="40"/>
          <w:sz w:val="24"/>
        </w:rPr>
        <w:t> </w:t>
      </w:r>
      <w:r>
        <w:rPr>
          <w:sz w:val="24"/>
        </w:rPr>
        <w:t>статином</w:t>
      </w:r>
      <w:r>
        <w:rPr>
          <w:spacing w:val="40"/>
          <w:sz w:val="24"/>
        </w:rPr>
        <w:t> </w:t>
      </w:r>
      <w:r>
        <w:rPr>
          <w:sz w:val="24"/>
        </w:rPr>
        <w:t>с</w:t>
      </w:r>
    </w:p>
    <w:p>
      <w:pPr>
        <w:spacing w:after="0" w:line="360" w:lineRule="auto"/>
        <w:jc w:val="both"/>
        <w:rPr>
          <w:sz w:val="24"/>
        </w:rPr>
        <w:sectPr>
          <w:pgSz w:w="11910" w:h="16840"/>
          <w:pgMar w:header="0" w:footer="710" w:top="1040" w:bottom="900" w:left="440" w:right="280"/>
        </w:sectPr>
      </w:pPr>
    </w:p>
    <w:p>
      <w:pPr>
        <w:pStyle w:val="BodyText"/>
        <w:tabs>
          <w:tab w:pos="3613" w:val="left" w:leader="none"/>
          <w:tab w:pos="5799" w:val="left" w:leader="none"/>
          <w:tab w:pos="6330" w:val="left" w:leader="none"/>
          <w:tab w:pos="7367" w:val="left" w:leader="none"/>
          <w:tab w:pos="8672" w:val="left" w:leader="none"/>
        </w:tabs>
        <w:spacing w:line="360" w:lineRule="auto" w:before="73"/>
        <w:ind w:right="567"/>
      </w:pPr>
      <w:r>
        <w:rPr>
          <w:spacing w:val="-2"/>
        </w:rPr>
        <w:t>эзетимибом</w:t>
      </w:r>
      <w:r>
        <w:rPr/>
        <w:tab/>
      </w:r>
      <w:r>
        <w:rPr>
          <w:spacing w:val="-2"/>
        </w:rPr>
        <w:t>предпочтительно</w:t>
      </w:r>
      <w:r>
        <w:rPr/>
        <w:tab/>
      </w:r>
      <w:r>
        <w:rPr>
          <w:spacing w:val="-10"/>
        </w:rPr>
        <w:t>в</w:t>
      </w:r>
      <w:r>
        <w:rPr/>
        <w:tab/>
      </w:r>
      <w:r>
        <w:rPr>
          <w:spacing w:val="-4"/>
        </w:rPr>
        <w:t>одной</w:t>
      </w:r>
      <w:r>
        <w:rPr/>
        <w:tab/>
      </w:r>
      <w:r>
        <w:rPr>
          <w:spacing w:val="-2"/>
        </w:rPr>
        <w:t>таблетке</w:t>
      </w:r>
      <w:r>
        <w:rPr/>
        <w:tab/>
      </w:r>
      <w:r>
        <w:rPr>
          <w:spacing w:val="-2"/>
        </w:rPr>
        <w:t>(зарегистрированы </w:t>
      </w:r>
      <w:r>
        <w:rPr/>
        <w:t>розувастатин+эзетимиб и аторвастатин+эзетимиб) [</w:t>
      </w:r>
      <w:hyperlink w:history="true" w:anchor="_bookmark83">
        <w:r>
          <w:rPr/>
          <w:t>38</w:t>
        </w:r>
      </w:hyperlink>
      <w:r>
        <w:rPr/>
        <w:t>].</w:t>
      </w:r>
    </w:p>
    <w:p>
      <w:pPr>
        <w:pStyle w:val="Heading2"/>
        <w:ind w:left="1981"/>
      </w:pPr>
      <w:r>
        <w:rPr/>
        <w:t>ЕОК/ЕОА</w:t>
      </w:r>
      <w:r>
        <w:rPr>
          <w:spacing w:val="-3"/>
        </w:rPr>
        <w:t> </w:t>
      </w:r>
      <w:r>
        <w:rPr/>
        <w:t>IВ</w:t>
      </w:r>
      <w:r>
        <w:rPr>
          <w:spacing w:val="-1"/>
        </w:rPr>
        <w:t> </w:t>
      </w:r>
      <w:r>
        <w:rPr/>
        <w:t>(УУР</w:t>
      </w:r>
      <w:r>
        <w:rPr>
          <w:spacing w:val="-2"/>
        </w:rPr>
        <w:t> </w:t>
      </w:r>
      <w:r>
        <w:rPr/>
        <w:t>А,</w:t>
      </w:r>
      <w:r>
        <w:rPr>
          <w:spacing w:val="1"/>
        </w:rPr>
        <w:t> </w:t>
      </w:r>
      <w:r>
        <w:rPr/>
        <w:t>УДД</w:t>
      </w:r>
      <w:r>
        <w:rPr>
          <w:spacing w:val="-1"/>
        </w:rPr>
        <w:t> </w:t>
      </w:r>
      <w:r>
        <w:rPr>
          <w:spacing w:val="-5"/>
        </w:rPr>
        <w:t>2)</w:t>
      </w:r>
    </w:p>
    <w:p>
      <w:pPr>
        <w:pStyle w:val="ListParagraph"/>
        <w:numPr>
          <w:ilvl w:val="0"/>
          <w:numId w:val="19"/>
        </w:numPr>
        <w:tabs>
          <w:tab w:pos="1982" w:val="left" w:leader="none"/>
        </w:tabs>
        <w:spacing w:line="360" w:lineRule="auto" w:before="0" w:after="0"/>
        <w:ind w:left="1981" w:right="566" w:hanging="360"/>
        <w:jc w:val="both"/>
        <w:rPr>
          <w:sz w:val="24"/>
        </w:rPr>
      </w:pPr>
      <w:r>
        <w:rPr>
          <w:sz w:val="24"/>
        </w:rPr>
        <w:t>У пациентов с очень высоким риском и недостижением целевого уровня ХС ЛНП на фоне максимально переносимых доз статина в комбинации с эзетимибом рекомендовано добавить алирокумаб**(</w:t>
      </w:r>
      <w:r>
        <w:rPr>
          <w:b/>
          <w:sz w:val="24"/>
        </w:rPr>
        <w:t>ЕОК/ЕОА I A)</w:t>
      </w:r>
      <w:r>
        <w:rPr>
          <w:sz w:val="24"/>
        </w:rPr>
        <w:t>, инклисиран**(</w:t>
      </w:r>
      <w:r>
        <w:rPr>
          <w:b/>
          <w:sz w:val="24"/>
        </w:rPr>
        <w:t>ЕОК/ЕОА нет) </w:t>
      </w:r>
      <w:r>
        <w:rPr>
          <w:sz w:val="24"/>
        </w:rPr>
        <w:t>или эволокумаб**(</w:t>
      </w:r>
      <w:r>
        <w:rPr>
          <w:b/>
          <w:sz w:val="24"/>
        </w:rPr>
        <w:t>ЕОК/ЕОА I A) </w:t>
      </w:r>
      <w:r>
        <w:rPr>
          <w:sz w:val="24"/>
        </w:rPr>
        <w:t>с целью вторичной профилактики ССЗ [</w:t>
      </w:r>
      <w:hyperlink w:history="true" w:anchor="_bookmark85">
        <w:r>
          <w:rPr>
            <w:sz w:val="24"/>
          </w:rPr>
          <w:t>40</w:t>
        </w:r>
      </w:hyperlink>
      <w:r>
        <w:rPr>
          <w:sz w:val="24"/>
        </w:rPr>
        <w:t>, </w:t>
      </w:r>
      <w:hyperlink w:history="true" w:anchor="_bookmark86">
        <w:r>
          <w:rPr>
            <w:sz w:val="24"/>
          </w:rPr>
          <w:t>41</w:t>
        </w:r>
      </w:hyperlink>
      <w:r>
        <w:rPr>
          <w:sz w:val="24"/>
        </w:rPr>
        <w:t>, </w:t>
      </w:r>
      <w:hyperlink w:history="true" w:anchor="_bookmark112">
        <w:r>
          <w:rPr>
            <w:sz w:val="24"/>
          </w:rPr>
          <w:t>67</w:t>
        </w:r>
      </w:hyperlink>
      <w:r>
        <w:rPr>
          <w:sz w:val="24"/>
        </w:rPr>
        <w:t>, </w:t>
      </w:r>
      <w:hyperlink w:history="true" w:anchor="_bookmark275">
        <w:r>
          <w:rPr>
            <w:sz w:val="24"/>
          </w:rPr>
          <w:t>234</w:t>
        </w:r>
      </w:hyperlink>
      <w:r>
        <w:rPr>
          <w:sz w:val="24"/>
        </w:rPr>
        <w:t>].</w:t>
      </w:r>
    </w:p>
    <w:p>
      <w:pPr>
        <w:pStyle w:val="Heading2"/>
        <w:spacing w:before="2"/>
        <w:ind w:left="1981"/>
      </w:pPr>
      <w:r>
        <w:rPr/>
        <w:t>(УУР</w:t>
      </w:r>
      <w:r>
        <w:rPr>
          <w:spacing w:val="-3"/>
        </w:rPr>
        <w:t> </w:t>
      </w:r>
      <w:r>
        <w:rPr/>
        <w:t>А, УДД</w:t>
      </w:r>
      <w:r>
        <w:rPr>
          <w:spacing w:val="-1"/>
        </w:rPr>
        <w:t> </w:t>
      </w:r>
      <w:r>
        <w:rPr>
          <w:spacing w:val="-5"/>
        </w:rPr>
        <w:t>2)</w:t>
      </w:r>
    </w:p>
    <w:p>
      <w:pPr>
        <w:pStyle w:val="ListParagraph"/>
        <w:numPr>
          <w:ilvl w:val="0"/>
          <w:numId w:val="19"/>
        </w:numPr>
        <w:tabs>
          <w:tab w:pos="1982" w:val="left" w:leader="none"/>
        </w:tabs>
        <w:spacing w:line="360" w:lineRule="auto" w:before="0" w:after="0"/>
        <w:ind w:left="1981" w:right="567" w:hanging="360"/>
        <w:jc w:val="both"/>
        <w:rPr>
          <w:sz w:val="24"/>
        </w:rPr>
      </w:pPr>
      <w:r>
        <w:rPr>
          <w:sz w:val="24"/>
        </w:rPr>
        <w:t>Пациентам с непереносимостью любой дозы статина рекомендован прием эзетимиба для достижения целевого уровня ХС ЛНП [</w:t>
      </w:r>
      <w:hyperlink w:history="true" w:anchor="_bookmark116">
        <w:r>
          <w:rPr>
            <w:sz w:val="24"/>
          </w:rPr>
          <w:t>71,</w:t>
        </w:r>
      </w:hyperlink>
      <w:r>
        <w:rPr>
          <w:sz w:val="24"/>
        </w:rPr>
        <w:t> </w:t>
      </w:r>
      <w:hyperlink w:history="true" w:anchor="_bookmark117">
        <w:r>
          <w:rPr>
            <w:sz w:val="24"/>
          </w:rPr>
          <w:t>72</w:t>
        </w:r>
      </w:hyperlink>
      <w:r>
        <w:rPr>
          <w:sz w:val="24"/>
        </w:rPr>
        <w:t>].</w:t>
      </w:r>
    </w:p>
    <w:p>
      <w:pPr>
        <w:pStyle w:val="Heading3"/>
        <w:ind w:left="1981"/>
      </w:pPr>
      <w:r>
        <w:rPr/>
        <w:t>ЕОК/ЕОА</w:t>
      </w:r>
      <w:r>
        <w:rPr>
          <w:spacing w:val="-3"/>
        </w:rPr>
        <w:t> </w:t>
      </w:r>
      <w:r>
        <w:rPr/>
        <w:t>IIаC</w:t>
      </w:r>
      <w:r>
        <w:rPr>
          <w:spacing w:val="-2"/>
        </w:rPr>
        <w:t> </w:t>
      </w:r>
      <w:r>
        <w:rPr/>
        <w:t>(УУР</w:t>
      </w:r>
      <w:r>
        <w:rPr>
          <w:spacing w:val="1"/>
        </w:rPr>
        <w:t> </w:t>
      </w:r>
      <w:r>
        <w:rPr/>
        <w:t>А,</w:t>
      </w:r>
      <w:r>
        <w:rPr>
          <w:spacing w:val="-1"/>
        </w:rPr>
        <w:t> </w:t>
      </w:r>
      <w:r>
        <w:rPr/>
        <w:t>УДД</w:t>
      </w:r>
      <w:r>
        <w:rPr>
          <w:spacing w:val="-1"/>
        </w:rPr>
        <w:t> </w:t>
      </w:r>
      <w:r>
        <w:rPr>
          <w:spacing w:val="-5"/>
        </w:rPr>
        <w:t>2)</w:t>
      </w:r>
    </w:p>
    <w:p>
      <w:pPr>
        <w:pStyle w:val="ListParagraph"/>
        <w:numPr>
          <w:ilvl w:val="0"/>
          <w:numId w:val="19"/>
        </w:numPr>
        <w:tabs>
          <w:tab w:pos="1982" w:val="left" w:leader="none"/>
        </w:tabs>
        <w:spacing w:line="360" w:lineRule="auto" w:before="0" w:after="0"/>
        <w:ind w:left="1981" w:right="566" w:hanging="360"/>
        <w:jc w:val="both"/>
        <w:rPr>
          <w:sz w:val="24"/>
        </w:rPr>
      </w:pPr>
      <w:r>
        <w:rPr>
          <w:sz w:val="24"/>
        </w:rPr>
        <w:t>Пациентам с непереносимостью любой дозы статином, которые на фоне приема эзетимиба не достигли целевого уровня ХС ЛНП, рекомендовано добавление к терапии алирокумаба**(</w:t>
      </w:r>
      <w:r>
        <w:rPr>
          <w:b/>
          <w:sz w:val="24"/>
        </w:rPr>
        <w:t>ЕОК/ЕОА IIbC)</w:t>
      </w:r>
      <w:r>
        <w:rPr>
          <w:sz w:val="24"/>
        </w:rPr>
        <w:t>, инклисирана**(</w:t>
      </w:r>
      <w:r>
        <w:rPr>
          <w:b/>
          <w:sz w:val="24"/>
        </w:rPr>
        <w:t>ЕОК/ЕОА нет) </w:t>
      </w:r>
      <w:r>
        <w:rPr>
          <w:sz w:val="24"/>
        </w:rPr>
        <w:t>или эволокумаба**(</w:t>
      </w:r>
      <w:r>
        <w:rPr>
          <w:b/>
          <w:sz w:val="24"/>
        </w:rPr>
        <w:t>ЕОК/ЕОА IIbC) </w:t>
      </w:r>
      <w:r>
        <w:rPr>
          <w:sz w:val="24"/>
        </w:rPr>
        <w:t>[</w:t>
      </w:r>
      <w:hyperlink w:history="true" w:anchor="_bookmark116">
        <w:r>
          <w:rPr>
            <w:sz w:val="24"/>
          </w:rPr>
          <w:t>71,</w:t>
        </w:r>
      </w:hyperlink>
      <w:r>
        <w:rPr>
          <w:sz w:val="24"/>
        </w:rPr>
        <w:t> </w:t>
      </w:r>
      <w:hyperlink w:history="true" w:anchor="_bookmark117">
        <w:r>
          <w:rPr>
            <w:sz w:val="24"/>
          </w:rPr>
          <w:t>72,</w:t>
        </w:r>
      </w:hyperlink>
      <w:r>
        <w:rPr>
          <w:sz w:val="24"/>
        </w:rPr>
        <w:t> </w:t>
      </w:r>
      <w:hyperlink w:history="true" w:anchor="_bookmark118">
        <w:r>
          <w:rPr>
            <w:sz w:val="24"/>
          </w:rPr>
          <w:t>73,</w:t>
        </w:r>
      </w:hyperlink>
      <w:r>
        <w:rPr>
          <w:sz w:val="24"/>
        </w:rPr>
        <w:t> </w:t>
      </w:r>
      <w:hyperlink w:history="true" w:anchor="_bookmark275">
        <w:r>
          <w:rPr>
            <w:sz w:val="24"/>
          </w:rPr>
          <w:t>234</w:t>
        </w:r>
      </w:hyperlink>
      <w:r>
        <w:rPr>
          <w:sz w:val="24"/>
        </w:rPr>
        <w:t>]</w:t>
      </w:r>
    </w:p>
    <w:p>
      <w:pPr>
        <w:pStyle w:val="Heading3"/>
        <w:ind w:left="1981"/>
      </w:pPr>
      <w:r>
        <w:rPr/>
        <w:t>ЕОК/ЕОА</w:t>
      </w:r>
      <w:r>
        <w:rPr>
          <w:spacing w:val="-3"/>
        </w:rPr>
        <w:t> </w:t>
      </w:r>
      <w:r>
        <w:rPr/>
        <w:t>IIbC</w:t>
      </w:r>
      <w:r>
        <w:rPr>
          <w:spacing w:val="-2"/>
        </w:rPr>
        <w:t> </w:t>
      </w:r>
      <w:r>
        <w:rPr/>
        <w:t>(УУР</w:t>
      </w:r>
      <w:r>
        <w:rPr>
          <w:spacing w:val="-2"/>
        </w:rPr>
        <w:t> </w:t>
      </w:r>
      <w:r>
        <w:rPr/>
        <w:t>А,</w:t>
      </w:r>
      <w:r>
        <w:rPr>
          <w:spacing w:val="-1"/>
        </w:rPr>
        <w:t> </w:t>
      </w:r>
      <w:r>
        <w:rPr/>
        <w:t>УДД</w:t>
      </w:r>
      <w:r>
        <w:rPr>
          <w:spacing w:val="-1"/>
        </w:rPr>
        <w:t> </w:t>
      </w:r>
      <w:r>
        <w:rPr>
          <w:spacing w:val="-5"/>
        </w:rPr>
        <w:t>1)</w:t>
      </w:r>
    </w:p>
    <w:p>
      <w:pPr>
        <w:pStyle w:val="ListParagraph"/>
        <w:numPr>
          <w:ilvl w:val="0"/>
          <w:numId w:val="19"/>
        </w:numPr>
        <w:tabs>
          <w:tab w:pos="1982" w:val="left" w:leader="none"/>
        </w:tabs>
        <w:spacing w:line="360" w:lineRule="auto" w:before="137" w:after="0"/>
        <w:ind w:left="1981" w:right="567" w:hanging="360"/>
        <w:jc w:val="both"/>
        <w:rPr>
          <w:sz w:val="24"/>
        </w:rPr>
      </w:pPr>
      <w:r>
        <w:rPr>
          <w:sz w:val="24"/>
        </w:rPr>
        <w:t>Пациентам очень высокого риска с СГХС, если не достигнут целевой уровень ХС ЛНП на максимально переносимых дозах статина в комбинации с эзетимибом, рекомендовано добавление к терапии алирокумаба** </w:t>
      </w:r>
      <w:r>
        <w:rPr>
          <w:b/>
          <w:sz w:val="24"/>
        </w:rPr>
        <w:t>(ЕОК/ЕОА IC)</w:t>
      </w:r>
      <w:r>
        <w:rPr>
          <w:sz w:val="24"/>
        </w:rPr>
        <w:t>, инклисирана** </w:t>
      </w:r>
      <w:r>
        <w:rPr>
          <w:b/>
          <w:sz w:val="24"/>
        </w:rPr>
        <w:t>(ЕОК/ЕОА нет) </w:t>
      </w:r>
      <w:r>
        <w:rPr>
          <w:sz w:val="24"/>
        </w:rPr>
        <w:t>или эволокумаба** </w:t>
      </w:r>
      <w:r>
        <w:rPr>
          <w:b/>
          <w:sz w:val="24"/>
        </w:rPr>
        <w:t>(ЕОК/ЕОА IC) </w:t>
      </w:r>
      <w:r>
        <w:rPr>
          <w:sz w:val="24"/>
        </w:rPr>
        <w:t>[</w:t>
      </w:r>
      <w:hyperlink w:history="true" w:anchor="_bookmark55">
        <w:r>
          <w:rPr>
            <w:sz w:val="24"/>
          </w:rPr>
          <w:t>9,</w:t>
        </w:r>
      </w:hyperlink>
      <w:r>
        <w:rPr>
          <w:sz w:val="24"/>
        </w:rPr>
        <w:t> </w:t>
      </w:r>
      <w:hyperlink w:history="true" w:anchor="_bookmark119">
        <w:r>
          <w:rPr>
            <w:sz w:val="24"/>
          </w:rPr>
          <w:t>74,</w:t>
        </w:r>
      </w:hyperlink>
      <w:r>
        <w:rPr>
          <w:sz w:val="24"/>
        </w:rPr>
        <w:t> </w:t>
      </w:r>
      <w:hyperlink w:history="true" w:anchor="_bookmark120">
        <w:r>
          <w:rPr>
            <w:sz w:val="24"/>
          </w:rPr>
          <w:t>75</w:t>
        </w:r>
      </w:hyperlink>
      <w:r>
        <w:rPr>
          <w:sz w:val="24"/>
        </w:rPr>
        <w:t>, </w:t>
      </w:r>
      <w:hyperlink w:history="true" w:anchor="_bookmark275">
        <w:r>
          <w:rPr>
            <w:sz w:val="24"/>
          </w:rPr>
          <w:t>234,</w:t>
        </w:r>
      </w:hyperlink>
    </w:p>
    <w:p>
      <w:pPr>
        <w:pStyle w:val="BodyText"/>
      </w:pPr>
      <w:hyperlink w:history="true" w:anchor="_bookmark279">
        <w:r>
          <w:rPr>
            <w:spacing w:val="-4"/>
          </w:rPr>
          <w:t>238</w:t>
        </w:r>
      </w:hyperlink>
      <w:r>
        <w:rPr>
          <w:spacing w:val="-4"/>
        </w:rPr>
        <w:t>]</w:t>
      </w:r>
    </w:p>
    <w:p>
      <w:pPr>
        <w:pStyle w:val="Heading2"/>
        <w:spacing w:before="139"/>
        <w:ind w:left="2041"/>
      </w:pPr>
      <w:r>
        <w:rPr/>
        <w:t>(УУР</w:t>
      </w:r>
      <w:r>
        <w:rPr>
          <w:spacing w:val="-3"/>
        </w:rPr>
        <w:t> </w:t>
      </w:r>
      <w:r>
        <w:rPr/>
        <w:t>A, УДД</w:t>
      </w:r>
      <w:r>
        <w:rPr>
          <w:spacing w:val="-1"/>
        </w:rPr>
        <w:t> </w:t>
      </w:r>
      <w:r>
        <w:rPr>
          <w:spacing w:val="-5"/>
        </w:rPr>
        <w:t>1)</w:t>
      </w:r>
    </w:p>
    <w:p>
      <w:pPr>
        <w:pStyle w:val="BodyText"/>
        <w:spacing w:before="10"/>
        <w:ind w:left="0"/>
        <w:rPr>
          <w:b/>
          <w:sz w:val="35"/>
        </w:rPr>
      </w:pPr>
    </w:p>
    <w:p>
      <w:pPr>
        <w:pStyle w:val="Heading3"/>
        <w:numPr>
          <w:ilvl w:val="2"/>
          <w:numId w:val="7"/>
        </w:numPr>
        <w:tabs>
          <w:tab w:pos="2162" w:val="left" w:leader="none"/>
        </w:tabs>
        <w:spacing w:line="240" w:lineRule="auto" w:before="1" w:after="0"/>
        <w:ind w:left="2161" w:right="0" w:hanging="541"/>
        <w:jc w:val="left"/>
        <w:rPr>
          <w:u w:val="single"/>
        </w:rPr>
      </w:pPr>
      <w:bookmarkStart w:name="3.5.2 ДЛП и сахарный диабет" w:id="69"/>
      <w:bookmarkEnd w:id="69"/>
      <w:r>
        <w:rPr>
          <w:b w:val="0"/>
        </w:rPr>
      </w:r>
      <w:bookmarkStart w:name="_bookmark34" w:id="70"/>
      <w:bookmarkEnd w:id="70"/>
      <w:r>
        <w:rPr>
          <w:u w:val="thick"/>
        </w:rPr>
        <w:t>Д</w:t>
      </w:r>
      <w:r>
        <w:rPr>
          <w:u w:val="thick"/>
        </w:rPr>
        <w:t>ЛП</w:t>
      </w:r>
      <w:r>
        <w:rPr>
          <w:spacing w:val="-2"/>
          <w:u w:val="thick"/>
        </w:rPr>
        <w:t> </w:t>
      </w:r>
      <w:r>
        <w:rPr>
          <w:u w:val="thick"/>
        </w:rPr>
        <w:t>и</w:t>
      </w:r>
      <w:r>
        <w:rPr>
          <w:spacing w:val="-1"/>
          <w:u w:val="thick"/>
        </w:rPr>
        <w:t> </w:t>
      </w:r>
      <w:r>
        <w:rPr>
          <w:u w:val="thick"/>
        </w:rPr>
        <w:t>сахарный</w:t>
      </w:r>
      <w:r>
        <w:rPr>
          <w:spacing w:val="-2"/>
          <w:u w:val="thick"/>
        </w:rPr>
        <w:t> диабет</w:t>
      </w:r>
    </w:p>
    <w:p>
      <w:pPr>
        <w:pStyle w:val="ListParagraph"/>
        <w:numPr>
          <w:ilvl w:val="3"/>
          <w:numId w:val="7"/>
        </w:numPr>
        <w:tabs>
          <w:tab w:pos="1982" w:val="left" w:leader="none"/>
        </w:tabs>
        <w:spacing w:line="348" w:lineRule="auto" w:before="141" w:after="0"/>
        <w:ind w:left="1981" w:right="567" w:hanging="360"/>
        <w:jc w:val="both"/>
        <w:rPr>
          <w:sz w:val="24"/>
        </w:rPr>
      </w:pPr>
      <w:r>
        <w:rPr>
          <w:sz w:val="24"/>
        </w:rPr>
        <w:t>У пациентов с СД 2-го типа и категории очень высокого риска рекомендовано снижение ХС ЛНП ≥50% и &lt; 1,4 ммоль/л [</w:t>
      </w:r>
      <w:hyperlink w:history="true" w:anchor="_bookmark84">
        <w:r>
          <w:rPr>
            <w:sz w:val="24"/>
          </w:rPr>
          <w:t>39,</w:t>
        </w:r>
      </w:hyperlink>
      <w:r>
        <w:rPr>
          <w:sz w:val="24"/>
        </w:rPr>
        <w:t> </w:t>
      </w:r>
      <w:hyperlink w:history="true" w:anchor="_bookmark125">
        <w:r>
          <w:rPr>
            <w:sz w:val="24"/>
          </w:rPr>
          <w:t>80,</w:t>
        </w:r>
      </w:hyperlink>
      <w:r>
        <w:rPr>
          <w:sz w:val="24"/>
        </w:rPr>
        <w:t> </w:t>
      </w:r>
      <w:hyperlink w:history="true" w:anchor="_bookmark126">
        <w:r>
          <w:rPr>
            <w:sz w:val="24"/>
          </w:rPr>
          <w:t>81</w:t>
        </w:r>
      </w:hyperlink>
      <w:r>
        <w:rPr>
          <w:sz w:val="24"/>
        </w:rPr>
        <w:t>].</w:t>
      </w:r>
    </w:p>
    <w:p>
      <w:pPr>
        <w:pStyle w:val="Heading2"/>
        <w:spacing w:before="16"/>
      </w:pPr>
      <w:r>
        <w:rPr/>
        <w:t>ЕОК/ЕОА</w:t>
      </w:r>
      <w:r>
        <w:rPr>
          <w:spacing w:val="-2"/>
        </w:rPr>
        <w:t> </w:t>
      </w:r>
      <w:r>
        <w:rPr/>
        <w:t>IА</w:t>
      </w:r>
      <w:r>
        <w:rPr>
          <w:spacing w:val="-2"/>
        </w:rPr>
        <w:t> </w:t>
      </w:r>
      <w:r>
        <w:rPr/>
        <w:t>(УУР</w:t>
      </w:r>
      <w:r>
        <w:rPr>
          <w:spacing w:val="-2"/>
        </w:rPr>
        <w:t> </w:t>
      </w:r>
      <w:r>
        <w:rPr/>
        <w:t>В,</w:t>
      </w:r>
      <w:r>
        <w:rPr>
          <w:spacing w:val="1"/>
        </w:rPr>
        <w:t> </w:t>
      </w:r>
      <w:r>
        <w:rPr/>
        <w:t>УДД</w:t>
      </w:r>
      <w:r>
        <w:rPr>
          <w:spacing w:val="-1"/>
        </w:rPr>
        <w:t> </w:t>
      </w:r>
      <w:r>
        <w:rPr>
          <w:spacing w:val="-5"/>
        </w:rPr>
        <w:t>1)</w:t>
      </w:r>
    </w:p>
    <w:p>
      <w:pPr>
        <w:pStyle w:val="ListParagraph"/>
        <w:numPr>
          <w:ilvl w:val="3"/>
          <w:numId w:val="7"/>
        </w:numPr>
        <w:tabs>
          <w:tab w:pos="1982" w:val="left" w:leader="none"/>
        </w:tabs>
        <w:spacing w:line="350" w:lineRule="auto" w:before="139" w:after="0"/>
        <w:ind w:left="1981" w:right="566" w:hanging="360"/>
        <w:jc w:val="both"/>
        <w:rPr>
          <w:sz w:val="24"/>
        </w:rPr>
      </w:pPr>
      <w:r>
        <w:rPr>
          <w:sz w:val="24"/>
        </w:rPr>
        <w:t>У пациентов с СД 2-го типа и категории высокого риска рекомендовано снижение ХС ЛНП ≥50% и &lt; 1,8 ммоль/л [</w:t>
      </w:r>
      <w:hyperlink w:history="true" w:anchor="_bookmark95">
        <w:r>
          <w:rPr>
            <w:sz w:val="24"/>
          </w:rPr>
          <w:t>50,</w:t>
        </w:r>
      </w:hyperlink>
      <w:r>
        <w:rPr>
          <w:sz w:val="24"/>
        </w:rPr>
        <w:t> </w:t>
      </w:r>
      <w:hyperlink w:history="true" w:anchor="_bookmark125">
        <w:r>
          <w:rPr>
            <w:sz w:val="24"/>
          </w:rPr>
          <w:t>80,</w:t>
        </w:r>
      </w:hyperlink>
      <w:r>
        <w:rPr>
          <w:sz w:val="24"/>
        </w:rPr>
        <w:t> </w:t>
      </w:r>
      <w:hyperlink w:history="true" w:anchor="_bookmark207">
        <w:r>
          <w:rPr>
            <w:sz w:val="24"/>
          </w:rPr>
          <w:t>165</w:t>
        </w:r>
      </w:hyperlink>
      <w:r>
        <w:rPr>
          <w:sz w:val="24"/>
        </w:rPr>
        <w:t>].</w:t>
      </w:r>
    </w:p>
    <w:p>
      <w:pPr>
        <w:pStyle w:val="Heading2"/>
        <w:spacing w:before="10"/>
      </w:pPr>
      <w:r>
        <w:rPr/>
        <w:t>ЕОК/ЕОА</w:t>
      </w:r>
      <w:r>
        <w:rPr>
          <w:spacing w:val="-3"/>
        </w:rPr>
        <w:t> </w:t>
      </w:r>
      <w:r>
        <w:rPr/>
        <w:t>IА</w:t>
      </w:r>
      <w:r>
        <w:rPr>
          <w:spacing w:val="-2"/>
        </w:rPr>
        <w:t> </w:t>
      </w:r>
      <w:r>
        <w:rPr/>
        <w:t>(УУР</w:t>
      </w:r>
      <w:r>
        <w:rPr>
          <w:spacing w:val="-2"/>
        </w:rPr>
        <w:t> </w:t>
      </w:r>
      <w:r>
        <w:rPr/>
        <w:t>С,</w:t>
      </w:r>
      <w:r>
        <w:rPr>
          <w:spacing w:val="1"/>
        </w:rPr>
        <w:t> </w:t>
      </w:r>
      <w:r>
        <w:rPr/>
        <w:t>УДД</w:t>
      </w:r>
      <w:r>
        <w:rPr>
          <w:spacing w:val="-1"/>
        </w:rPr>
        <w:t> </w:t>
      </w:r>
      <w:r>
        <w:rPr>
          <w:spacing w:val="-5"/>
        </w:rPr>
        <w:t>5)</w:t>
      </w:r>
    </w:p>
    <w:p>
      <w:pPr>
        <w:pStyle w:val="ListParagraph"/>
        <w:numPr>
          <w:ilvl w:val="3"/>
          <w:numId w:val="7"/>
        </w:numPr>
        <w:tabs>
          <w:tab w:pos="1982" w:val="left" w:leader="none"/>
        </w:tabs>
        <w:spacing w:line="350" w:lineRule="auto" w:before="142" w:after="0"/>
        <w:ind w:left="1981" w:right="568" w:hanging="360"/>
        <w:jc w:val="both"/>
        <w:rPr>
          <w:sz w:val="24"/>
        </w:rPr>
      </w:pPr>
      <w:r>
        <w:rPr>
          <w:sz w:val="24"/>
        </w:rPr>
        <w:t>Пациентам с СД 1-го типа и высоким/очень высоким риском рекомендована терапия статином [</w:t>
      </w:r>
      <w:hyperlink w:history="true" w:anchor="_bookmark95">
        <w:r>
          <w:rPr>
            <w:sz w:val="24"/>
          </w:rPr>
          <w:t>50</w:t>
        </w:r>
      </w:hyperlink>
      <w:r>
        <w:rPr>
          <w:sz w:val="24"/>
        </w:rPr>
        <w:t>, </w:t>
      </w:r>
      <w:hyperlink w:history="true" w:anchor="_bookmark127">
        <w:r>
          <w:rPr>
            <w:sz w:val="24"/>
          </w:rPr>
          <w:t>82</w:t>
        </w:r>
      </w:hyperlink>
      <w:r>
        <w:rPr>
          <w:sz w:val="24"/>
        </w:rPr>
        <w:t>].</w:t>
      </w:r>
    </w:p>
    <w:p>
      <w:pPr>
        <w:pStyle w:val="Heading2"/>
        <w:spacing w:before="10"/>
      </w:pPr>
      <w:r>
        <w:rPr/>
        <w:t>ЕОК/ЕОА</w:t>
      </w:r>
      <w:r>
        <w:rPr>
          <w:spacing w:val="-3"/>
        </w:rPr>
        <w:t> </w:t>
      </w:r>
      <w:r>
        <w:rPr/>
        <w:t>IА</w:t>
      </w:r>
      <w:r>
        <w:rPr>
          <w:spacing w:val="-2"/>
        </w:rPr>
        <w:t> </w:t>
      </w:r>
      <w:r>
        <w:rPr/>
        <w:t>(УУР</w:t>
      </w:r>
      <w:r>
        <w:rPr>
          <w:spacing w:val="-2"/>
        </w:rPr>
        <w:t> </w:t>
      </w:r>
      <w:r>
        <w:rPr/>
        <w:t>С,</w:t>
      </w:r>
      <w:r>
        <w:rPr>
          <w:spacing w:val="1"/>
        </w:rPr>
        <w:t> </w:t>
      </w:r>
      <w:r>
        <w:rPr/>
        <w:t>УДД</w:t>
      </w:r>
      <w:r>
        <w:rPr>
          <w:spacing w:val="-1"/>
        </w:rPr>
        <w:t> </w:t>
      </w:r>
      <w:r>
        <w:rPr>
          <w:spacing w:val="-5"/>
        </w:rPr>
        <w:t>5)</w:t>
      </w:r>
    </w:p>
    <w:p>
      <w:pPr>
        <w:spacing w:after="0"/>
        <w:sectPr>
          <w:pgSz w:w="11910" w:h="16840"/>
          <w:pgMar w:header="0" w:footer="710" w:top="1040" w:bottom="900" w:left="440" w:right="280"/>
        </w:sectPr>
      </w:pPr>
    </w:p>
    <w:p>
      <w:pPr>
        <w:pStyle w:val="ListParagraph"/>
        <w:numPr>
          <w:ilvl w:val="3"/>
          <w:numId w:val="7"/>
        </w:numPr>
        <w:tabs>
          <w:tab w:pos="1982" w:val="left" w:leader="none"/>
        </w:tabs>
        <w:spacing w:line="355" w:lineRule="auto" w:before="75" w:after="0"/>
        <w:ind w:left="1981" w:right="567" w:hanging="360"/>
        <w:jc w:val="both"/>
        <w:rPr>
          <w:sz w:val="24"/>
        </w:rPr>
      </w:pPr>
      <w:r>
        <w:rPr>
          <w:sz w:val="24"/>
        </w:rPr>
        <w:t>Пациентам с СД, которым начата терапия ингибитором ГМГ-КоА-редуктазы, но целевой уровень ХС ЛНП не достигнут, рекомендована интенсификация терапии </w:t>
      </w:r>
      <w:r>
        <w:rPr>
          <w:spacing w:val="-2"/>
          <w:sz w:val="24"/>
        </w:rPr>
        <w:t>[</w:t>
      </w:r>
      <w:hyperlink w:history="true" w:anchor="_bookmark95">
        <w:r>
          <w:rPr>
            <w:spacing w:val="-2"/>
            <w:sz w:val="24"/>
          </w:rPr>
          <w:t>50</w:t>
        </w:r>
      </w:hyperlink>
      <w:r>
        <w:rPr>
          <w:spacing w:val="-2"/>
          <w:sz w:val="24"/>
        </w:rPr>
        <w:t>].</w:t>
      </w:r>
    </w:p>
    <w:p>
      <w:pPr>
        <w:pStyle w:val="Heading3"/>
        <w:spacing w:before="6"/>
      </w:pPr>
      <w:r>
        <w:rPr/>
        <w:t>ЕОК/ЕОА</w:t>
      </w:r>
      <w:r>
        <w:rPr>
          <w:spacing w:val="-3"/>
        </w:rPr>
        <w:t> </w:t>
      </w:r>
      <w:r>
        <w:rPr/>
        <w:t>IIaС</w:t>
      </w:r>
      <w:r>
        <w:rPr>
          <w:spacing w:val="-2"/>
        </w:rPr>
        <w:t> </w:t>
      </w:r>
      <w:r>
        <w:rPr/>
        <w:t>(УУР</w:t>
      </w:r>
      <w:r>
        <w:rPr>
          <w:spacing w:val="1"/>
        </w:rPr>
        <w:t> </w:t>
      </w:r>
      <w:r>
        <w:rPr/>
        <w:t>С,</w:t>
      </w:r>
      <w:r>
        <w:rPr>
          <w:spacing w:val="-1"/>
        </w:rPr>
        <w:t> </w:t>
      </w:r>
      <w:r>
        <w:rPr/>
        <w:t>УДД</w:t>
      </w:r>
      <w:r>
        <w:rPr>
          <w:spacing w:val="-1"/>
        </w:rPr>
        <w:t> </w:t>
      </w:r>
      <w:r>
        <w:rPr>
          <w:spacing w:val="-5"/>
        </w:rPr>
        <w:t>5)</w:t>
      </w:r>
    </w:p>
    <w:p>
      <w:pPr>
        <w:pStyle w:val="ListParagraph"/>
        <w:numPr>
          <w:ilvl w:val="3"/>
          <w:numId w:val="7"/>
        </w:numPr>
        <w:tabs>
          <w:tab w:pos="1982" w:val="left" w:leader="none"/>
        </w:tabs>
        <w:spacing w:line="355" w:lineRule="auto" w:before="141" w:after="0"/>
        <w:ind w:left="1981" w:right="567" w:hanging="360"/>
        <w:jc w:val="both"/>
        <w:rPr>
          <w:sz w:val="24"/>
        </w:rPr>
      </w:pPr>
      <w:r>
        <w:rPr>
          <w:sz w:val="24"/>
        </w:rPr>
        <w:t>Пациентам с СД2, на фоне терапии статином, но с уровнем ТГ ≥ 2,3 ммоль/л, рекомендовано добавление фенофибрата** к терапии статиом, предпочтительно в одной таблетке (зарегистрирован розувастатин+фенофибрат) [</w:t>
      </w:r>
      <w:hyperlink w:history="true" w:anchor="_bookmark124">
        <w:r>
          <w:rPr>
            <w:sz w:val="24"/>
          </w:rPr>
          <w:t>79</w:t>
        </w:r>
      </w:hyperlink>
      <w:r>
        <w:rPr>
          <w:sz w:val="24"/>
        </w:rPr>
        <w:t>, </w:t>
      </w:r>
      <w:hyperlink w:history="true" w:anchor="_bookmark207">
        <w:r>
          <w:rPr>
            <w:sz w:val="24"/>
          </w:rPr>
          <w:t>165</w:t>
        </w:r>
      </w:hyperlink>
      <w:r>
        <w:rPr>
          <w:sz w:val="24"/>
        </w:rPr>
        <w:t>].</w:t>
      </w:r>
    </w:p>
    <w:p>
      <w:pPr>
        <w:pStyle w:val="Heading3"/>
        <w:spacing w:before="4"/>
      </w:pPr>
      <w:r>
        <w:rPr/>
        <w:t>ЕОК/ЕОА</w:t>
      </w:r>
      <w:r>
        <w:rPr>
          <w:spacing w:val="-4"/>
        </w:rPr>
        <w:t> </w:t>
      </w:r>
      <w:r>
        <w:rPr/>
        <w:t>IIa</w:t>
      </w:r>
      <w:r>
        <w:rPr>
          <w:spacing w:val="-1"/>
        </w:rPr>
        <w:t> </w:t>
      </w:r>
      <w:r>
        <w:rPr/>
        <w:t>B</w:t>
      </w:r>
      <w:r>
        <w:rPr>
          <w:spacing w:val="-1"/>
        </w:rPr>
        <w:t> </w:t>
      </w:r>
      <w:r>
        <w:rPr/>
        <w:t>(УУР</w:t>
      </w:r>
      <w:r>
        <w:rPr>
          <w:spacing w:val="-2"/>
        </w:rPr>
        <w:t> </w:t>
      </w:r>
      <w:r>
        <w:rPr/>
        <w:t>В,</w:t>
      </w:r>
      <w:r>
        <w:rPr>
          <w:spacing w:val="-1"/>
        </w:rPr>
        <w:t> </w:t>
      </w:r>
      <w:r>
        <w:rPr/>
        <w:t>УДД </w:t>
      </w:r>
      <w:r>
        <w:rPr>
          <w:spacing w:val="-5"/>
        </w:rPr>
        <w:t>2)</w:t>
      </w:r>
    </w:p>
    <w:p>
      <w:pPr>
        <w:spacing w:line="276" w:lineRule="auto" w:before="139"/>
        <w:ind w:left="1261" w:right="571" w:firstLine="0"/>
        <w:jc w:val="left"/>
        <w:rPr>
          <w:i/>
          <w:sz w:val="24"/>
        </w:rPr>
      </w:pPr>
      <w:r>
        <w:rPr>
          <w:b/>
          <w:sz w:val="24"/>
        </w:rPr>
        <w:t>Комментарии</w:t>
      </w:r>
      <w:r>
        <w:rPr>
          <w:i/>
          <w:sz w:val="24"/>
        </w:rPr>
        <w:t>: длительное наблюдение за больными СД на фоне комбинированной терапии</w:t>
      </w:r>
      <w:r>
        <w:rPr>
          <w:i/>
          <w:spacing w:val="-2"/>
          <w:sz w:val="24"/>
        </w:rPr>
        <w:t> </w:t>
      </w:r>
      <w:r>
        <w:rPr>
          <w:i/>
          <w:sz w:val="24"/>
        </w:rPr>
        <w:t>фенофибратом**</w:t>
      </w:r>
      <w:r>
        <w:rPr>
          <w:i/>
          <w:spacing w:val="-2"/>
          <w:sz w:val="24"/>
        </w:rPr>
        <w:t> </w:t>
      </w:r>
      <w:r>
        <w:rPr>
          <w:i/>
          <w:sz w:val="24"/>
        </w:rPr>
        <w:t>и</w:t>
      </w:r>
      <w:r>
        <w:rPr>
          <w:i/>
          <w:spacing w:val="-2"/>
          <w:sz w:val="24"/>
        </w:rPr>
        <w:t> </w:t>
      </w:r>
      <w:r>
        <w:rPr>
          <w:rFonts w:ascii="Calibri" w:hAnsi="Calibri"/>
          <w:i/>
          <w:sz w:val="22"/>
        </w:rPr>
        <w:t>с</w:t>
      </w:r>
      <w:r>
        <w:rPr>
          <w:i/>
          <w:sz w:val="24"/>
        </w:rPr>
        <w:t>татин</w:t>
      </w:r>
      <w:r>
        <w:rPr>
          <w:rFonts w:ascii="Calibri" w:hAnsi="Calibri"/>
          <w:i/>
          <w:sz w:val="22"/>
        </w:rPr>
        <w:t>ом</w:t>
      </w:r>
      <w:r>
        <w:rPr>
          <w:rFonts w:ascii="Calibri" w:hAnsi="Calibri"/>
          <w:i/>
          <w:spacing w:val="-2"/>
          <w:sz w:val="22"/>
        </w:rPr>
        <w:t> </w:t>
      </w:r>
      <w:r>
        <w:rPr>
          <w:i/>
          <w:sz w:val="24"/>
        </w:rPr>
        <w:t>позволило</w:t>
      </w:r>
      <w:r>
        <w:rPr>
          <w:i/>
          <w:spacing w:val="-2"/>
          <w:sz w:val="24"/>
        </w:rPr>
        <w:t> </w:t>
      </w:r>
      <w:r>
        <w:rPr>
          <w:i/>
          <w:sz w:val="24"/>
        </w:rPr>
        <w:t>доказать</w:t>
      </w:r>
      <w:r>
        <w:rPr>
          <w:i/>
          <w:spacing w:val="-1"/>
          <w:sz w:val="24"/>
        </w:rPr>
        <w:t> </w:t>
      </w:r>
      <w:r>
        <w:rPr>
          <w:i/>
          <w:sz w:val="24"/>
        </w:rPr>
        <w:t>состоятельность</w:t>
      </w:r>
      <w:r>
        <w:rPr>
          <w:i/>
          <w:spacing w:val="-1"/>
          <w:sz w:val="24"/>
        </w:rPr>
        <w:t> </w:t>
      </w:r>
      <w:r>
        <w:rPr>
          <w:i/>
          <w:sz w:val="24"/>
        </w:rPr>
        <w:t>такой стратегии в плане долгосрочного прогноза — выявлено снижение общей и сердечно- сосудистой</w:t>
      </w:r>
      <w:r>
        <w:rPr>
          <w:i/>
          <w:spacing w:val="-2"/>
          <w:sz w:val="24"/>
        </w:rPr>
        <w:t> </w:t>
      </w:r>
      <w:r>
        <w:rPr>
          <w:i/>
          <w:sz w:val="24"/>
        </w:rPr>
        <w:t>смертности.</w:t>
      </w:r>
      <w:r>
        <w:rPr>
          <w:i/>
          <w:spacing w:val="-4"/>
          <w:sz w:val="24"/>
        </w:rPr>
        <w:t> </w:t>
      </w:r>
      <w:r>
        <w:rPr>
          <w:i/>
          <w:sz w:val="24"/>
        </w:rPr>
        <w:t>На</w:t>
      </w:r>
      <w:r>
        <w:rPr>
          <w:i/>
          <w:spacing w:val="-4"/>
          <w:sz w:val="24"/>
        </w:rPr>
        <w:t> </w:t>
      </w:r>
      <w:r>
        <w:rPr>
          <w:i/>
          <w:sz w:val="24"/>
        </w:rPr>
        <w:t>протяжении</w:t>
      </w:r>
      <w:r>
        <w:rPr>
          <w:i/>
          <w:spacing w:val="-4"/>
          <w:sz w:val="24"/>
        </w:rPr>
        <w:t> </w:t>
      </w:r>
      <w:r>
        <w:rPr>
          <w:i/>
          <w:sz w:val="24"/>
        </w:rPr>
        <w:t>всех</w:t>
      </w:r>
      <w:r>
        <w:rPr>
          <w:i/>
          <w:spacing w:val="-3"/>
          <w:sz w:val="24"/>
        </w:rPr>
        <w:t> </w:t>
      </w:r>
      <w:r>
        <w:rPr>
          <w:i/>
          <w:sz w:val="24"/>
        </w:rPr>
        <w:t>трех</w:t>
      </w:r>
      <w:r>
        <w:rPr>
          <w:i/>
          <w:spacing w:val="-5"/>
          <w:sz w:val="24"/>
        </w:rPr>
        <w:t> </w:t>
      </w:r>
      <w:r>
        <w:rPr>
          <w:i/>
          <w:sz w:val="24"/>
        </w:rPr>
        <w:t>временных</w:t>
      </w:r>
      <w:r>
        <w:rPr>
          <w:i/>
          <w:spacing w:val="-5"/>
          <w:sz w:val="24"/>
        </w:rPr>
        <w:t> </w:t>
      </w:r>
      <w:r>
        <w:rPr>
          <w:i/>
          <w:sz w:val="24"/>
        </w:rPr>
        <w:t>срезов</w:t>
      </w:r>
      <w:r>
        <w:rPr>
          <w:i/>
          <w:spacing w:val="-3"/>
          <w:sz w:val="24"/>
        </w:rPr>
        <w:t> </w:t>
      </w:r>
      <w:r>
        <w:rPr>
          <w:i/>
          <w:sz w:val="24"/>
        </w:rPr>
        <w:t>было</w:t>
      </w:r>
      <w:r>
        <w:rPr>
          <w:i/>
          <w:spacing w:val="-4"/>
          <w:sz w:val="24"/>
        </w:rPr>
        <w:t> </w:t>
      </w:r>
      <w:r>
        <w:rPr>
          <w:i/>
          <w:sz w:val="24"/>
        </w:rPr>
        <w:t>получено достоверное снижение количества больших ССО на 34–36% [</w:t>
      </w:r>
      <w:hyperlink w:history="true" w:anchor="_bookmark280">
        <w:r>
          <w:rPr>
            <w:i/>
            <w:sz w:val="24"/>
          </w:rPr>
          <w:t>239</w:t>
        </w:r>
      </w:hyperlink>
      <w:r>
        <w:rPr>
          <w:i/>
          <w:sz w:val="24"/>
        </w:rPr>
        <w:t>].</w:t>
      </w:r>
    </w:p>
    <w:p>
      <w:pPr>
        <w:pStyle w:val="ListParagraph"/>
        <w:numPr>
          <w:ilvl w:val="3"/>
          <w:numId w:val="7"/>
        </w:numPr>
        <w:tabs>
          <w:tab w:pos="1982" w:val="left" w:leader="none"/>
        </w:tabs>
        <w:spacing w:line="357" w:lineRule="auto" w:before="201" w:after="0"/>
        <w:ind w:left="1981" w:right="568" w:hanging="360"/>
        <w:jc w:val="both"/>
        <w:rPr>
          <w:i/>
          <w:sz w:val="24"/>
        </w:rPr>
      </w:pPr>
      <w:r>
        <w:rPr>
          <w:sz w:val="24"/>
        </w:rPr>
        <w:t>Пациентам с СД, у которых после интенсификации терапии статином целевой уровень ХС ЛНП не достигнут, рекомендовано статину добавить эзетимиб [</w:t>
      </w:r>
      <w:hyperlink w:history="true" w:anchor="_bookmark83">
        <w:r>
          <w:rPr>
            <w:sz w:val="24"/>
          </w:rPr>
          <w:t>38,</w:t>
        </w:r>
      </w:hyperlink>
      <w:r>
        <w:rPr>
          <w:sz w:val="24"/>
        </w:rPr>
        <w:t> </w:t>
      </w:r>
      <w:hyperlink w:history="true" w:anchor="_bookmark128">
        <w:r>
          <w:rPr>
            <w:sz w:val="24"/>
          </w:rPr>
          <w:t>83</w:t>
        </w:r>
      </w:hyperlink>
      <w:r>
        <w:rPr>
          <w:sz w:val="24"/>
        </w:rPr>
        <w:t>]</w:t>
      </w:r>
      <w:r>
        <w:rPr>
          <w:i/>
          <w:sz w:val="24"/>
        </w:rPr>
        <w:t>, в том числе статин с эзетимибом в одной таблетке или капсуле (зарегистрированы розувастатин+эзетимиб и аторвастатин+эзетимиб).</w:t>
      </w:r>
    </w:p>
    <w:p>
      <w:pPr>
        <w:pStyle w:val="Heading2"/>
        <w:spacing w:line="275" w:lineRule="exact"/>
      </w:pPr>
      <w:r>
        <w:rPr/>
        <w:t>ЕОК/ЕОА</w:t>
      </w:r>
      <w:r>
        <w:rPr>
          <w:spacing w:val="-3"/>
        </w:rPr>
        <w:t> </w:t>
      </w:r>
      <w:r>
        <w:rPr/>
        <w:t>IА</w:t>
      </w:r>
      <w:r>
        <w:rPr>
          <w:spacing w:val="-2"/>
        </w:rPr>
        <w:t> </w:t>
      </w:r>
      <w:r>
        <w:rPr/>
        <w:t>(УУР</w:t>
      </w:r>
      <w:r>
        <w:rPr>
          <w:spacing w:val="-2"/>
        </w:rPr>
        <w:t> </w:t>
      </w:r>
      <w:r>
        <w:rPr/>
        <w:t>А,</w:t>
      </w:r>
      <w:r>
        <w:rPr>
          <w:spacing w:val="1"/>
        </w:rPr>
        <w:t> </w:t>
      </w:r>
      <w:r>
        <w:rPr/>
        <w:t>УДД</w:t>
      </w:r>
      <w:r>
        <w:rPr>
          <w:spacing w:val="-1"/>
        </w:rPr>
        <w:t> </w:t>
      </w:r>
      <w:r>
        <w:rPr>
          <w:spacing w:val="-5"/>
        </w:rPr>
        <w:t>2)</w:t>
      </w:r>
    </w:p>
    <w:p>
      <w:pPr>
        <w:pStyle w:val="ListParagraph"/>
        <w:numPr>
          <w:ilvl w:val="3"/>
          <w:numId w:val="7"/>
        </w:numPr>
        <w:tabs>
          <w:tab w:pos="1982" w:val="left" w:leader="none"/>
        </w:tabs>
        <w:spacing w:line="357" w:lineRule="auto" w:before="141" w:after="0"/>
        <w:ind w:left="1981" w:right="566" w:hanging="360"/>
        <w:jc w:val="both"/>
        <w:rPr>
          <w:sz w:val="24"/>
        </w:rPr>
      </w:pPr>
      <w:r>
        <w:rPr>
          <w:sz w:val="24"/>
        </w:rPr>
        <w:t>Рекомендуется назначение других гиполипидемических средств, таких как ингибиторы PCSK9 — алирокумаба**, эволокумаба** или инклисирана** всем пациентам с СД2 высокого и очень высокого сердечно-сосудистого риска с недостаточным снижением ХС ЛНП на фоне приема максимально переносимых</w:t>
      </w:r>
      <w:r>
        <w:rPr>
          <w:spacing w:val="40"/>
          <w:sz w:val="24"/>
        </w:rPr>
        <w:t> </w:t>
      </w:r>
      <w:r>
        <w:rPr>
          <w:sz w:val="24"/>
        </w:rPr>
        <w:t>доз статинов и эзетимиба для достижения ЦУ ХС ЛНП и снижения риска ССО [</w:t>
      </w:r>
      <w:hyperlink w:history="true" w:anchor="_bookmark95">
        <w:r>
          <w:rPr>
            <w:sz w:val="24"/>
          </w:rPr>
          <w:t>50</w:t>
        </w:r>
      </w:hyperlink>
      <w:r>
        <w:rPr>
          <w:sz w:val="24"/>
        </w:rPr>
        <w:t>, </w:t>
      </w:r>
      <w:hyperlink w:history="true" w:anchor="_bookmark281">
        <w:r>
          <w:rPr>
            <w:spacing w:val="-4"/>
            <w:sz w:val="24"/>
          </w:rPr>
          <w:t>240</w:t>
        </w:r>
      </w:hyperlink>
      <w:r>
        <w:rPr>
          <w:spacing w:val="-4"/>
          <w:sz w:val="24"/>
        </w:rPr>
        <w:t>].</w:t>
      </w:r>
    </w:p>
    <w:p>
      <w:pPr>
        <w:pStyle w:val="Heading2"/>
        <w:spacing w:before="5"/>
        <w:ind w:left="1981"/>
      </w:pPr>
      <w:r>
        <w:rPr/>
        <w:t>ЕОК/ЕОА</w:t>
      </w:r>
      <w:r>
        <w:rPr>
          <w:spacing w:val="-3"/>
        </w:rPr>
        <w:t> </w:t>
      </w:r>
      <w:r>
        <w:rPr/>
        <w:t>IА</w:t>
      </w:r>
      <w:r>
        <w:rPr>
          <w:spacing w:val="-2"/>
        </w:rPr>
        <w:t> </w:t>
      </w:r>
      <w:r>
        <w:rPr/>
        <w:t>(УУР</w:t>
      </w:r>
      <w:r>
        <w:rPr>
          <w:spacing w:val="-2"/>
        </w:rPr>
        <w:t> </w:t>
      </w:r>
      <w:r>
        <w:rPr/>
        <w:t>С,</w:t>
      </w:r>
      <w:r>
        <w:rPr>
          <w:spacing w:val="1"/>
        </w:rPr>
        <w:t> </w:t>
      </w:r>
      <w:r>
        <w:rPr/>
        <w:t>УДД</w:t>
      </w:r>
      <w:r>
        <w:rPr>
          <w:spacing w:val="-1"/>
        </w:rPr>
        <w:t> </w:t>
      </w:r>
      <w:r>
        <w:rPr>
          <w:spacing w:val="-5"/>
        </w:rPr>
        <w:t>5)</w:t>
      </w:r>
    </w:p>
    <w:p>
      <w:pPr>
        <w:pStyle w:val="ListParagraph"/>
        <w:numPr>
          <w:ilvl w:val="3"/>
          <w:numId w:val="7"/>
        </w:numPr>
        <w:tabs>
          <w:tab w:pos="1982" w:val="left" w:leader="none"/>
        </w:tabs>
        <w:spacing w:line="350" w:lineRule="auto" w:before="139" w:after="0"/>
        <w:ind w:left="1981" w:right="565" w:hanging="360"/>
        <w:jc w:val="both"/>
        <w:rPr>
          <w:sz w:val="24"/>
        </w:rPr>
      </w:pPr>
      <w:r>
        <w:rPr>
          <w:sz w:val="24"/>
        </w:rPr>
        <w:t>Пациенткам с СД до наступления менопаузы и планирующим беременность или не принимающим контрацептивы не рекомендована терапия статином [</w:t>
      </w:r>
      <w:hyperlink w:history="true" w:anchor="_bookmark54">
        <w:r>
          <w:rPr>
            <w:sz w:val="24"/>
          </w:rPr>
          <w:t>8</w:t>
        </w:r>
      </w:hyperlink>
      <w:r>
        <w:rPr>
          <w:sz w:val="24"/>
        </w:rPr>
        <w:t>, </w:t>
      </w:r>
      <w:hyperlink w:history="true" w:anchor="_bookmark95">
        <w:r>
          <w:rPr>
            <w:sz w:val="24"/>
          </w:rPr>
          <w:t>50</w:t>
        </w:r>
      </w:hyperlink>
      <w:r>
        <w:rPr>
          <w:sz w:val="24"/>
        </w:rPr>
        <w:t>].</w:t>
      </w:r>
    </w:p>
    <w:p>
      <w:pPr>
        <w:pStyle w:val="Heading2"/>
        <w:spacing w:before="13"/>
      </w:pPr>
      <w:r>
        <w:rPr/>
        <w:t>ЕОК/ЕОА</w:t>
      </w:r>
      <w:r>
        <w:rPr>
          <w:spacing w:val="-3"/>
        </w:rPr>
        <w:t> </w:t>
      </w:r>
      <w:r>
        <w:rPr/>
        <w:t>IIIC</w:t>
      </w:r>
      <w:r>
        <w:rPr>
          <w:spacing w:val="-2"/>
        </w:rPr>
        <w:t> </w:t>
      </w:r>
      <w:r>
        <w:rPr/>
        <w:t>(УУР</w:t>
      </w:r>
      <w:r>
        <w:rPr>
          <w:spacing w:val="1"/>
        </w:rPr>
        <w:t> </w:t>
      </w:r>
      <w:r>
        <w:rPr/>
        <w:t>C,</w:t>
      </w:r>
      <w:r>
        <w:rPr>
          <w:spacing w:val="-1"/>
        </w:rPr>
        <w:t> </w:t>
      </w:r>
      <w:r>
        <w:rPr/>
        <w:t>УДД</w:t>
      </w:r>
      <w:r>
        <w:rPr>
          <w:spacing w:val="-1"/>
        </w:rPr>
        <w:t> </w:t>
      </w:r>
      <w:r>
        <w:rPr>
          <w:spacing w:val="-5"/>
        </w:rPr>
        <w:t>5)</w:t>
      </w:r>
    </w:p>
    <w:p>
      <w:pPr>
        <w:pStyle w:val="ListParagraph"/>
        <w:numPr>
          <w:ilvl w:val="3"/>
          <w:numId w:val="7"/>
        </w:numPr>
        <w:tabs>
          <w:tab w:pos="1982" w:val="left" w:leader="none"/>
        </w:tabs>
        <w:spacing w:line="355" w:lineRule="auto" w:before="138" w:after="0"/>
        <w:ind w:left="1981" w:right="567" w:hanging="360"/>
        <w:jc w:val="both"/>
        <w:rPr>
          <w:sz w:val="24"/>
        </w:rPr>
      </w:pPr>
      <w:r>
        <w:rPr>
          <w:sz w:val="24"/>
        </w:rPr>
        <w:t>Пациентам с СД 1-го типа и СД 2-го типа в возрасте ≤30 лет с</w:t>
      </w:r>
      <w:r>
        <w:rPr>
          <w:spacing w:val="-2"/>
          <w:sz w:val="24"/>
        </w:rPr>
        <w:t> </w:t>
      </w:r>
      <w:r>
        <w:rPr>
          <w:sz w:val="24"/>
        </w:rPr>
        <w:t>повреждением органов-мишеней и/или ХС ЛНП&gt;2,5 ммоль/л рекомендована терапия статином [</w:t>
      </w:r>
      <w:hyperlink w:history="true" w:anchor="_bookmark54">
        <w:r>
          <w:rPr>
            <w:sz w:val="24"/>
          </w:rPr>
          <w:t>8,</w:t>
        </w:r>
      </w:hyperlink>
      <w:r>
        <w:rPr>
          <w:sz w:val="24"/>
        </w:rPr>
        <w:t> </w:t>
      </w:r>
      <w:hyperlink w:history="true" w:anchor="_bookmark95">
        <w:r>
          <w:rPr>
            <w:sz w:val="24"/>
          </w:rPr>
          <w:t>50</w:t>
        </w:r>
      </w:hyperlink>
      <w:r>
        <w:rPr>
          <w:sz w:val="24"/>
        </w:rPr>
        <w:t>, </w:t>
      </w:r>
      <w:hyperlink w:history="true" w:anchor="_bookmark126">
        <w:r>
          <w:rPr>
            <w:sz w:val="24"/>
          </w:rPr>
          <w:t>81</w:t>
        </w:r>
      </w:hyperlink>
      <w:r>
        <w:rPr>
          <w:sz w:val="24"/>
        </w:rPr>
        <w:t>].</w:t>
      </w:r>
    </w:p>
    <w:p>
      <w:pPr>
        <w:pStyle w:val="Heading3"/>
        <w:spacing w:before="6"/>
      </w:pPr>
      <w:r>
        <w:rPr/>
        <w:t>ЕОК/ЕОА</w:t>
      </w:r>
      <w:r>
        <w:rPr>
          <w:spacing w:val="-3"/>
        </w:rPr>
        <w:t> </w:t>
      </w:r>
      <w:r>
        <w:rPr/>
        <w:t>IIbC</w:t>
      </w:r>
      <w:r>
        <w:rPr>
          <w:spacing w:val="-2"/>
        </w:rPr>
        <w:t> </w:t>
      </w:r>
      <w:r>
        <w:rPr/>
        <w:t>(УУР</w:t>
      </w:r>
      <w:r>
        <w:rPr>
          <w:spacing w:val="-2"/>
        </w:rPr>
        <w:t> </w:t>
      </w:r>
      <w:r>
        <w:rPr/>
        <w:t>C,</w:t>
      </w:r>
      <w:r>
        <w:rPr>
          <w:spacing w:val="-1"/>
        </w:rPr>
        <w:t> </w:t>
      </w:r>
      <w:r>
        <w:rPr/>
        <w:t>УДД</w:t>
      </w:r>
      <w:r>
        <w:rPr>
          <w:spacing w:val="-1"/>
        </w:rPr>
        <w:t> </w:t>
      </w:r>
      <w:r>
        <w:rPr>
          <w:spacing w:val="-5"/>
        </w:rPr>
        <w:t>5)</w:t>
      </w:r>
    </w:p>
    <w:p>
      <w:pPr>
        <w:spacing w:line="360" w:lineRule="auto" w:before="137"/>
        <w:ind w:left="1261" w:right="567" w:firstLine="0"/>
        <w:jc w:val="both"/>
        <w:rPr>
          <w:i/>
          <w:sz w:val="24"/>
        </w:rPr>
      </w:pPr>
      <w:r>
        <w:rPr>
          <w:b/>
          <w:sz w:val="24"/>
        </w:rPr>
        <w:t>Комментарии. </w:t>
      </w:r>
      <w:r>
        <w:rPr>
          <w:i/>
          <w:sz w:val="24"/>
        </w:rPr>
        <w:t>Согласно Российским рекомендациям по лечению сахарного диабета 2019 года (IX пересмотр), рекомендациям ESC по лечению дислипидемии 2019 г, терапию</w:t>
      </w:r>
      <w:r>
        <w:rPr>
          <w:i/>
          <w:spacing w:val="80"/>
          <w:sz w:val="24"/>
        </w:rPr>
        <w:t> </w:t>
      </w:r>
      <w:r>
        <w:rPr>
          <w:i/>
          <w:sz w:val="24"/>
        </w:rPr>
        <w:t>АССЗ</w:t>
      </w:r>
      <w:r>
        <w:rPr>
          <w:i/>
          <w:spacing w:val="22"/>
          <w:sz w:val="24"/>
        </w:rPr>
        <w:t> </w:t>
      </w:r>
      <w:r>
        <w:rPr>
          <w:i/>
          <w:sz w:val="24"/>
        </w:rPr>
        <w:t>в</w:t>
      </w:r>
      <w:r>
        <w:rPr>
          <w:i/>
          <w:spacing w:val="22"/>
          <w:sz w:val="24"/>
        </w:rPr>
        <w:t> </w:t>
      </w:r>
      <w:r>
        <w:rPr>
          <w:i/>
          <w:sz w:val="24"/>
        </w:rPr>
        <w:t>сочетании</w:t>
      </w:r>
      <w:r>
        <w:rPr>
          <w:i/>
          <w:spacing w:val="26"/>
          <w:sz w:val="24"/>
        </w:rPr>
        <w:t> </w:t>
      </w:r>
      <w:r>
        <w:rPr>
          <w:i/>
          <w:sz w:val="24"/>
        </w:rPr>
        <w:t>с</w:t>
      </w:r>
      <w:r>
        <w:rPr>
          <w:i/>
          <w:spacing w:val="22"/>
          <w:sz w:val="24"/>
        </w:rPr>
        <w:t> </w:t>
      </w:r>
      <w:r>
        <w:rPr>
          <w:i/>
          <w:sz w:val="24"/>
        </w:rPr>
        <w:t>СД</w:t>
      </w:r>
      <w:r>
        <w:rPr>
          <w:i/>
          <w:spacing w:val="23"/>
          <w:sz w:val="24"/>
        </w:rPr>
        <w:t> </w:t>
      </w:r>
      <w:r>
        <w:rPr>
          <w:i/>
          <w:sz w:val="24"/>
        </w:rPr>
        <w:t>2-го</w:t>
      </w:r>
      <w:r>
        <w:rPr>
          <w:i/>
          <w:spacing w:val="23"/>
          <w:sz w:val="24"/>
        </w:rPr>
        <w:t> </w:t>
      </w:r>
      <w:r>
        <w:rPr>
          <w:i/>
          <w:sz w:val="24"/>
        </w:rPr>
        <w:t>типа</w:t>
      </w:r>
      <w:r>
        <w:rPr>
          <w:i/>
          <w:spacing w:val="25"/>
          <w:sz w:val="24"/>
        </w:rPr>
        <w:t> </w:t>
      </w:r>
      <w:r>
        <w:rPr>
          <w:i/>
          <w:sz w:val="24"/>
        </w:rPr>
        <w:t>следует</w:t>
      </w:r>
      <w:r>
        <w:rPr>
          <w:i/>
          <w:spacing w:val="22"/>
          <w:sz w:val="24"/>
        </w:rPr>
        <w:t> </w:t>
      </w:r>
      <w:r>
        <w:rPr>
          <w:i/>
          <w:sz w:val="24"/>
        </w:rPr>
        <w:t>начинать</w:t>
      </w:r>
      <w:r>
        <w:rPr>
          <w:i/>
          <w:spacing w:val="25"/>
          <w:sz w:val="24"/>
        </w:rPr>
        <w:t> </w:t>
      </w:r>
      <w:r>
        <w:rPr>
          <w:i/>
          <w:sz w:val="24"/>
        </w:rPr>
        <w:t>с</w:t>
      </w:r>
      <w:r>
        <w:rPr>
          <w:i/>
          <w:spacing w:val="22"/>
          <w:sz w:val="24"/>
        </w:rPr>
        <w:t> </w:t>
      </w:r>
      <w:r>
        <w:rPr>
          <w:i/>
          <w:sz w:val="24"/>
        </w:rPr>
        <w:t>ингибиторов</w:t>
      </w:r>
      <w:r>
        <w:rPr>
          <w:i/>
          <w:spacing w:val="22"/>
          <w:sz w:val="24"/>
        </w:rPr>
        <w:t> </w:t>
      </w:r>
      <w:r>
        <w:rPr>
          <w:i/>
          <w:sz w:val="24"/>
        </w:rPr>
        <w:t>натрий-</w:t>
      </w:r>
      <w:r>
        <w:rPr>
          <w:i/>
          <w:spacing w:val="-2"/>
          <w:sz w:val="24"/>
        </w:rPr>
        <w:t>зависимого</w:t>
      </w:r>
    </w:p>
    <w:p>
      <w:pPr>
        <w:spacing w:after="0" w:line="360" w:lineRule="auto"/>
        <w:jc w:val="both"/>
        <w:rPr>
          <w:sz w:val="24"/>
        </w:rPr>
        <w:sectPr>
          <w:pgSz w:w="11910" w:h="16840"/>
          <w:pgMar w:header="0" w:footer="710" w:top="1040" w:bottom="900" w:left="440" w:right="280"/>
        </w:sectPr>
      </w:pPr>
    </w:p>
    <w:p>
      <w:pPr>
        <w:spacing w:line="360" w:lineRule="auto" w:before="73"/>
        <w:ind w:left="1261" w:right="567" w:firstLine="0"/>
        <w:jc w:val="both"/>
        <w:rPr>
          <w:i/>
          <w:sz w:val="24"/>
        </w:rPr>
      </w:pPr>
      <w:r>
        <w:rPr>
          <w:i/>
          <w:sz w:val="24"/>
        </w:rPr>
        <w:t>переносчика</w:t>
      </w:r>
      <w:r>
        <w:rPr>
          <w:i/>
          <w:spacing w:val="40"/>
          <w:sz w:val="24"/>
        </w:rPr>
        <w:t>  </w:t>
      </w:r>
      <w:r>
        <w:rPr>
          <w:i/>
          <w:sz w:val="24"/>
        </w:rPr>
        <w:t>глюкозы</w:t>
      </w:r>
      <w:r>
        <w:rPr>
          <w:i/>
          <w:spacing w:val="40"/>
          <w:sz w:val="24"/>
        </w:rPr>
        <w:t>  </w:t>
      </w:r>
      <w:r>
        <w:rPr>
          <w:i/>
          <w:sz w:val="24"/>
        </w:rPr>
        <w:t>2-го</w:t>
      </w:r>
      <w:r>
        <w:rPr>
          <w:i/>
          <w:spacing w:val="40"/>
          <w:sz w:val="24"/>
        </w:rPr>
        <w:t>  </w:t>
      </w:r>
      <w:r>
        <w:rPr>
          <w:i/>
          <w:sz w:val="24"/>
        </w:rPr>
        <w:t>типа</w:t>
      </w:r>
      <w:r>
        <w:rPr>
          <w:i/>
          <w:spacing w:val="40"/>
          <w:sz w:val="24"/>
        </w:rPr>
        <w:t>  </w:t>
      </w:r>
      <w:r>
        <w:rPr>
          <w:i/>
          <w:sz w:val="24"/>
        </w:rPr>
        <w:t>или</w:t>
      </w:r>
      <w:r>
        <w:rPr>
          <w:i/>
          <w:spacing w:val="40"/>
          <w:sz w:val="24"/>
        </w:rPr>
        <w:t>  </w:t>
      </w:r>
      <w:r>
        <w:rPr>
          <w:i/>
          <w:sz w:val="24"/>
        </w:rPr>
        <w:t>с</w:t>
      </w:r>
      <w:r>
        <w:rPr>
          <w:i/>
          <w:spacing w:val="40"/>
          <w:sz w:val="24"/>
        </w:rPr>
        <w:t>  </w:t>
      </w:r>
      <w:r>
        <w:rPr>
          <w:i/>
          <w:sz w:val="24"/>
        </w:rPr>
        <w:t>аналогов</w:t>
      </w:r>
      <w:r>
        <w:rPr>
          <w:i/>
          <w:spacing w:val="40"/>
          <w:sz w:val="24"/>
        </w:rPr>
        <w:t>  </w:t>
      </w:r>
      <w:r>
        <w:rPr>
          <w:i/>
          <w:sz w:val="24"/>
        </w:rPr>
        <w:t>глюкагоноподобного</w:t>
      </w:r>
      <w:r>
        <w:rPr>
          <w:i/>
          <w:spacing w:val="40"/>
          <w:sz w:val="24"/>
        </w:rPr>
        <w:t>  </w:t>
      </w:r>
      <w:r>
        <w:rPr>
          <w:i/>
          <w:sz w:val="24"/>
        </w:rPr>
        <w:t>пептида-1. У</w:t>
      </w:r>
      <w:r>
        <w:rPr>
          <w:i/>
          <w:spacing w:val="-2"/>
          <w:sz w:val="24"/>
        </w:rPr>
        <w:t> </w:t>
      </w:r>
      <w:r>
        <w:rPr>
          <w:i/>
          <w:sz w:val="24"/>
        </w:rPr>
        <w:t>пациентов с СД 2-го типа и ССЗ, имеющих очень высокий и высокий сердечно- сосудистый риск, в качестве гипогликемической терапии рекомендованы эмпаглифлозин** для снижения риска новых сердечно-сосудистых событий или дапаглифлозин** для снижения риска госпитализаций по причине сердечной недостаточности [</w:t>
      </w:r>
      <w:hyperlink w:history="true" w:anchor="_bookmark132">
        <w:r>
          <w:rPr>
            <w:i/>
            <w:sz w:val="24"/>
          </w:rPr>
          <w:t>87</w:t>
        </w:r>
      </w:hyperlink>
      <w:r>
        <w:rPr>
          <w:i/>
          <w:sz w:val="24"/>
        </w:rPr>
        <w:t>].</w:t>
      </w:r>
    </w:p>
    <w:p>
      <w:pPr>
        <w:spacing w:line="360" w:lineRule="auto" w:before="0"/>
        <w:ind w:left="1261" w:right="567" w:firstLine="0"/>
        <w:jc w:val="both"/>
        <w:rPr>
          <w:i/>
          <w:sz w:val="24"/>
        </w:rPr>
      </w:pPr>
      <w:r>
        <w:rPr>
          <w:i/>
          <w:sz w:val="24"/>
        </w:rPr>
        <w:t>Для ведения пациентов с ССЗ с целью снижения сердечно-сосудистого риска </w:t>
      </w:r>
      <w:r>
        <w:rPr>
          <w:i/>
          <w:spacing w:val="-2"/>
          <w:sz w:val="24"/>
        </w:rPr>
        <w:t>рекомендуются:</w:t>
      </w:r>
    </w:p>
    <w:p>
      <w:pPr>
        <w:pStyle w:val="ListParagraph"/>
        <w:numPr>
          <w:ilvl w:val="0"/>
          <w:numId w:val="21"/>
        </w:numPr>
        <w:tabs>
          <w:tab w:pos="1982" w:val="left" w:leader="none"/>
        </w:tabs>
        <w:spacing w:line="360" w:lineRule="auto" w:before="1" w:after="0"/>
        <w:ind w:left="1981" w:right="567" w:hanging="360"/>
        <w:jc w:val="both"/>
        <w:rPr>
          <w:i/>
          <w:sz w:val="24"/>
        </w:rPr>
      </w:pPr>
      <w:r>
        <w:rPr>
          <w:i/>
          <w:sz w:val="24"/>
        </w:rPr>
        <w:t>Ингибиторы натрийзависимого переносчика глюкозы 2-го типа: эмпаглифлозин</w:t>
      </w:r>
      <w:r>
        <w:rPr>
          <w:sz w:val="24"/>
        </w:rPr>
        <w:t>**</w:t>
      </w:r>
      <w:r>
        <w:rPr>
          <w:i/>
          <w:sz w:val="24"/>
        </w:rPr>
        <w:t>, дапаглифлозин</w:t>
      </w:r>
      <w:r>
        <w:rPr>
          <w:sz w:val="24"/>
        </w:rPr>
        <w:t>**</w:t>
      </w:r>
      <w:r>
        <w:rPr>
          <w:i/>
          <w:sz w:val="24"/>
        </w:rPr>
        <w:t>. Аналоги глюкагоноподобного пептида 1 (аГПП-1): лираглутид, дулаглутид, семаглутид.</w:t>
      </w:r>
    </w:p>
    <w:p>
      <w:pPr>
        <w:pStyle w:val="ListParagraph"/>
        <w:numPr>
          <w:ilvl w:val="0"/>
          <w:numId w:val="21"/>
        </w:numPr>
        <w:tabs>
          <w:tab w:pos="1982" w:val="left" w:leader="none"/>
        </w:tabs>
        <w:spacing w:line="240" w:lineRule="auto" w:before="1" w:after="0"/>
        <w:ind w:left="1981" w:right="0" w:hanging="361"/>
        <w:jc w:val="both"/>
        <w:rPr>
          <w:i/>
          <w:sz w:val="24"/>
        </w:rPr>
      </w:pPr>
      <w:r>
        <w:rPr>
          <w:i/>
          <w:sz w:val="24"/>
        </w:rPr>
        <w:t>Бигуаниды:</w:t>
      </w:r>
      <w:r>
        <w:rPr>
          <w:i/>
          <w:spacing w:val="-4"/>
          <w:sz w:val="24"/>
        </w:rPr>
        <w:t> </w:t>
      </w:r>
      <w:r>
        <w:rPr>
          <w:i/>
          <w:sz w:val="24"/>
        </w:rPr>
        <w:t>метформин</w:t>
      </w:r>
      <w:r>
        <w:rPr>
          <w:sz w:val="24"/>
        </w:rPr>
        <w:t>**</w:t>
      </w:r>
      <w:r>
        <w:rPr>
          <w:spacing w:val="-1"/>
          <w:sz w:val="24"/>
        </w:rPr>
        <w:t> </w:t>
      </w:r>
      <w:r>
        <w:rPr>
          <w:i/>
          <w:sz w:val="24"/>
        </w:rPr>
        <w:t>(как</w:t>
      </w:r>
      <w:r>
        <w:rPr>
          <w:i/>
          <w:spacing w:val="-1"/>
          <w:sz w:val="24"/>
        </w:rPr>
        <w:t> </w:t>
      </w:r>
      <w:r>
        <w:rPr>
          <w:i/>
          <w:sz w:val="24"/>
        </w:rPr>
        <w:t>препарат</w:t>
      </w:r>
      <w:r>
        <w:rPr>
          <w:i/>
          <w:spacing w:val="-2"/>
          <w:sz w:val="24"/>
        </w:rPr>
        <w:t> </w:t>
      </w:r>
      <w:r>
        <w:rPr>
          <w:i/>
          <w:sz w:val="24"/>
        </w:rPr>
        <w:t>второго</w:t>
      </w:r>
      <w:r>
        <w:rPr>
          <w:i/>
          <w:spacing w:val="-1"/>
          <w:sz w:val="24"/>
        </w:rPr>
        <w:t> </w:t>
      </w:r>
      <w:r>
        <w:rPr>
          <w:i/>
          <w:spacing w:val="-2"/>
          <w:sz w:val="24"/>
        </w:rPr>
        <w:t>ряда).</w:t>
      </w:r>
    </w:p>
    <w:p>
      <w:pPr>
        <w:pStyle w:val="Heading4"/>
      </w:pPr>
      <w:r>
        <w:rPr/>
        <w:t>Ингибиторы</w:t>
      </w:r>
      <w:r>
        <w:rPr>
          <w:spacing w:val="-6"/>
        </w:rPr>
        <w:t> </w:t>
      </w:r>
      <w:r>
        <w:rPr/>
        <w:t>натрийзависимого</w:t>
      </w:r>
      <w:r>
        <w:rPr>
          <w:spacing w:val="-5"/>
        </w:rPr>
        <w:t> </w:t>
      </w:r>
      <w:r>
        <w:rPr/>
        <w:t>переносчика</w:t>
      </w:r>
      <w:r>
        <w:rPr>
          <w:spacing w:val="-2"/>
        </w:rPr>
        <w:t> </w:t>
      </w:r>
      <w:r>
        <w:rPr/>
        <w:t>глюкозы</w:t>
      </w:r>
      <w:r>
        <w:rPr>
          <w:spacing w:val="-3"/>
        </w:rPr>
        <w:t> </w:t>
      </w:r>
      <w:r>
        <w:rPr/>
        <w:t>2-го</w:t>
      </w:r>
      <w:r>
        <w:rPr>
          <w:spacing w:val="-2"/>
        </w:rPr>
        <w:t> </w:t>
      </w:r>
      <w:r>
        <w:rPr>
          <w:spacing w:val="-4"/>
        </w:rPr>
        <w:t>типа</w:t>
      </w:r>
    </w:p>
    <w:p>
      <w:pPr>
        <w:spacing w:line="360" w:lineRule="auto" w:before="139"/>
        <w:ind w:left="1261" w:right="566" w:firstLine="0"/>
        <w:jc w:val="both"/>
        <w:rPr>
          <w:i/>
          <w:sz w:val="24"/>
        </w:rPr>
      </w:pPr>
      <w:r>
        <w:rPr>
          <w:i/>
          <w:sz w:val="24"/>
        </w:rPr>
        <w:t>По итогам исследования EMPA-REG Outcome было на фоне эмпаглифлозина</w:t>
      </w:r>
      <w:r>
        <w:rPr>
          <w:sz w:val="24"/>
        </w:rPr>
        <w:t>(**) </w:t>
      </w:r>
      <w:r>
        <w:rPr>
          <w:i/>
          <w:sz w:val="24"/>
        </w:rPr>
        <w:t>продемонстрировано снижение частоты достижения первичной конечной точки на 14% (p=0,038), при этом результаты по каждому из компонентов комбинированной точки были различными: общая смертность снизилась на 32% (p&lt;0,001), сердечно-сосудистая смертность — на 38% (p&lt;0.0001) </w:t>
      </w:r>
      <w:r>
        <w:rPr>
          <w:sz w:val="24"/>
        </w:rPr>
        <w:t>[</w:t>
      </w:r>
      <w:hyperlink w:history="true" w:anchor="_bookmark129">
        <w:r>
          <w:rPr>
            <w:sz w:val="24"/>
          </w:rPr>
          <w:t>84</w:t>
        </w:r>
      </w:hyperlink>
      <w:r>
        <w:rPr>
          <w:sz w:val="24"/>
        </w:rPr>
        <w:t>]</w:t>
      </w:r>
      <w:r>
        <w:rPr>
          <w:i/>
          <w:sz w:val="24"/>
        </w:rPr>
        <w:t>.</w:t>
      </w:r>
    </w:p>
    <w:p>
      <w:pPr>
        <w:spacing w:line="360" w:lineRule="auto" w:before="0"/>
        <w:ind w:left="1261" w:right="566" w:firstLine="0"/>
        <w:jc w:val="both"/>
        <w:rPr>
          <w:i/>
          <w:sz w:val="24"/>
        </w:rPr>
      </w:pPr>
      <w:r>
        <w:rPr>
          <w:b/>
          <w:i/>
          <w:sz w:val="24"/>
        </w:rPr>
        <w:t>Аналоги ГПП-1. </w:t>
      </w:r>
      <w:r>
        <w:rPr>
          <w:i/>
          <w:sz w:val="24"/>
        </w:rPr>
        <w:t>В 2016 г. опубликованы результаты исследования LEADER, посвященного эффективности и безопасности лираглутида. Данное многоцентровое двойное слепое плацебо-контролируемое исследование проводилось в 410 центрах 32 стран и включало 9340 пациентов, из которых 4668 были рандомизированы в группу лираглутида,</w:t>
      </w:r>
      <w:r>
        <w:rPr>
          <w:i/>
          <w:spacing w:val="-1"/>
          <w:sz w:val="24"/>
        </w:rPr>
        <w:t> </w:t>
      </w:r>
      <w:r>
        <w:rPr>
          <w:i/>
          <w:sz w:val="24"/>
        </w:rPr>
        <w:t>4672</w:t>
      </w:r>
      <w:r>
        <w:rPr>
          <w:i/>
          <w:spacing w:val="-1"/>
          <w:sz w:val="24"/>
        </w:rPr>
        <w:t> </w:t>
      </w:r>
      <w:r>
        <w:rPr>
          <w:i/>
          <w:sz w:val="24"/>
        </w:rPr>
        <w:t>—</w:t>
      </w:r>
      <w:r>
        <w:rPr>
          <w:i/>
          <w:spacing w:val="-1"/>
          <w:sz w:val="24"/>
        </w:rPr>
        <w:t> </w:t>
      </w:r>
      <w:r>
        <w:rPr>
          <w:i/>
          <w:sz w:val="24"/>
        </w:rPr>
        <w:t>в</w:t>
      </w:r>
      <w:r>
        <w:rPr>
          <w:i/>
          <w:spacing w:val="-2"/>
          <w:sz w:val="24"/>
        </w:rPr>
        <w:t> </w:t>
      </w:r>
      <w:r>
        <w:rPr>
          <w:i/>
          <w:sz w:val="24"/>
        </w:rPr>
        <w:t>группу</w:t>
      </w:r>
      <w:r>
        <w:rPr>
          <w:i/>
          <w:spacing w:val="-2"/>
          <w:sz w:val="24"/>
        </w:rPr>
        <w:t> </w:t>
      </w:r>
      <w:r>
        <w:rPr>
          <w:i/>
          <w:sz w:val="24"/>
        </w:rPr>
        <w:t>плацебо.</w:t>
      </w:r>
      <w:r>
        <w:rPr>
          <w:i/>
          <w:spacing w:val="-1"/>
          <w:sz w:val="24"/>
        </w:rPr>
        <w:t> </w:t>
      </w:r>
      <w:r>
        <w:rPr>
          <w:i/>
          <w:sz w:val="24"/>
        </w:rPr>
        <w:t>Частота</w:t>
      </w:r>
      <w:r>
        <w:rPr>
          <w:i/>
          <w:spacing w:val="-1"/>
          <w:sz w:val="24"/>
        </w:rPr>
        <w:t> </w:t>
      </w:r>
      <w:r>
        <w:rPr>
          <w:i/>
          <w:sz w:val="24"/>
        </w:rPr>
        <w:t>сердечно-сосудистой</w:t>
      </w:r>
      <w:r>
        <w:rPr>
          <w:i/>
          <w:spacing w:val="-1"/>
          <w:sz w:val="24"/>
        </w:rPr>
        <w:t> </w:t>
      </w:r>
      <w:r>
        <w:rPr>
          <w:i/>
          <w:sz w:val="24"/>
        </w:rPr>
        <w:t>смерти</w:t>
      </w:r>
      <w:r>
        <w:rPr>
          <w:i/>
          <w:spacing w:val="-1"/>
          <w:sz w:val="24"/>
        </w:rPr>
        <w:t> </w:t>
      </w:r>
      <w:r>
        <w:rPr>
          <w:i/>
          <w:sz w:val="24"/>
        </w:rPr>
        <w:t>была</w:t>
      </w:r>
      <w:r>
        <w:rPr>
          <w:i/>
          <w:spacing w:val="-1"/>
          <w:sz w:val="24"/>
        </w:rPr>
        <w:t> </w:t>
      </w:r>
      <w:r>
        <w:rPr>
          <w:i/>
          <w:sz w:val="24"/>
        </w:rPr>
        <w:t>ниже в группе лираглутида (4,7%), чем в группе плацебо (6.0%, ОР 0,78, ДИ 0,66–0,93, p=0,007), общей смертности — 8,2% и 9,6%, соответственно, (ОР 0,85, ДИ 0,74-0,97, p=0,02). Было продемонстрировано снижение риска достижения первичной комбинированной тройной конечной точки на 13%, сердечно-сосудистой смерти — на 22%, композитной конечной точки (коронарная реваскуляризация, нестабильная стенокардия, госпитализация по поводу сердечной недостаточности) — на 20%, риска смерти от всех причин — на 15%, увеличение времени до наступления микрососудистого события (нефропатии) — на 22% </w:t>
      </w:r>
      <w:r>
        <w:rPr>
          <w:sz w:val="24"/>
        </w:rPr>
        <w:t>[</w:t>
      </w:r>
      <w:hyperlink w:history="true" w:anchor="_bookmark130">
        <w:r>
          <w:rPr>
            <w:sz w:val="24"/>
          </w:rPr>
          <w:t>85</w:t>
        </w:r>
      </w:hyperlink>
      <w:r>
        <w:rPr>
          <w:sz w:val="24"/>
        </w:rPr>
        <w:t>]</w:t>
      </w:r>
      <w:r>
        <w:rPr>
          <w:i/>
          <w:sz w:val="24"/>
        </w:rPr>
        <w:t>. Влияние терапии семаглутидом на сердечно-сосудистые исходы изучалось в исследовании SUSTAIN-6. 3297 пациентов с СД 2-го типа и высоким сердечно-сосудистым риском были рандомизированы в группы семаглутида (0,5 или 1 мг</w:t>
      </w:r>
      <w:r>
        <w:rPr>
          <w:i/>
          <w:spacing w:val="40"/>
          <w:sz w:val="24"/>
        </w:rPr>
        <w:t> </w:t>
      </w:r>
      <w:r>
        <w:rPr>
          <w:i/>
          <w:sz w:val="24"/>
        </w:rPr>
        <w:t>1 раз в неделю) или плацебо в дополнение к стандартной противодиабетической и сердечно-сосудистой</w:t>
      </w:r>
      <w:r>
        <w:rPr>
          <w:i/>
          <w:spacing w:val="23"/>
          <w:sz w:val="24"/>
        </w:rPr>
        <w:t> </w:t>
      </w:r>
      <w:r>
        <w:rPr>
          <w:i/>
          <w:sz w:val="24"/>
        </w:rPr>
        <w:t>терапии.</w:t>
      </w:r>
      <w:r>
        <w:rPr>
          <w:i/>
          <w:spacing w:val="23"/>
          <w:sz w:val="24"/>
        </w:rPr>
        <w:t> </w:t>
      </w:r>
      <w:r>
        <w:rPr>
          <w:i/>
          <w:sz w:val="24"/>
        </w:rPr>
        <w:t>У</w:t>
      </w:r>
      <w:r>
        <w:rPr>
          <w:i/>
          <w:spacing w:val="22"/>
          <w:sz w:val="24"/>
        </w:rPr>
        <w:t> </w:t>
      </w:r>
      <w:r>
        <w:rPr>
          <w:i/>
          <w:sz w:val="24"/>
        </w:rPr>
        <w:t>83%</w:t>
      </w:r>
      <w:r>
        <w:rPr>
          <w:i/>
          <w:spacing w:val="25"/>
          <w:sz w:val="24"/>
        </w:rPr>
        <w:t> </w:t>
      </w:r>
      <w:r>
        <w:rPr>
          <w:i/>
          <w:sz w:val="24"/>
        </w:rPr>
        <w:t>включенных</w:t>
      </w:r>
      <w:r>
        <w:rPr>
          <w:i/>
          <w:spacing w:val="23"/>
          <w:sz w:val="24"/>
        </w:rPr>
        <w:t> </w:t>
      </w:r>
      <w:r>
        <w:rPr>
          <w:i/>
          <w:sz w:val="24"/>
        </w:rPr>
        <w:t>пациентов</w:t>
      </w:r>
      <w:r>
        <w:rPr>
          <w:i/>
          <w:spacing w:val="22"/>
          <w:sz w:val="24"/>
        </w:rPr>
        <w:t> </w:t>
      </w:r>
      <w:r>
        <w:rPr>
          <w:i/>
          <w:sz w:val="24"/>
        </w:rPr>
        <w:t>было</w:t>
      </w:r>
      <w:r>
        <w:rPr>
          <w:i/>
          <w:spacing w:val="23"/>
          <w:sz w:val="24"/>
        </w:rPr>
        <w:t> </w:t>
      </w:r>
      <w:r>
        <w:rPr>
          <w:i/>
          <w:sz w:val="24"/>
        </w:rPr>
        <w:t>установлено</w:t>
      </w:r>
      <w:r>
        <w:rPr>
          <w:i/>
          <w:spacing w:val="24"/>
          <w:sz w:val="24"/>
        </w:rPr>
        <w:t> </w:t>
      </w:r>
      <w:r>
        <w:rPr>
          <w:i/>
          <w:spacing w:val="-2"/>
          <w:sz w:val="24"/>
        </w:rPr>
        <w:t>наличие</w:t>
      </w:r>
    </w:p>
    <w:p>
      <w:pPr>
        <w:spacing w:after="0" w:line="360" w:lineRule="auto"/>
        <w:jc w:val="both"/>
        <w:rPr>
          <w:sz w:val="24"/>
        </w:rPr>
        <w:sectPr>
          <w:pgSz w:w="11910" w:h="16840"/>
          <w:pgMar w:header="0" w:footer="710" w:top="1040" w:bottom="900" w:left="440" w:right="280"/>
        </w:sectPr>
      </w:pPr>
    </w:p>
    <w:p>
      <w:pPr>
        <w:spacing w:line="360" w:lineRule="auto" w:before="73"/>
        <w:ind w:left="1261" w:right="567" w:firstLine="0"/>
        <w:jc w:val="both"/>
        <w:rPr>
          <w:i/>
          <w:sz w:val="24"/>
        </w:rPr>
      </w:pPr>
      <w:r>
        <w:rPr>
          <w:i/>
          <w:sz w:val="24"/>
        </w:rPr>
        <w:t>сердечно-сосудистых заболеваний и/или ХБП III–V стадии. Срок наблюдения составил</w:t>
      </w:r>
      <w:r>
        <w:rPr>
          <w:i/>
          <w:spacing w:val="40"/>
          <w:sz w:val="24"/>
        </w:rPr>
        <w:t> </w:t>
      </w:r>
      <w:r>
        <w:rPr>
          <w:i/>
          <w:sz w:val="24"/>
        </w:rPr>
        <w:t>104 недели. Выявлено уменьшение риска комбинированной тройной конечной точки на фоне приема семаглутида на 26%, инсультов на 38%, при этом препарат не уменьшал частоты общей и сердечно-сосудистой смертности, нефатального ИМ и</w:t>
      </w:r>
      <w:r>
        <w:rPr>
          <w:i/>
          <w:spacing w:val="40"/>
          <w:sz w:val="24"/>
        </w:rPr>
        <w:t> </w:t>
      </w:r>
      <w:r>
        <w:rPr>
          <w:i/>
          <w:sz w:val="24"/>
        </w:rPr>
        <w:t>госпитализации по поводу сердечной недостаточности </w:t>
      </w:r>
      <w:r>
        <w:rPr>
          <w:sz w:val="24"/>
        </w:rPr>
        <w:t>[</w:t>
      </w:r>
      <w:hyperlink w:history="true" w:anchor="_bookmark131">
        <w:r>
          <w:rPr>
            <w:sz w:val="24"/>
          </w:rPr>
          <w:t>86</w:t>
        </w:r>
      </w:hyperlink>
      <w:r>
        <w:rPr>
          <w:sz w:val="24"/>
        </w:rPr>
        <w:t>]</w:t>
      </w:r>
      <w:r>
        <w:rPr>
          <w:i/>
          <w:sz w:val="24"/>
        </w:rPr>
        <w:t>.</w:t>
      </w:r>
    </w:p>
    <w:p>
      <w:pPr>
        <w:spacing w:line="360" w:lineRule="auto" w:before="2"/>
        <w:ind w:left="1261" w:right="566" w:firstLine="0"/>
        <w:jc w:val="both"/>
        <w:rPr>
          <w:i/>
          <w:sz w:val="24"/>
        </w:rPr>
      </w:pPr>
      <w:r>
        <w:rPr>
          <w:i/>
          <w:sz w:val="24"/>
        </w:rPr>
        <w:t>Для снижения количества ССО и улучшения прогноза больных СД 2-го типа рекомендуется отдавать приоритет препаратам с подтвержденными сердечно- сосудистыми преимуществами. С</w:t>
      </w:r>
      <w:r>
        <w:rPr>
          <w:i/>
          <w:spacing w:val="-3"/>
          <w:sz w:val="24"/>
        </w:rPr>
        <w:t> </w:t>
      </w:r>
      <w:r>
        <w:rPr>
          <w:i/>
          <w:sz w:val="24"/>
        </w:rPr>
        <w:t>учетом имеющихся доказательств благоприятного влияния эмпаглифлозина</w:t>
      </w:r>
      <w:r>
        <w:rPr>
          <w:sz w:val="24"/>
        </w:rPr>
        <w:t>** </w:t>
      </w:r>
      <w:r>
        <w:rPr>
          <w:i/>
          <w:sz w:val="24"/>
        </w:rPr>
        <w:t>и лираглутида на ССО, данные препараты следует рассматривать, наряду с метформином</w:t>
      </w:r>
      <w:r>
        <w:rPr>
          <w:sz w:val="24"/>
        </w:rPr>
        <w:t>**</w:t>
      </w:r>
      <w:r>
        <w:rPr>
          <w:i/>
          <w:sz w:val="24"/>
        </w:rPr>
        <w:t>, в качестве первой линии терапии больных СД 2-го типа высокого и очень высокого риска. При наличии ХСН предпочтение отдается </w:t>
      </w:r>
      <w:r>
        <w:rPr>
          <w:i/>
          <w:spacing w:val="-2"/>
          <w:sz w:val="24"/>
        </w:rPr>
        <w:t>эмпаглифлозин</w:t>
      </w:r>
      <w:r>
        <w:rPr>
          <w:spacing w:val="-2"/>
          <w:sz w:val="24"/>
        </w:rPr>
        <w:t>у**</w:t>
      </w:r>
      <w:r>
        <w:rPr>
          <w:i/>
          <w:spacing w:val="-2"/>
          <w:sz w:val="24"/>
        </w:rPr>
        <w:t>.</w:t>
      </w:r>
    </w:p>
    <w:p>
      <w:pPr>
        <w:pStyle w:val="ListParagraph"/>
        <w:numPr>
          <w:ilvl w:val="1"/>
          <w:numId w:val="21"/>
        </w:numPr>
        <w:tabs>
          <w:tab w:pos="1982" w:val="left" w:leader="none"/>
        </w:tabs>
        <w:spacing w:line="357" w:lineRule="auto" w:before="1" w:after="0"/>
        <w:ind w:left="1981" w:right="566" w:hanging="360"/>
        <w:jc w:val="both"/>
        <w:rPr>
          <w:sz w:val="24"/>
        </w:rPr>
      </w:pPr>
      <w:r>
        <w:rPr>
          <w:sz w:val="24"/>
        </w:rPr>
        <w:t>У пациентов с СД 2-го типа и ССЗ, имеющих очень высокий и высокий сердечно- сосудистый риск, в качестве гипогликемической терапии рекомендованы эмпаглифлозин** или дапаглифлозин** для снижения риска новых сердечно- сосудистых событий [</w:t>
      </w:r>
      <w:hyperlink w:history="true" w:anchor="_bookmark132">
        <w:r>
          <w:rPr>
            <w:sz w:val="24"/>
          </w:rPr>
          <w:t>87</w:t>
        </w:r>
      </w:hyperlink>
      <w:r>
        <w:rPr>
          <w:sz w:val="24"/>
        </w:rPr>
        <w:t>].</w:t>
      </w:r>
    </w:p>
    <w:p>
      <w:pPr>
        <w:pStyle w:val="Heading2"/>
        <w:spacing w:line="275" w:lineRule="exact"/>
        <w:ind w:left="1621"/>
      </w:pPr>
      <w:r>
        <w:rPr/>
        <w:t>ЕОК/ЕОА</w:t>
      </w:r>
      <w:r>
        <w:rPr>
          <w:spacing w:val="-3"/>
        </w:rPr>
        <w:t> </w:t>
      </w:r>
      <w:r>
        <w:rPr/>
        <w:t>IА</w:t>
      </w:r>
      <w:r>
        <w:rPr>
          <w:spacing w:val="-2"/>
        </w:rPr>
        <w:t> </w:t>
      </w:r>
      <w:r>
        <w:rPr/>
        <w:t>(УУР</w:t>
      </w:r>
      <w:r>
        <w:rPr>
          <w:spacing w:val="-2"/>
        </w:rPr>
        <w:t> </w:t>
      </w:r>
      <w:r>
        <w:rPr/>
        <w:t>А,</w:t>
      </w:r>
      <w:r>
        <w:rPr>
          <w:spacing w:val="1"/>
        </w:rPr>
        <w:t> </w:t>
      </w:r>
      <w:r>
        <w:rPr/>
        <w:t>УДД</w:t>
      </w:r>
      <w:r>
        <w:rPr>
          <w:spacing w:val="-1"/>
        </w:rPr>
        <w:t> </w:t>
      </w:r>
      <w:r>
        <w:rPr>
          <w:spacing w:val="-5"/>
        </w:rPr>
        <w:t>1)</w:t>
      </w:r>
    </w:p>
    <w:p>
      <w:pPr>
        <w:pStyle w:val="BodyText"/>
        <w:spacing w:before="6"/>
        <w:ind w:left="0"/>
        <w:rPr>
          <w:b/>
          <w:sz w:val="29"/>
        </w:rPr>
      </w:pPr>
    </w:p>
    <w:p>
      <w:pPr>
        <w:pStyle w:val="ListParagraph"/>
        <w:numPr>
          <w:ilvl w:val="1"/>
          <w:numId w:val="21"/>
        </w:numPr>
        <w:tabs>
          <w:tab w:pos="1982" w:val="left" w:leader="none"/>
        </w:tabs>
        <w:spacing w:line="350" w:lineRule="auto" w:before="1" w:after="0"/>
        <w:ind w:left="1981" w:right="568" w:hanging="360"/>
        <w:jc w:val="both"/>
        <w:rPr>
          <w:sz w:val="24"/>
        </w:rPr>
      </w:pPr>
      <w:r>
        <w:rPr>
          <w:sz w:val="24"/>
        </w:rPr>
        <w:t>У пациентов с СД 2-го типа и ССЗ в качестве гипогликемической терапии рекомендован эмпаглифлозин** для снижения риска смерти [</w:t>
      </w:r>
      <w:hyperlink w:history="true" w:anchor="_bookmark133">
        <w:r>
          <w:rPr>
            <w:sz w:val="24"/>
          </w:rPr>
          <w:t>88</w:t>
        </w:r>
      </w:hyperlink>
      <w:r>
        <w:rPr>
          <w:sz w:val="24"/>
        </w:rPr>
        <w:t>].</w:t>
      </w:r>
    </w:p>
    <w:p>
      <w:pPr>
        <w:pStyle w:val="Heading2"/>
        <w:spacing w:before="10"/>
        <w:ind w:left="1621"/>
      </w:pPr>
      <w:r>
        <w:rPr/>
        <w:t>ЕОК/ЕОА</w:t>
      </w:r>
      <w:r>
        <w:rPr>
          <w:spacing w:val="-3"/>
        </w:rPr>
        <w:t> </w:t>
      </w:r>
      <w:r>
        <w:rPr/>
        <w:t>IB</w:t>
      </w:r>
      <w:r>
        <w:rPr>
          <w:spacing w:val="-1"/>
        </w:rPr>
        <w:t> </w:t>
      </w:r>
      <w:r>
        <w:rPr/>
        <w:t>(УУР</w:t>
      </w:r>
      <w:r>
        <w:rPr>
          <w:spacing w:val="-2"/>
        </w:rPr>
        <w:t> </w:t>
      </w:r>
      <w:r>
        <w:rPr/>
        <w:t>A,</w:t>
      </w:r>
      <w:r>
        <w:rPr>
          <w:spacing w:val="1"/>
        </w:rPr>
        <w:t> </w:t>
      </w:r>
      <w:r>
        <w:rPr/>
        <w:t>УДД</w:t>
      </w:r>
      <w:r>
        <w:rPr>
          <w:spacing w:val="-1"/>
        </w:rPr>
        <w:t> </w:t>
      </w:r>
      <w:r>
        <w:rPr>
          <w:spacing w:val="-5"/>
        </w:rPr>
        <w:t>1)</w:t>
      </w:r>
    </w:p>
    <w:p>
      <w:pPr>
        <w:pStyle w:val="BodyText"/>
        <w:spacing w:before="7"/>
        <w:ind w:left="0"/>
        <w:rPr>
          <w:b/>
          <w:sz w:val="29"/>
        </w:rPr>
      </w:pPr>
    </w:p>
    <w:p>
      <w:pPr>
        <w:pStyle w:val="ListParagraph"/>
        <w:numPr>
          <w:ilvl w:val="1"/>
          <w:numId w:val="21"/>
        </w:numPr>
        <w:tabs>
          <w:tab w:pos="1982" w:val="left" w:leader="none"/>
        </w:tabs>
        <w:spacing w:line="355" w:lineRule="auto" w:before="0" w:after="0"/>
        <w:ind w:left="1981" w:right="567" w:hanging="360"/>
        <w:jc w:val="both"/>
        <w:rPr>
          <w:sz w:val="24"/>
        </w:rPr>
      </w:pPr>
      <w:r>
        <w:rPr>
          <w:sz w:val="24"/>
        </w:rPr>
        <w:t>У пациентов с СД 2-го типа и ССЗ, имеющих очень высокий и высокий сердечно- сосудистый риск,</w:t>
      </w:r>
      <w:r>
        <w:rPr>
          <w:spacing w:val="-1"/>
          <w:sz w:val="24"/>
        </w:rPr>
        <w:t> </w:t>
      </w:r>
      <w:r>
        <w:rPr>
          <w:sz w:val="24"/>
        </w:rPr>
        <w:t>в</w:t>
      </w:r>
      <w:r>
        <w:rPr>
          <w:spacing w:val="-4"/>
          <w:sz w:val="24"/>
        </w:rPr>
        <w:t> </w:t>
      </w:r>
      <w:r>
        <w:rPr>
          <w:sz w:val="24"/>
        </w:rPr>
        <w:t>качестве</w:t>
      </w:r>
      <w:r>
        <w:rPr>
          <w:spacing w:val="-2"/>
          <w:sz w:val="24"/>
        </w:rPr>
        <w:t> </w:t>
      </w:r>
      <w:r>
        <w:rPr>
          <w:sz w:val="24"/>
        </w:rPr>
        <w:t>гипогликемической терапии рекомендован лираглутид для снижения риска как новых ССО, так и риска смерти [</w:t>
      </w:r>
      <w:hyperlink w:history="true" w:anchor="_bookmark130">
        <w:r>
          <w:rPr>
            <w:sz w:val="24"/>
          </w:rPr>
          <w:t>85</w:t>
        </w:r>
      </w:hyperlink>
      <w:r>
        <w:rPr>
          <w:sz w:val="24"/>
        </w:rPr>
        <w:t>].</w:t>
      </w:r>
    </w:p>
    <w:p>
      <w:pPr>
        <w:pStyle w:val="Heading2"/>
        <w:spacing w:before="6"/>
        <w:ind w:left="1621"/>
      </w:pPr>
      <w:r>
        <w:rPr/>
        <w:t>ЕОК/ЕОА</w:t>
      </w:r>
      <w:r>
        <w:rPr>
          <w:spacing w:val="-3"/>
        </w:rPr>
        <w:t> </w:t>
      </w:r>
      <w:r>
        <w:rPr/>
        <w:t>IB</w:t>
      </w:r>
      <w:r>
        <w:rPr>
          <w:spacing w:val="-1"/>
        </w:rPr>
        <w:t> </w:t>
      </w:r>
      <w:r>
        <w:rPr/>
        <w:t>(УУР</w:t>
      </w:r>
      <w:r>
        <w:rPr>
          <w:spacing w:val="-2"/>
        </w:rPr>
        <w:t> </w:t>
      </w:r>
      <w:r>
        <w:rPr/>
        <w:t>А,</w:t>
      </w:r>
      <w:r>
        <w:rPr>
          <w:spacing w:val="1"/>
        </w:rPr>
        <w:t> </w:t>
      </w:r>
      <w:r>
        <w:rPr/>
        <w:t>УДД</w:t>
      </w:r>
      <w:r>
        <w:rPr>
          <w:spacing w:val="-1"/>
        </w:rPr>
        <w:t> </w:t>
      </w:r>
      <w:r>
        <w:rPr>
          <w:spacing w:val="-5"/>
        </w:rPr>
        <w:t>2)</w:t>
      </w:r>
    </w:p>
    <w:p>
      <w:pPr>
        <w:pStyle w:val="BodyText"/>
        <w:spacing w:before="7"/>
        <w:ind w:left="0"/>
        <w:rPr>
          <w:b/>
          <w:sz w:val="29"/>
        </w:rPr>
      </w:pPr>
    </w:p>
    <w:p>
      <w:pPr>
        <w:pStyle w:val="ListParagraph"/>
        <w:numPr>
          <w:ilvl w:val="1"/>
          <w:numId w:val="21"/>
        </w:numPr>
        <w:tabs>
          <w:tab w:pos="1982" w:val="left" w:leader="none"/>
        </w:tabs>
        <w:spacing w:line="348" w:lineRule="auto" w:before="0" w:after="0"/>
        <w:ind w:left="1981" w:right="567" w:hanging="360"/>
        <w:jc w:val="both"/>
        <w:rPr>
          <w:sz w:val="24"/>
        </w:rPr>
      </w:pPr>
      <w:r>
        <w:rPr>
          <w:sz w:val="24"/>
        </w:rPr>
        <w:t>У пациентов с СД 2-го типа без ССЗ рекомендован метформин** для снижения сердечно-сосудистого риска [</w:t>
      </w:r>
      <w:hyperlink w:history="true" w:anchor="_bookmark134">
        <w:r>
          <w:rPr>
            <w:sz w:val="24"/>
          </w:rPr>
          <w:t>89</w:t>
        </w:r>
      </w:hyperlink>
      <w:r>
        <w:rPr>
          <w:sz w:val="24"/>
        </w:rPr>
        <w:t>].</w:t>
      </w:r>
    </w:p>
    <w:p>
      <w:pPr>
        <w:pStyle w:val="Heading3"/>
        <w:spacing w:before="16"/>
        <w:ind w:left="1621"/>
      </w:pPr>
      <w:r>
        <w:rPr/>
        <w:t>ЕОК/ЕОА</w:t>
      </w:r>
      <w:r>
        <w:rPr>
          <w:spacing w:val="-3"/>
        </w:rPr>
        <w:t> </w:t>
      </w:r>
      <w:r>
        <w:rPr/>
        <w:t>IIaС</w:t>
      </w:r>
      <w:r>
        <w:rPr>
          <w:spacing w:val="-2"/>
        </w:rPr>
        <w:t> </w:t>
      </w:r>
      <w:r>
        <w:rPr/>
        <w:t>(УУР</w:t>
      </w:r>
      <w:r>
        <w:rPr>
          <w:spacing w:val="1"/>
        </w:rPr>
        <w:t> </w:t>
      </w:r>
      <w:r>
        <w:rPr/>
        <w:t>А,</w:t>
      </w:r>
      <w:r>
        <w:rPr>
          <w:spacing w:val="-1"/>
        </w:rPr>
        <w:t> </w:t>
      </w:r>
      <w:r>
        <w:rPr/>
        <w:t>УДД</w:t>
      </w:r>
      <w:r>
        <w:rPr>
          <w:spacing w:val="-1"/>
        </w:rPr>
        <w:t> </w:t>
      </w:r>
      <w:r>
        <w:rPr>
          <w:spacing w:val="-5"/>
        </w:rPr>
        <w:t>2)</w:t>
      </w:r>
    </w:p>
    <w:p>
      <w:pPr>
        <w:pStyle w:val="BodyText"/>
        <w:spacing w:before="5"/>
        <w:ind w:left="0"/>
        <w:rPr>
          <w:b/>
          <w:sz w:val="29"/>
        </w:rPr>
      </w:pPr>
    </w:p>
    <w:p>
      <w:pPr>
        <w:pStyle w:val="Heading3"/>
        <w:numPr>
          <w:ilvl w:val="2"/>
          <w:numId w:val="7"/>
        </w:numPr>
        <w:tabs>
          <w:tab w:pos="2162" w:val="left" w:leader="none"/>
        </w:tabs>
        <w:spacing w:line="240" w:lineRule="auto" w:before="0" w:after="0"/>
        <w:ind w:left="2161" w:right="0" w:hanging="541"/>
        <w:jc w:val="left"/>
        <w:rPr>
          <w:u w:val="single"/>
        </w:rPr>
      </w:pPr>
      <w:bookmarkStart w:name="3.5.3 ДЛП и хроническая болезнь почек" w:id="71"/>
      <w:bookmarkEnd w:id="71"/>
      <w:r>
        <w:rPr>
          <w:b w:val="0"/>
        </w:rPr>
      </w:r>
      <w:bookmarkStart w:name="_bookmark35" w:id="72"/>
      <w:bookmarkEnd w:id="72"/>
      <w:r>
        <w:rPr>
          <w:u w:val="single"/>
        </w:rPr>
        <w:t>Д</w:t>
      </w:r>
      <w:r>
        <w:rPr>
          <w:u w:val="single"/>
        </w:rPr>
        <w:t>ЛП</w:t>
      </w:r>
      <w:r>
        <w:rPr>
          <w:spacing w:val="-2"/>
          <w:u w:val="single"/>
        </w:rPr>
        <w:t> </w:t>
      </w:r>
      <w:r>
        <w:rPr>
          <w:u w:val="single"/>
        </w:rPr>
        <w:t>и</w:t>
      </w:r>
      <w:r>
        <w:rPr>
          <w:spacing w:val="-3"/>
          <w:u w:val="single"/>
        </w:rPr>
        <w:t> </w:t>
      </w:r>
      <w:r>
        <w:rPr>
          <w:u w:val="single"/>
        </w:rPr>
        <w:t>хроническая</w:t>
      </w:r>
      <w:r>
        <w:rPr>
          <w:spacing w:val="-2"/>
          <w:u w:val="single"/>
        </w:rPr>
        <w:t> </w:t>
      </w:r>
      <w:r>
        <w:rPr>
          <w:u w:val="single"/>
        </w:rPr>
        <w:t>болезнь</w:t>
      </w:r>
      <w:r>
        <w:rPr>
          <w:spacing w:val="-2"/>
          <w:u w:val="single"/>
        </w:rPr>
        <w:t> </w:t>
      </w:r>
      <w:r>
        <w:rPr>
          <w:spacing w:val="-4"/>
          <w:u w:val="single"/>
        </w:rPr>
        <w:t>почек</w:t>
      </w:r>
    </w:p>
    <w:p>
      <w:pPr>
        <w:pStyle w:val="BodyText"/>
        <w:ind w:left="0"/>
        <w:rPr>
          <w:b/>
          <w:sz w:val="25"/>
        </w:rPr>
      </w:pPr>
    </w:p>
    <w:p>
      <w:pPr>
        <w:spacing w:line="360" w:lineRule="auto" w:before="90"/>
        <w:ind w:left="1688" w:right="567" w:firstLine="0"/>
        <w:jc w:val="both"/>
        <w:rPr>
          <w:sz w:val="24"/>
        </w:rPr>
      </w:pPr>
      <w:r>
        <w:rPr>
          <w:i/>
          <w:sz w:val="24"/>
        </w:rPr>
        <w:t>На начальных стадиях ХБП повышены уровни ТГ, а уровни ХС ЛВП снижены. Для ХБП характерен увеличение уровня Лп(a). Пациенты с ХБП 3–5-й стадии имеют высокий или очень высокий сердечно-сосудистый риск </w:t>
      </w:r>
      <w:r>
        <w:rPr>
          <w:sz w:val="24"/>
        </w:rPr>
        <w:t>[</w:t>
      </w:r>
      <w:hyperlink w:history="true" w:anchor="_bookmark135">
        <w:r>
          <w:rPr>
            <w:sz w:val="24"/>
          </w:rPr>
          <w:t>90</w:t>
        </w:r>
      </w:hyperlink>
      <w:r>
        <w:rPr>
          <w:sz w:val="24"/>
        </w:rPr>
        <w:t>, </w:t>
      </w:r>
      <w:hyperlink w:history="true" w:anchor="_bookmark136">
        <w:r>
          <w:rPr>
            <w:sz w:val="24"/>
          </w:rPr>
          <w:t>91</w:t>
        </w:r>
      </w:hyperlink>
      <w:r>
        <w:rPr>
          <w:sz w:val="24"/>
        </w:rPr>
        <w:t>].</w:t>
      </w:r>
    </w:p>
    <w:p>
      <w:pPr>
        <w:spacing w:after="0" w:line="360" w:lineRule="auto"/>
        <w:jc w:val="both"/>
        <w:rPr>
          <w:sz w:val="24"/>
        </w:rPr>
        <w:sectPr>
          <w:pgSz w:w="11910" w:h="16840"/>
          <w:pgMar w:header="0" w:footer="710" w:top="1040" w:bottom="900" w:left="440" w:right="280"/>
        </w:sectPr>
      </w:pPr>
    </w:p>
    <w:p>
      <w:pPr>
        <w:pStyle w:val="ListParagraph"/>
        <w:numPr>
          <w:ilvl w:val="3"/>
          <w:numId w:val="7"/>
        </w:numPr>
        <w:tabs>
          <w:tab w:pos="1982" w:val="left" w:leader="none"/>
        </w:tabs>
        <w:spacing w:line="350" w:lineRule="auto" w:before="75" w:after="0"/>
        <w:ind w:left="1981" w:right="566" w:hanging="360"/>
        <w:jc w:val="both"/>
        <w:rPr>
          <w:sz w:val="24"/>
        </w:rPr>
      </w:pPr>
      <w:r>
        <w:rPr>
          <w:sz w:val="24"/>
        </w:rPr>
        <w:t>У диализ-независимых пациентов ХБП 3–5-й стадии рекомендуется применение статина или комбинации статин / эзетимиб [</w:t>
      </w:r>
      <w:hyperlink w:history="true" w:anchor="_bookmark137">
        <w:r>
          <w:rPr>
            <w:sz w:val="24"/>
          </w:rPr>
          <w:t>92</w:t>
        </w:r>
      </w:hyperlink>
      <w:r>
        <w:rPr>
          <w:sz w:val="24"/>
        </w:rPr>
        <w:t>, </w:t>
      </w:r>
      <w:hyperlink w:history="true" w:anchor="_bookmark138">
        <w:r>
          <w:rPr>
            <w:sz w:val="24"/>
          </w:rPr>
          <w:t>93</w:t>
        </w:r>
      </w:hyperlink>
      <w:r>
        <w:rPr>
          <w:sz w:val="24"/>
        </w:rPr>
        <w:t>, </w:t>
      </w:r>
      <w:hyperlink w:history="true" w:anchor="_bookmark139">
        <w:r>
          <w:rPr>
            <w:sz w:val="24"/>
          </w:rPr>
          <w:t>94</w:t>
        </w:r>
      </w:hyperlink>
      <w:r>
        <w:rPr>
          <w:sz w:val="24"/>
        </w:rPr>
        <w:t>, </w:t>
      </w:r>
      <w:hyperlink w:history="true" w:anchor="_bookmark140">
        <w:r>
          <w:rPr>
            <w:sz w:val="24"/>
          </w:rPr>
          <w:t>95</w:t>
        </w:r>
      </w:hyperlink>
      <w:r>
        <w:rPr>
          <w:sz w:val="24"/>
        </w:rPr>
        <w:t>].</w:t>
      </w:r>
    </w:p>
    <w:p>
      <w:pPr>
        <w:pStyle w:val="Heading2"/>
        <w:spacing w:before="13"/>
      </w:pPr>
      <w:r>
        <w:rPr/>
        <w:t>ЕОК/ЕОА</w:t>
      </w:r>
      <w:r>
        <w:rPr>
          <w:spacing w:val="-2"/>
        </w:rPr>
        <w:t> </w:t>
      </w:r>
      <w:r>
        <w:rPr/>
        <w:t>IА</w:t>
      </w:r>
      <w:r>
        <w:rPr>
          <w:spacing w:val="-2"/>
        </w:rPr>
        <w:t> </w:t>
      </w:r>
      <w:r>
        <w:rPr/>
        <w:t>(УУР</w:t>
      </w:r>
      <w:r>
        <w:rPr>
          <w:spacing w:val="-2"/>
        </w:rPr>
        <w:t> </w:t>
      </w:r>
      <w:r>
        <w:rPr/>
        <w:t>В,</w:t>
      </w:r>
      <w:r>
        <w:rPr>
          <w:spacing w:val="1"/>
        </w:rPr>
        <w:t> </w:t>
      </w:r>
      <w:r>
        <w:rPr/>
        <w:t>УДД</w:t>
      </w:r>
      <w:r>
        <w:rPr>
          <w:spacing w:val="-1"/>
        </w:rPr>
        <w:t> </w:t>
      </w:r>
      <w:r>
        <w:rPr>
          <w:spacing w:val="-5"/>
        </w:rPr>
        <w:t>1)</w:t>
      </w:r>
    </w:p>
    <w:p>
      <w:pPr>
        <w:pStyle w:val="ListParagraph"/>
        <w:numPr>
          <w:ilvl w:val="3"/>
          <w:numId w:val="7"/>
        </w:numPr>
        <w:tabs>
          <w:tab w:pos="1982" w:val="left" w:leader="none"/>
        </w:tabs>
        <w:spacing w:line="355" w:lineRule="auto" w:before="139" w:after="0"/>
        <w:ind w:left="1981" w:right="567" w:hanging="360"/>
        <w:jc w:val="both"/>
        <w:rPr>
          <w:sz w:val="24"/>
        </w:rPr>
      </w:pPr>
      <w:r>
        <w:rPr>
          <w:sz w:val="24"/>
        </w:rPr>
        <w:t>У пациентов с ХБП 5-й стадии с атеросклеротическим ССЗ, уже получающих статин, эзетимиб, или комбинацию статин / эзетимиб, при начале диализа, рекомендовано</w:t>
      </w:r>
      <w:r>
        <w:rPr>
          <w:spacing w:val="38"/>
          <w:sz w:val="24"/>
        </w:rPr>
        <w:t> </w:t>
      </w:r>
      <w:r>
        <w:rPr>
          <w:sz w:val="24"/>
        </w:rPr>
        <w:t>продолжить</w:t>
      </w:r>
      <w:r>
        <w:rPr>
          <w:spacing w:val="36"/>
          <w:sz w:val="24"/>
        </w:rPr>
        <w:t> </w:t>
      </w:r>
      <w:r>
        <w:rPr>
          <w:sz w:val="24"/>
        </w:rPr>
        <w:t>исходную</w:t>
      </w:r>
      <w:r>
        <w:rPr>
          <w:spacing w:val="36"/>
          <w:sz w:val="24"/>
        </w:rPr>
        <w:t> </w:t>
      </w:r>
      <w:r>
        <w:rPr>
          <w:sz w:val="24"/>
        </w:rPr>
        <w:t>гиполипидемическую</w:t>
      </w:r>
      <w:r>
        <w:rPr>
          <w:spacing w:val="38"/>
          <w:sz w:val="24"/>
        </w:rPr>
        <w:t> </w:t>
      </w:r>
      <w:r>
        <w:rPr>
          <w:sz w:val="24"/>
        </w:rPr>
        <w:t>терапию</w:t>
      </w:r>
      <w:r>
        <w:rPr>
          <w:spacing w:val="39"/>
          <w:sz w:val="24"/>
        </w:rPr>
        <w:t> </w:t>
      </w:r>
      <w:r>
        <w:rPr>
          <w:sz w:val="24"/>
        </w:rPr>
        <w:t>[</w:t>
      </w:r>
      <w:hyperlink w:history="true" w:anchor="_bookmark137">
        <w:r>
          <w:rPr>
            <w:sz w:val="24"/>
          </w:rPr>
          <w:t>92</w:t>
        </w:r>
      </w:hyperlink>
      <w:r>
        <w:rPr>
          <w:sz w:val="24"/>
        </w:rPr>
        <w:t>,</w:t>
      </w:r>
      <w:r>
        <w:rPr>
          <w:spacing w:val="38"/>
          <w:sz w:val="24"/>
        </w:rPr>
        <w:t> </w:t>
      </w:r>
      <w:hyperlink w:history="true" w:anchor="_bookmark138">
        <w:r>
          <w:rPr>
            <w:sz w:val="24"/>
          </w:rPr>
          <w:t>93</w:t>
        </w:r>
      </w:hyperlink>
      <w:r>
        <w:rPr>
          <w:sz w:val="24"/>
        </w:rPr>
        <w:t>,</w:t>
      </w:r>
      <w:r>
        <w:rPr>
          <w:spacing w:val="38"/>
          <w:sz w:val="24"/>
        </w:rPr>
        <w:t> </w:t>
      </w:r>
      <w:hyperlink w:history="true" w:anchor="_bookmark141">
        <w:r>
          <w:rPr>
            <w:sz w:val="24"/>
          </w:rPr>
          <w:t>96</w:t>
        </w:r>
      </w:hyperlink>
      <w:r>
        <w:rPr>
          <w:sz w:val="24"/>
        </w:rPr>
        <w:t>,</w:t>
      </w:r>
    </w:p>
    <w:p>
      <w:pPr>
        <w:pStyle w:val="BodyText"/>
        <w:spacing w:before="6"/>
        <w:jc w:val="both"/>
      </w:pPr>
      <w:hyperlink w:history="true" w:anchor="_bookmark142">
        <w:r>
          <w:rPr/>
          <w:t>97</w:t>
        </w:r>
      </w:hyperlink>
      <w:r>
        <w:rPr/>
        <w:t>,</w:t>
      </w:r>
      <w:r>
        <w:rPr>
          <w:spacing w:val="-2"/>
        </w:rPr>
        <w:t> </w:t>
      </w:r>
      <w:hyperlink w:history="true" w:anchor="_bookmark143">
        <w:r>
          <w:rPr>
            <w:spacing w:val="-4"/>
          </w:rPr>
          <w:t>98</w:t>
        </w:r>
      </w:hyperlink>
      <w:r>
        <w:rPr>
          <w:spacing w:val="-4"/>
        </w:rPr>
        <w:t>].</w:t>
      </w:r>
    </w:p>
    <w:p>
      <w:pPr>
        <w:pStyle w:val="Heading3"/>
        <w:spacing w:before="137"/>
      </w:pPr>
      <w:r>
        <w:rPr/>
        <w:t>ЕОК/ЕОА</w:t>
      </w:r>
      <w:r>
        <w:rPr>
          <w:spacing w:val="-4"/>
        </w:rPr>
        <w:t> </w:t>
      </w:r>
      <w:r>
        <w:rPr/>
        <w:t>IIaC</w:t>
      </w:r>
      <w:r>
        <w:rPr>
          <w:spacing w:val="-2"/>
        </w:rPr>
        <w:t> </w:t>
      </w:r>
      <w:r>
        <w:rPr/>
        <w:t>IА</w:t>
      </w:r>
      <w:r>
        <w:rPr>
          <w:spacing w:val="-2"/>
        </w:rPr>
        <w:t> </w:t>
      </w:r>
      <w:r>
        <w:rPr/>
        <w:t>(УУР</w:t>
      </w:r>
      <w:r>
        <w:rPr>
          <w:spacing w:val="-2"/>
        </w:rPr>
        <w:t> </w:t>
      </w:r>
      <w:r>
        <w:rPr/>
        <w:t>В,</w:t>
      </w:r>
      <w:r>
        <w:rPr>
          <w:spacing w:val="-1"/>
        </w:rPr>
        <w:t> </w:t>
      </w:r>
      <w:r>
        <w:rPr/>
        <w:t>УДД </w:t>
      </w:r>
      <w:r>
        <w:rPr>
          <w:spacing w:val="-5"/>
        </w:rPr>
        <w:t>1)</w:t>
      </w:r>
    </w:p>
    <w:p>
      <w:pPr>
        <w:pStyle w:val="ListParagraph"/>
        <w:numPr>
          <w:ilvl w:val="3"/>
          <w:numId w:val="7"/>
        </w:numPr>
        <w:tabs>
          <w:tab w:pos="1982" w:val="left" w:leader="none"/>
        </w:tabs>
        <w:spacing w:line="348" w:lineRule="auto" w:before="141" w:after="0"/>
        <w:ind w:left="1981" w:right="570" w:hanging="360"/>
        <w:jc w:val="both"/>
        <w:rPr>
          <w:sz w:val="24"/>
        </w:rPr>
      </w:pPr>
      <w:r>
        <w:rPr>
          <w:sz w:val="24"/>
        </w:rPr>
        <w:t>Пациентам с ХБП 1-4 стадии и уровнем ТГ </w:t>
      </w:r>
      <w:r>
        <w:rPr>
          <w:sz w:val="24"/>
          <w:u w:val="single"/>
        </w:rPr>
        <w:t>&gt;</w:t>
      </w:r>
      <w:r>
        <w:rPr>
          <w:sz w:val="24"/>
        </w:rPr>
        <w:t>1,7 ммоль/л рекомендовано рассмотреть назначение омега-3 ПНЖК с целью снижения уровня ТГ [</w:t>
      </w:r>
      <w:hyperlink w:history="true" w:anchor="_bookmark208">
        <w:r>
          <w:rPr>
            <w:sz w:val="24"/>
          </w:rPr>
          <w:t>166</w:t>
        </w:r>
      </w:hyperlink>
      <w:r>
        <w:rPr>
          <w:sz w:val="24"/>
        </w:rPr>
        <w:t>-</w:t>
      </w:r>
      <w:hyperlink w:history="true" w:anchor="_bookmark209">
        <w:r>
          <w:rPr>
            <w:sz w:val="24"/>
          </w:rPr>
          <w:t>168</w:t>
        </w:r>
      </w:hyperlink>
      <w:r>
        <w:rPr>
          <w:sz w:val="24"/>
        </w:rPr>
        <w:t>].</w:t>
      </w:r>
    </w:p>
    <w:p>
      <w:pPr>
        <w:pStyle w:val="Heading3"/>
        <w:spacing w:before="16"/>
      </w:pPr>
      <w:r>
        <w:rPr/>
        <w:t>ЕОК/ЕОА</w:t>
      </w:r>
      <w:r>
        <w:rPr>
          <w:spacing w:val="-3"/>
        </w:rPr>
        <w:t> </w:t>
      </w:r>
      <w:r>
        <w:rPr/>
        <w:t>IIaВ</w:t>
      </w:r>
      <w:r>
        <w:rPr>
          <w:spacing w:val="-1"/>
        </w:rPr>
        <w:t> </w:t>
      </w:r>
      <w:r>
        <w:rPr/>
        <w:t>(УУР</w:t>
      </w:r>
      <w:r>
        <w:rPr>
          <w:spacing w:val="-2"/>
        </w:rPr>
        <w:t> </w:t>
      </w:r>
      <w:r>
        <w:rPr/>
        <w:t>А,</w:t>
      </w:r>
      <w:r>
        <w:rPr>
          <w:spacing w:val="-1"/>
        </w:rPr>
        <w:t> </w:t>
      </w:r>
      <w:r>
        <w:rPr/>
        <w:t>УДД</w:t>
      </w:r>
      <w:r>
        <w:rPr>
          <w:spacing w:val="-1"/>
        </w:rPr>
        <w:t> </w:t>
      </w:r>
      <w:r>
        <w:rPr>
          <w:spacing w:val="-5"/>
        </w:rPr>
        <w:t>2)</w:t>
      </w:r>
    </w:p>
    <w:p>
      <w:pPr>
        <w:pStyle w:val="ListParagraph"/>
        <w:numPr>
          <w:ilvl w:val="3"/>
          <w:numId w:val="7"/>
        </w:numPr>
        <w:tabs>
          <w:tab w:pos="1982" w:val="left" w:leader="none"/>
        </w:tabs>
        <w:spacing w:line="350" w:lineRule="auto" w:before="139" w:after="0"/>
        <w:ind w:left="1981" w:right="566" w:hanging="360"/>
        <w:jc w:val="both"/>
        <w:rPr>
          <w:sz w:val="24"/>
        </w:rPr>
      </w:pPr>
      <w:r>
        <w:rPr>
          <w:sz w:val="24"/>
        </w:rPr>
        <w:t>У пациентов c диализ-зависимой ХБП и не имеющих атеросклеротических ССЗ, не рекомендуется начало терапии статином [</w:t>
      </w:r>
      <w:hyperlink w:history="true" w:anchor="_bookmark144">
        <w:r>
          <w:rPr>
            <w:sz w:val="24"/>
          </w:rPr>
          <w:t>99</w:t>
        </w:r>
      </w:hyperlink>
      <w:r>
        <w:rPr>
          <w:sz w:val="24"/>
        </w:rPr>
        <w:t>, </w:t>
      </w:r>
      <w:hyperlink w:history="true" w:anchor="_bookmark145">
        <w:r>
          <w:rPr>
            <w:sz w:val="24"/>
          </w:rPr>
          <w:t>100</w:t>
        </w:r>
      </w:hyperlink>
      <w:r>
        <w:rPr>
          <w:sz w:val="24"/>
        </w:rPr>
        <w:t>]</w:t>
      </w:r>
    </w:p>
    <w:p>
      <w:pPr>
        <w:pStyle w:val="Heading2"/>
        <w:spacing w:before="13"/>
      </w:pPr>
      <w:r>
        <w:rPr/>
        <w:t>ЕОК/ЕОА</w:t>
      </w:r>
      <w:r>
        <w:rPr>
          <w:spacing w:val="-3"/>
        </w:rPr>
        <w:t> </w:t>
      </w:r>
      <w:r>
        <w:rPr/>
        <w:t>IIIA</w:t>
      </w:r>
      <w:r>
        <w:rPr>
          <w:spacing w:val="-2"/>
        </w:rPr>
        <w:t> </w:t>
      </w:r>
      <w:r>
        <w:rPr/>
        <w:t>(УУР</w:t>
      </w:r>
      <w:r>
        <w:rPr>
          <w:spacing w:val="1"/>
        </w:rPr>
        <w:t> </w:t>
      </w:r>
      <w:r>
        <w:rPr/>
        <w:t>А,</w:t>
      </w:r>
      <w:r>
        <w:rPr>
          <w:spacing w:val="-1"/>
        </w:rPr>
        <w:t> </w:t>
      </w:r>
      <w:r>
        <w:rPr/>
        <w:t>УДД</w:t>
      </w:r>
      <w:r>
        <w:rPr>
          <w:spacing w:val="-1"/>
        </w:rPr>
        <w:t> </w:t>
      </w:r>
      <w:r>
        <w:rPr>
          <w:spacing w:val="-5"/>
        </w:rPr>
        <w:t>2)</w:t>
      </w:r>
    </w:p>
    <w:p>
      <w:pPr>
        <w:pStyle w:val="BodyText"/>
        <w:ind w:left="0"/>
        <w:rPr>
          <w:b/>
          <w:sz w:val="26"/>
        </w:rPr>
      </w:pPr>
    </w:p>
    <w:p>
      <w:pPr>
        <w:pStyle w:val="BodyText"/>
        <w:ind w:left="0"/>
        <w:rPr>
          <w:b/>
          <w:sz w:val="26"/>
        </w:rPr>
      </w:pPr>
    </w:p>
    <w:p>
      <w:pPr>
        <w:pStyle w:val="Heading3"/>
        <w:numPr>
          <w:ilvl w:val="2"/>
          <w:numId w:val="7"/>
        </w:numPr>
        <w:tabs>
          <w:tab w:pos="2162" w:val="left" w:leader="none"/>
        </w:tabs>
        <w:spacing w:line="240" w:lineRule="auto" w:before="153" w:after="0"/>
        <w:ind w:left="2161" w:right="0" w:hanging="541"/>
        <w:jc w:val="both"/>
        <w:rPr>
          <w:u w:val="single"/>
        </w:rPr>
      </w:pPr>
      <w:bookmarkStart w:name="3.5.4 ДЛП и ОКС/чрескожные коронарные вм" w:id="73"/>
      <w:bookmarkEnd w:id="73"/>
      <w:r>
        <w:rPr>
          <w:b w:val="0"/>
        </w:rPr>
      </w:r>
      <w:bookmarkStart w:name="_bookmark36" w:id="74"/>
      <w:bookmarkEnd w:id="74"/>
      <w:r>
        <w:rPr>
          <w:u w:val="single"/>
        </w:rPr>
        <w:t>Д</w:t>
      </w:r>
      <w:r>
        <w:rPr>
          <w:u w:val="single"/>
        </w:rPr>
        <w:t>ЛП</w:t>
      </w:r>
      <w:r>
        <w:rPr>
          <w:spacing w:val="-3"/>
          <w:u w:val="single"/>
        </w:rPr>
        <w:t> </w:t>
      </w:r>
      <w:r>
        <w:rPr>
          <w:u w:val="single"/>
        </w:rPr>
        <w:t>и</w:t>
      </w:r>
      <w:r>
        <w:rPr>
          <w:spacing w:val="-3"/>
          <w:u w:val="single"/>
        </w:rPr>
        <w:t> </w:t>
      </w:r>
      <w:r>
        <w:rPr>
          <w:u w:val="single"/>
        </w:rPr>
        <w:t>ОКС/чрескожные</w:t>
      </w:r>
      <w:r>
        <w:rPr>
          <w:spacing w:val="-3"/>
          <w:u w:val="single"/>
        </w:rPr>
        <w:t> </w:t>
      </w:r>
      <w:r>
        <w:rPr>
          <w:u w:val="single"/>
        </w:rPr>
        <w:t>коронарные</w:t>
      </w:r>
      <w:r>
        <w:rPr>
          <w:spacing w:val="-3"/>
          <w:u w:val="single"/>
        </w:rPr>
        <w:t> </w:t>
      </w:r>
      <w:r>
        <w:rPr>
          <w:spacing w:val="-2"/>
          <w:u w:val="single"/>
        </w:rPr>
        <w:t>вмешательства</w:t>
      </w:r>
    </w:p>
    <w:p>
      <w:pPr>
        <w:pStyle w:val="ListParagraph"/>
        <w:numPr>
          <w:ilvl w:val="3"/>
          <w:numId w:val="7"/>
        </w:numPr>
        <w:tabs>
          <w:tab w:pos="1970" w:val="left" w:leader="none"/>
        </w:tabs>
        <w:spacing w:line="357" w:lineRule="auto" w:before="139" w:after="0"/>
        <w:ind w:left="1969" w:right="567" w:hanging="360"/>
        <w:jc w:val="both"/>
        <w:rPr>
          <w:sz w:val="24"/>
        </w:rPr>
      </w:pPr>
      <w:r>
        <w:rPr>
          <w:sz w:val="24"/>
        </w:rPr>
        <w:t>У всех пациентов с ОКС при отсутствии противопоказаний или установленной непереносимости рекомендовано начать или продолжить терапию статином в высоких дозах как можно раньше, вне зависимости от исходных значений ХС ЛНП [</w:t>
      </w:r>
      <w:hyperlink w:history="true" w:anchor="_bookmark146">
        <w:r>
          <w:rPr>
            <w:sz w:val="24"/>
          </w:rPr>
          <w:t>101,</w:t>
        </w:r>
      </w:hyperlink>
      <w:r>
        <w:rPr>
          <w:sz w:val="24"/>
        </w:rPr>
        <w:t> </w:t>
      </w:r>
      <w:hyperlink w:history="true" w:anchor="_bookmark147">
        <w:r>
          <w:rPr>
            <w:sz w:val="24"/>
          </w:rPr>
          <w:t>102,</w:t>
        </w:r>
      </w:hyperlink>
      <w:r>
        <w:rPr>
          <w:sz w:val="24"/>
        </w:rPr>
        <w:t> </w:t>
      </w:r>
      <w:hyperlink w:history="true" w:anchor="_bookmark148">
        <w:r>
          <w:rPr>
            <w:sz w:val="24"/>
          </w:rPr>
          <w:t>103</w:t>
        </w:r>
      </w:hyperlink>
      <w:r>
        <w:rPr>
          <w:sz w:val="24"/>
        </w:rPr>
        <w:t>].</w:t>
      </w:r>
    </w:p>
    <w:p>
      <w:pPr>
        <w:pStyle w:val="Heading2"/>
        <w:spacing w:line="275" w:lineRule="exact"/>
      </w:pPr>
      <w:r>
        <w:rPr/>
        <w:t>ЕОК/ЕОА</w:t>
      </w:r>
      <w:r>
        <w:rPr>
          <w:spacing w:val="-3"/>
        </w:rPr>
        <w:t> </w:t>
      </w:r>
      <w:r>
        <w:rPr/>
        <w:t>IА</w:t>
      </w:r>
      <w:r>
        <w:rPr>
          <w:spacing w:val="-2"/>
        </w:rPr>
        <w:t> </w:t>
      </w:r>
      <w:r>
        <w:rPr/>
        <w:t>(УУР</w:t>
      </w:r>
      <w:r>
        <w:rPr>
          <w:spacing w:val="-2"/>
        </w:rPr>
        <w:t> </w:t>
      </w:r>
      <w:r>
        <w:rPr/>
        <w:t>А,</w:t>
      </w:r>
      <w:r>
        <w:rPr>
          <w:spacing w:val="1"/>
        </w:rPr>
        <w:t> </w:t>
      </w:r>
      <w:r>
        <w:rPr/>
        <w:t>УДД</w:t>
      </w:r>
      <w:r>
        <w:rPr>
          <w:spacing w:val="-1"/>
        </w:rPr>
        <w:t> </w:t>
      </w:r>
      <w:r>
        <w:rPr>
          <w:spacing w:val="-5"/>
        </w:rPr>
        <w:t>2)</w:t>
      </w:r>
    </w:p>
    <w:p>
      <w:pPr>
        <w:pStyle w:val="ListParagraph"/>
        <w:numPr>
          <w:ilvl w:val="3"/>
          <w:numId w:val="7"/>
        </w:numPr>
        <w:tabs>
          <w:tab w:pos="1982" w:val="left" w:leader="none"/>
        </w:tabs>
        <w:spacing w:line="357" w:lineRule="auto" w:before="141" w:after="0"/>
        <w:ind w:left="1981" w:right="566" w:hanging="360"/>
        <w:jc w:val="both"/>
        <w:rPr>
          <w:sz w:val="24"/>
        </w:rPr>
      </w:pPr>
      <w:r>
        <w:rPr>
          <w:sz w:val="24"/>
        </w:rPr>
        <w:t>Всем пациентам через 4–6 недель после ОКС рекомендовано оценить достижение целевых показателей ХС ЛНП (снижение на 50% от исходного и &lt;1,4 ммоль/л), безопасность терапии статином и, при необходимости, скорректировать дозы препаратов [</w:t>
      </w:r>
      <w:hyperlink w:history="true" w:anchor="_bookmark54">
        <w:r>
          <w:rPr>
            <w:sz w:val="24"/>
          </w:rPr>
          <w:t>8,</w:t>
        </w:r>
      </w:hyperlink>
      <w:r>
        <w:rPr>
          <w:sz w:val="24"/>
        </w:rPr>
        <w:t> </w:t>
      </w:r>
      <w:hyperlink w:history="true" w:anchor="_bookmark95">
        <w:r>
          <w:rPr>
            <w:sz w:val="24"/>
          </w:rPr>
          <w:t>50,</w:t>
        </w:r>
      </w:hyperlink>
      <w:r>
        <w:rPr>
          <w:sz w:val="24"/>
        </w:rPr>
        <w:t> </w:t>
      </w:r>
      <w:hyperlink w:history="true" w:anchor="_bookmark146">
        <w:r>
          <w:rPr>
            <w:sz w:val="24"/>
          </w:rPr>
          <w:t>101,</w:t>
        </w:r>
      </w:hyperlink>
      <w:r>
        <w:rPr>
          <w:sz w:val="24"/>
        </w:rPr>
        <w:t> </w:t>
      </w:r>
      <w:hyperlink w:history="true" w:anchor="_bookmark147">
        <w:r>
          <w:rPr>
            <w:sz w:val="24"/>
          </w:rPr>
          <w:t>102,</w:t>
        </w:r>
      </w:hyperlink>
      <w:r>
        <w:rPr>
          <w:sz w:val="24"/>
        </w:rPr>
        <w:t> </w:t>
      </w:r>
      <w:hyperlink w:history="true" w:anchor="_bookmark210">
        <w:r>
          <w:rPr>
            <w:sz w:val="24"/>
          </w:rPr>
          <w:t>169</w:t>
        </w:r>
      </w:hyperlink>
      <w:r>
        <w:rPr>
          <w:sz w:val="24"/>
        </w:rPr>
        <w:t>].</w:t>
      </w:r>
    </w:p>
    <w:p>
      <w:pPr>
        <w:pStyle w:val="Heading3"/>
        <w:spacing w:line="275" w:lineRule="exact"/>
      </w:pPr>
      <w:r>
        <w:rPr/>
        <w:t>ЕОК/ЕОА</w:t>
      </w:r>
      <w:r>
        <w:rPr>
          <w:spacing w:val="-3"/>
        </w:rPr>
        <w:t> </w:t>
      </w:r>
      <w:r>
        <w:rPr/>
        <w:t>IIaC</w:t>
      </w:r>
      <w:r>
        <w:rPr>
          <w:spacing w:val="-2"/>
        </w:rPr>
        <w:t> </w:t>
      </w:r>
      <w:r>
        <w:rPr/>
        <w:t>(УУР</w:t>
      </w:r>
      <w:r>
        <w:rPr>
          <w:spacing w:val="1"/>
        </w:rPr>
        <w:t> </w:t>
      </w:r>
      <w:r>
        <w:rPr/>
        <w:t>А,</w:t>
      </w:r>
      <w:r>
        <w:rPr>
          <w:spacing w:val="-1"/>
        </w:rPr>
        <w:t> </w:t>
      </w:r>
      <w:r>
        <w:rPr/>
        <w:t>УДД</w:t>
      </w:r>
      <w:r>
        <w:rPr>
          <w:spacing w:val="-1"/>
        </w:rPr>
        <w:t> </w:t>
      </w:r>
      <w:r>
        <w:rPr>
          <w:spacing w:val="-5"/>
        </w:rPr>
        <w:t>1)</w:t>
      </w:r>
    </w:p>
    <w:p>
      <w:pPr>
        <w:pStyle w:val="ListParagraph"/>
        <w:numPr>
          <w:ilvl w:val="3"/>
          <w:numId w:val="7"/>
        </w:numPr>
        <w:tabs>
          <w:tab w:pos="1982" w:val="left" w:leader="none"/>
        </w:tabs>
        <w:spacing w:line="357" w:lineRule="auto" w:before="202" w:after="0"/>
        <w:ind w:left="1981" w:right="566" w:hanging="360"/>
        <w:jc w:val="both"/>
        <w:rPr>
          <w:sz w:val="24"/>
        </w:rPr>
      </w:pPr>
      <w:r>
        <w:rPr>
          <w:sz w:val="24"/>
        </w:rPr>
        <w:t>Пациентам, через 4–6 недель после ОКС не достигшим целевых уровней ХС ЛНП на фоне максимально переносимых доз статином, рекомендована комбинация статина с эзетимибом [</w:t>
      </w:r>
      <w:hyperlink w:history="true" w:anchor="_bookmark83">
        <w:r>
          <w:rPr>
            <w:sz w:val="24"/>
          </w:rPr>
          <w:t>38</w:t>
        </w:r>
      </w:hyperlink>
      <w:r>
        <w:rPr>
          <w:sz w:val="24"/>
        </w:rPr>
        <w:t>]</w:t>
      </w:r>
      <w:r>
        <w:rPr>
          <w:i/>
          <w:sz w:val="24"/>
        </w:rPr>
        <w:t>, </w:t>
      </w:r>
      <w:r>
        <w:rPr>
          <w:sz w:val="24"/>
        </w:rPr>
        <w:t>в том числе статин с эзетимибом в одной таблетке или капсуле (зарегистрированы розувастатин+эзетимиб и аторвастатин+эзетимиб).</w:t>
      </w:r>
    </w:p>
    <w:p>
      <w:pPr>
        <w:pStyle w:val="Heading2"/>
        <w:spacing w:line="275" w:lineRule="exact"/>
      </w:pPr>
      <w:r>
        <w:rPr/>
        <w:t>ЕОК/ЕОА</w:t>
      </w:r>
      <w:r>
        <w:rPr>
          <w:spacing w:val="-3"/>
        </w:rPr>
        <w:t> </w:t>
      </w:r>
      <w:r>
        <w:rPr/>
        <w:t>IА</w:t>
      </w:r>
      <w:r>
        <w:rPr>
          <w:spacing w:val="-2"/>
        </w:rPr>
        <w:t> </w:t>
      </w:r>
      <w:r>
        <w:rPr/>
        <w:t>(УУР</w:t>
      </w:r>
      <w:r>
        <w:rPr>
          <w:spacing w:val="-2"/>
        </w:rPr>
        <w:t> </w:t>
      </w:r>
      <w:r>
        <w:rPr/>
        <w:t>А,</w:t>
      </w:r>
      <w:r>
        <w:rPr>
          <w:spacing w:val="1"/>
        </w:rPr>
        <w:t> </w:t>
      </w:r>
      <w:r>
        <w:rPr/>
        <w:t>УДД</w:t>
      </w:r>
      <w:r>
        <w:rPr>
          <w:spacing w:val="-1"/>
        </w:rPr>
        <w:t> </w:t>
      </w:r>
      <w:r>
        <w:rPr>
          <w:spacing w:val="-5"/>
        </w:rPr>
        <w:t>2)</w:t>
      </w:r>
    </w:p>
    <w:p>
      <w:pPr>
        <w:pStyle w:val="BodyText"/>
        <w:spacing w:before="1"/>
        <w:ind w:left="0"/>
        <w:rPr>
          <w:b/>
          <w:sz w:val="33"/>
        </w:rPr>
      </w:pPr>
    </w:p>
    <w:p>
      <w:pPr>
        <w:pStyle w:val="ListParagraph"/>
        <w:numPr>
          <w:ilvl w:val="3"/>
          <w:numId w:val="7"/>
        </w:numPr>
        <w:tabs>
          <w:tab w:pos="1982" w:val="left" w:leader="none"/>
        </w:tabs>
        <w:spacing w:line="350" w:lineRule="auto" w:before="0" w:after="0"/>
        <w:ind w:left="1981" w:right="566" w:hanging="360"/>
        <w:jc w:val="both"/>
        <w:rPr>
          <w:sz w:val="24"/>
        </w:rPr>
      </w:pPr>
      <w:r>
        <w:rPr>
          <w:sz w:val="24"/>
        </w:rPr>
        <w:t>Пациентам после ОКС при недостижении целевых уровней ХС ЛНП через 4–6 недель</w:t>
      </w:r>
      <w:r>
        <w:rPr>
          <w:spacing w:val="80"/>
          <w:sz w:val="24"/>
        </w:rPr>
        <w:t> </w:t>
      </w:r>
      <w:r>
        <w:rPr>
          <w:sz w:val="24"/>
        </w:rPr>
        <w:t>на</w:t>
      </w:r>
      <w:r>
        <w:rPr>
          <w:spacing w:val="80"/>
          <w:sz w:val="24"/>
        </w:rPr>
        <w:t> </w:t>
      </w:r>
      <w:r>
        <w:rPr>
          <w:sz w:val="24"/>
        </w:rPr>
        <w:t>фоне</w:t>
      </w:r>
      <w:r>
        <w:rPr>
          <w:spacing w:val="80"/>
          <w:sz w:val="24"/>
        </w:rPr>
        <w:t> </w:t>
      </w:r>
      <w:r>
        <w:rPr>
          <w:sz w:val="24"/>
        </w:rPr>
        <w:t>максимально</w:t>
      </w:r>
      <w:r>
        <w:rPr>
          <w:spacing w:val="80"/>
          <w:sz w:val="24"/>
        </w:rPr>
        <w:t> </w:t>
      </w:r>
      <w:r>
        <w:rPr>
          <w:sz w:val="24"/>
        </w:rPr>
        <w:t>переносимых</w:t>
      </w:r>
      <w:r>
        <w:rPr>
          <w:spacing w:val="80"/>
          <w:sz w:val="24"/>
        </w:rPr>
        <w:t> </w:t>
      </w:r>
      <w:r>
        <w:rPr>
          <w:sz w:val="24"/>
        </w:rPr>
        <w:t>доз</w:t>
      </w:r>
      <w:r>
        <w:rPr>
          <w:spacing w:val="80"/>
          <w:sz w:val="24"/>
        </w:rPr>
        <w:t> </w:t>
      </w:r>
      <w:r>
        <w:rPr>
          <w:sz w:val="24"/>
        </w:rPr>
        <w:t>статином</w:t>
      </w:r>
      <w:r>
        <w:rPr>
          <w:spacing w:val="80"/>
          <w:sz w:val="24"/>
        </w:rPr>
        <w:t> </w:t>
      </w:r>
      <w:r>
        <w:rPr>
          <w:sz w:val="24"/>
        </w:rPr>
        <w:t>с</w:t>
      </w:r>
      <w:r>
        <w:rPr>
          <w:spacing w:val="80"/>
          <w:sz w:val="24"/>
        </w:rPr>
        <w:t> </w:t>
      </w:r>
      <w:r>
        <w:rPr>
          <w:sz w:val="24"/>
        </w:rPr>
        <w:t>и</w:t>
      </w:r>
      <w:r>
        <w:rPr>
          <w:spacing w:val="80"/>
          <w:sz w:val="24"/>
        </w:rPr>
        <w:t> </w:t>
      </w:r>
      <w:r>
        <w:rPr>
          <w:sz w:val="24"/>
        </w:rPr>
        <w:t>без</w:t>
      </w:r>
      <w:r>
        <w:rPr>
          <w:spacing w:val="80"/>
          <w:sz w:val="24"/>
        </w:rPr>
        <w:t> </w:t>
      </w:r>
      <w:r>
        <w:rPr>
          <w:sz w:val="24"/>
        </w:rPr>
        <w:t>эзетимиба</w:t>
      </w:r>
    </w:p>
    <w:p>
      <w:pPr>
        <w:spacing w:after="0" w:line="350" w:lineRule="auto"/>
        <w:jc w:val="both"/>
        <w:rPr>
          <w:sz w:val="24"/>
        </w:rPr>
        <w:sectPr>
          <w:pgSz w:w="11910" w:h="16840"/>
          <w:pgMar w:header="0" w:footer="710" w:top="1040" w:bottom="900" w:left="440" w:right="280"/>
        </w:sectPr>
      </w:pPr>
    </w:p>
    <w:p>
      <w:pPr>
        <w:pStyle w:val="BodyText"/>
        <w:spacing w:before="73"/>
      </w:pPr>
      <w:r>
        <w:rPr/>
        <w:t>рекомендовано</w:t>
      </w:r>
      <w:r>
        <w:rPr>
          <w:spacing w:val="60"/>
        </w:rPr>
        <w:t> </w:t>
      </w:r>
      <w:r>
        <w:rPr/>
        <w:t>присоединение</w:t>
      </w:r>
      <w:r>
        <w:rPr>
          <w:spacing w:val="62"/>
        </w:rPr>
        <w:t> </w:t>
      </w:r>
      <w:r>
        <w:rPr/>
        <w:t>алирокумаба**</w:t>
      </w:r>
      <w:r>
        <w:rPr>
          <w:spacing w:val="63"/>
        </w:rPr>
        <w:t> </w:t>
      </w:r>
      <w:r>
        <w:rPr/>
        <w:t>или</w:t>
      </w:r>
      <w:r>
        <w:rPr>
          <w:spacing w:val="64"/>
        </w:rPr>
        <w:t> </w:t>
      </w:r>
      <w:r>
        <w:rPr/>
        <w:t>эволокумаба**</w:t>
      </w:r>
      <w:r>
        <w:rPr>
          <w:spacing w:val="66"/>
        </w:rPr>
        <w:t> </w:t>
      </w:r>
      <w:r>
        <w:rPr/>
        <w:t>[</w:t>
      </w:r>
      <w:hyperlink w:history="true" w:anchor="_bookmark85">
        <w:r>
          <w:rPr/>
          <w:t>40,</w:t>
        </w:r>
      </w:hyperlink>
      <w:r>
        <w:rPr>
          <w:spacing w:val="62"/>
        </w:rPr>
        <w:t> </w:t>
      </w:r>
      <w:hyperlink w:history="true" w:anchor="_bookmark86">
        <w:r>
          <w:rPr/>
          <w:t>41,</w:t>
        </w:r>
      </w:hyperlink>
      <w:r>
        <w:rPr>
          <w:spacing w:val="63"/>
        </w:rPr>
        <w:t> </w:t>
      </w:r>
      <w:hyperlink w:history="true" w:anchor="_bookmark282">
        <w:r>
          <w:rPr>
            <w:spacing w:val="-4"/>
          </w:rPr>
          <w:t>241</w:t>
        </w:r>
      </w:hyperlink>
      <w:r>
        <w:rPr>
          <w:spacing w:val="-4"/>
        </w:rPr>
        <w:t>–</w:t>
      </w:r>
    </w:p>
    <w:p>
      <w:pPr>
        <w:pStyle w:val="BodyText"/>
        <w:spacing w:before="139"/>
      </w:pPr>
      <w:hyperlink w:history="true" w:anchor="_bookmark283">
        <w:r>
          <w:rPr>
            <w:spacing w:val="-4"/>
          </w:rPr>
          <w:t>243</w:t>
        </w:r>
      </w:hyperlink>
      <w:r>
        <w:rPr>
          <w:spacing w:val="-4"/>
        </w:rPr>
        <w:t>].</w:t>
      </w:r>
    </w:p>
    <w:p>
      <w:pPr>
        <w:pStyle w:val="Heading2"/>
        <w:spacing w:before="137"/>
      </w:pPr>
      <w:r>
        <w:rPr/>
        <w:t>ЕОК/ЕОА</w:t>
      </w:r>
      <w:r>
        <w:rPr>
          <w:spacing w:val="-3"/>
        </w:rPr>
        <w:t> </w:t>
      </w:r>
      <w:r>
        <w:rPr/>
        <w:t>IВ</w:t>
      </w:r>
      <w:r>
        <w:rPr>
          <w:spacing w:val="-1"/>
        </w:rPr>
        <w:t> </w:t>
      </w:r>
      <w:r>
        <w:rPr/>
        <w:t>(УУР</w:t>
      </w:r>
      <w:r>
        <w:rPr>
          <w:spacing w:val="-2"/>
        </w:rPr>
        <w:t> </w:t>
      </w:r>
      <w:r>
        <w:rPr/>
        <w:t>А,</w:t>
      </w:r>
      <w:r>
        <w:rPr>
          <w:spacing w:val="1"/>
        </w:rPr>
        <w:t> </w:t>
      </w:r>
      <w:r>
        <w:rPr/>
        <w:t>УДД</w:t>
      </w:r>
      <w:r>
        <w:rPr>
          <w:spacing w:val="-1"/>
        </w:rPr>
        <w:t> </w:t>
      </w:r>
      <w:r>
        <w:rPr>
          <w:spacing w:val="-5"/>
        </w:rPr>
        <w:t>2)</w:t>
      </w:r>
    </w:p>
    <w:p>
      <w:pPr>
        <w:pStyle w:val="BodyText"/>
        <w:spacing w:before="2"/>
        <w:ind w:left="0"/>
        <w:rPr>
          <w:b/>
          <w:sz w:val="33"/>
        </w:rPr>
      </w:pPr>
    </w:p>
    <w:p>
      <w:pPr>
        <w:pStyle w:val="ListParagraph"/>
        <w:numPr>
          <w:ilvl w:val="3"/>
          <w:numId w:val="7"/>
        </w:numPr>
        <w:tabs>
          <w:tab w:pos="1982" w:val="left" w:leader="none"/>
        </w:tabs>
        <w:spacing w:line="350" w:lineRule="auto" w:before="0" w:after="0"/>
        <w:ind w:left="1981" w:right="568" w:hanging="360"/>
        <w:jc w:val="both"/>
        <w:rPr>
          <w:sz w:val="24"/>
        </w:rPr>
      </w:pPr>
      <w:r>
        <w:rPr>
          <w:sz w:val="24"/>
        </w:rPr>
        <w:t>Пациентам с противопоказаниями к терапии статином или подтвержденной непереносимостью статинов рекомендована терапия эзетимибом [</w:t>
      </w:r>
      <w:hyperlink w:history="true" w:anchor="_bookmark116">
        <w:r>
          <w:rPr>
            <w:sz w:val="24"/>
          </w:rPr>
          <w:t>71</w:t>
        </w:r>
      </w:hyperlink>
      <w:r>
        <w:rPr>
          <w:sz w:val="24"/>
        </w:rPr>
        <w:t>, </w:t>
      </w:r>
      <w:hyperlink w:history="true" w:anchor="_bookmark117">
        <w:r>
          <w:rPr>
            <w:sz w:val="24"/>
          </w:rPr>
          <w:t>72</w:t>
        </w:r>
      </w:hyperlink>
      <w:r>
        <w:rPr>
          <w:sz w:val="24"/>
        </w:rPr>
        <w:t>].</w:t>
      </w:r>
    </w:p>
    <w:p>
      <w:pPr>
        <w:pStyle w:val="Heading3"/>
        <w:spacing w:before="11"/>
      </w:pPr>
      <w:r>
        <w:rPr/>
        <w:t>ЕОК/ЕОА</w:t>
      </w:r>
      <w:r>
        <w:rPr>
          <w:spacing w:val="-3"/>
        </w:rPr>
        <w:t> </w:t>
      </w:r>
      <w:r>
        <w:rPr/>
        <w:t>IIaC</w:t>
      </w:r>
      <w:r>
        <w:rPr>
          <w:spacing w:val="-2"/>
        </w:rPr>
        <w:t> </w:t>
      </w:r>
      <w:r>
        <w:rPr/>
        <w:t>(УУР А,</w:t>
      </w:r>
      <w:r>
        <w:rPr>
          <w:spacing w:val="-1"/>
        </w:rPr>
        <w:t> </w:t>
      </w:r>
      <w:r>
        <w:rPr/>
        <w:t>УДД</w:t>
      </w:r>
      <w:r>
        <w:rPr>
          <w:spacing w:val="-1"/>
        </w:rPr>
        <w:t> </w:t>
      </w:r>
      <w:r>
        <w:rPr>
          <w:spacing w:val="-5"/>
        </w:rPr>
        <w:t>2)</w:t>
      </w:r>
    </w:p>
    <w:p>
      <w:pPr>
        <w:pStyle w:val="BodyText"/>
        <w:spacing w:before="6"/>
        <w:ind w:left="0"/>
        <w:rPr>
          <w:b/>
          <w:sz w:val="29"/>
        </w:rPr>
      </w:pPr>
    </w:p>
    <w:p>
      <w:pPr>
        <w:pStyle w:val="ListParagraph"/>
        <w:numPr>
          <w:ilvl w:val="3"/>
          <w:numId w:val="7"/>
        </w:numPr>
        <w:tabs>
          <w:tab w:pos="1982" w:val="left" w:leader="none"/>
        </w:tabs>
        <w:spacing w:line="357" w:lineRule="auto" w:before="1" w:after="0"/>
        <w:ind w:left="1981" w:right="568" w:hanging="360"/>
        <w:jc w:val="both"/>
        <w:rPr>
          <w:sz w:val="24"/>
        </w:rPr>
      </w:pPr>
      <w:r>
        <w:rPr>
          <w:sz w:val="24"/>
        </w:rPr>
        <w:t>У пациентов с ОКС, которые при поступлении имеют уровень ХС ЛНП выше целевого, несмотря на терапию максимально переносимыми дозами статина и эзетимибом, рекомендовано раннее назначение (во время госпитализации в связи с коронарным событием) алирокумаба** или эволокумаба** [</w:t>
      </w:r>
      <w:hyperlink w:history="true" w:anchor="_bookmark149">
        <w:r>
          <w:rPr>
            <w:sz w:val="24"/>
          </w:rPr>
          <w:t>104,</w:t>
        </w:r>
      </w:hyperlink>
      <w:r>
        <w:rPr>
          <w:sz w:val="24"/>
        </w:rPr>
        <w:t> </w:t>
      </w:r>
      <w:hyperlink w:history="true" w:anchor="_bookmark150">
        <w:r>
          <w:rPr>
            <w:sz w:val="24"/>
          </w:rPr>
          <w:t>105</w:t>
        </w:r>
      </w:hyperlink>
      <w:r>
        <w:rPr>
          <w:sz w:val="24"/>
        </w:rPr>
        <w:t>].</w:t>
      </w:r>
    </w:p>
    <w:p>
      <w:pPr>
        <w:pStyle w:val="Heading3"/>
        <w:spacing w:line="275" w:lineRule="exact"/>
      </w:pPr>
      <w:r>
        <w:rPr/>
        <w:t>ЕОК/ЕОА</w:t>
      </w:r>
      <w:r>
        <w:rPr>
          <w:spacing w:val="-3"/>
        </w:rPr>
        <w:t> </w:t>
      </w:r>
      <w:r>
        <w:rPr/>
        <w:t>IIaC</w:t>
      </w:r>
      <w:r>
        <w:rPr>
          <w:spacing w:val="-2"/>
        </w:rPr>
        <w:t> </w:t>
      </w:r>
      <w:r>
        <w:rPr/>
        <w:t>(УУР А,</w:t>
      </w:r>
      <w:r>
        <w:rPr>
          <w:spacing w:val="-1"/>
        </w:rPr>
        <w:t> </w:t>
      </w:r>
      <w:r>
        <w:rPr/>
        <w:t>УДД</w:t>
      </w:r>
      <w:r>
        <w:rPr>
          <w:spacing w:val="-1"/>
        </w:rPr>
        <w:t> </w:t>
      </w:r>
      <w:r>
        <w:rPr>
          <w:spacing w:val="-5"/>
        </w:rPr>
        <w:t>2)</w:t>
      </w:r>
    </w:p>
    <w:p>
      <w:pPr>
        <w:pStyle w:val="BodyText"/>
        <w:spacing w:before="4"/>
        <w:ind w:left="0"/>
        <w:rPr>
          <w:b/>
          <w:sz w:val="29"/>
        </w:rPr>
      </w:pPr>
    </w:p>
    <w:p>
      <w:pPr>
        <w:spacing w:line="357" w:lineRule="auto" w:before="1"/>
        <w:ind w:left="1261" w:right="567" w:firstLine="0"/>
        <w:jc w:val="both"/>
        <w:rPr>
          <w:i/>
          <w:sz w:val="24"/>
        </w:rPr>
      </w:pPr>
      <w:r>
        <w:rPr>
          <w:b/>
          <w:sz w:val="24"/>
        </w:rPr>
        <w:t>Комментарий: </w:t>
      </w:r>
      <w:r>
        <w:rPr>
          <w:i/>
          <w:sz w:val="24"/>
        </w:rPr>
        <w:t>если на фоне терапии </w:t>
      </w:r>
      <w:r>
        <w:rPr>
          <w:rFonts w:ascii="Calibri" w:hAnsi="Calibri"/>
          <w:i/>
          <w:sz w:val="22"/>
        </w:rPr>
        <w:t>с</w:t>
      </w:r>
      <w:r>
        <w:rPr>
          <w:i/>
          <w:sz w:val="24"/>
        </w:rPr>
        <w:t>татинами в максимально переносимых дозах уровень ХС ЛНП остается значительно повышенным (&gt; 2,5 ммоль/л), можно рассмотреть блокаторы PCSK9 без предварительного применения эзетимиба.</w:t>
      </w:r>
    </w:p>
    <w:p>
      <w:pPr>
        <w:pStyle w:val="Heading3"/>
        <w:numPr>
          <w:ilvl w:val="2"/>
          <w:numId w:val="7"/>
        </w:numPr>
        <w:tabs>
          <w:tab w:pos="2882" w:val="left" w:leader="none"/>
        </w:tabs>
        <w:spacing w:line="240" w:lineRule="auto" w:before="208" w:after="0"/>
        <w:ind w:left="2881" w:right="0" w:hanging="541"/>
        <w:jc w:val="left"/>
        <w:rPr>
          <w:u w:val="single"/>
        </w:rPr>
      </w:pPr>
      <w:bookmarkStart w:name="3.5.5 ДЛП у пожилых" w:id="75"/>
      <w:bookmarkEnd w:id="75"/>
      <w:r>
        <w:rPr>
          <w:b w:val="0"/>
        </w:rPr>
      </w:r>
      <w:bookmarkStart w:name="_bookmark37" w:id="76"/>
      <w:bookmarkEnd w:id="76"/>
      <w:r>
        <w:rPr>
          <w:u w:val="single"/>
        </w:rPr>
        <w:t>Д</w:t>
      </w:r>
      <w:r>
        <w:rPr>
          <w:u w:val="single"/>
        </w:rPr>
        <w:t>ЛП у</w:t>
      </w:r>
      <w:r>
        <w:rPr>
          <w:spacing w:val="1"/>
          <w:u w:val="single"/>
        </w:rPr>
        <w:t> </w:t>
      </w:r>
      <w:r>
        <w:rPr>
          <w:spacing w:val="-2"/>
          <w:u w:val="single"/>
        </w:rPr>
        <w:t>пожилых</w:t>
      </w:r>
    </w:p>
    <w:p>
      <w:pPr>
        <w:pStyle w:val="BodyText"/>
        <w:spacing w:before="3"/>
        <w:ind w:left="0"/>
        <w:rPr>
          <w:b/>
        </w:rPr>
      </w:pPr>
    </w:p>
    <w:p>
      <w:pPr>
        <w:pStyle w:val="ListParagraph"/>
        <w:numPr>
          <w:ilvl w:val="3"/>
          <w:numId w:val="7"/>
        </w:numPr>
        <w:tabs>
          <w:tab w:pos="1982" w:val="left" w:leader="none"/>
        </w:tabs>
        <w:spacing w:line="350" w:lineRule="auto" w:before="100" w:after="0"/>
        <w:ind w:left="1981" w:right="569" w:hanging="360"/>
        <w:jc w:val="both"/>
        <w:rPr>
          <w:sz w:val="24"/>
        </w:rPr>
      </w:pPr>
      <w:r>
        <w:rPr>
          <w:sz w:val="24"/>
        </w:rPr>
        <w:t>У пожилых лиц с АССЗ рекомендована терапия статином так же, как и у более молодых пациентов [</w:t>
      </w:r>
      <w:hyperlink w:history="true" w:anchor="_bookmark151">
        <w:r>
          <w:rPr>
            <w:sz w:val="24"/>
          </w:rPr>
          <w:t>106</w:t>
        </w:r>
      </w:hyperlink>
      <w:r>
        <w:rPr>
          <w:sz w:val="24"/>
        </w:rPr>
        <w:t>].</w:t>
      </w:r>
    </w:p>
    <w:p>
      <w:pPr>
        <w:pStyle w:val="Heading2"/>
        <w:spacing w:before="11"/>
      </w:pPr>
      <w:r>
        <w:rPr/>
        <w:t>ЕОК/ЕОА</w:t>
      </w:r>
      <w:r>
        <w:rPr>
          <w:spacing w:val="-3"/>
        </w:rPr>
        <w:t> </w:t>
      </w:r>
      <w:r>
        <w:rPr/>
        <w:t>IА</w:t>
      </w:r>
      <w:r>
        <w:rPr>
          <w:spacing w:val="-2"/>
        </w:rPr>
        <w:t> </w:t>
      </w:r>
      <w:r>
        <w:rPr/>
        <w:t>(УУР</w:t>
      </w:r>
      <w:r>
        <w:rPr>
          <w:spacing w:val="-2"/>
        </w:rPr>
        <w:t> </w:t>
      </w:r>
      <w:r>
        <w:rPr/>
        <w:t>А,</w:t>
      </w:r>
      <w:r>
        <w:rPr>
          <w:spacing w:val="1"/>
        </w:rPr>
        <w:t> </w:t>
      </w:r>
      <w:r>
        <w:rPr/>
        <w:t>УДД</w:t>
      </w:r>
      <w:r>
        <w:rPr>
          <w:spacing w:val="-1"/>
        </w:rPr>
        <w:t> </w:t>
      </w:r>
      <w:r>
        <w:rPr>
          <w:spacing w:val="-5"/>
        </w:rPr>
        <w:t>1)</w:t>
      </w:r>
    </w:p>
    <w:p>
      <w:pPr>
        <w:pStyle w:val="BodyText"/>
        <w:spacing w:before="1"/>
        <w:ind w:left="0"/>
        <w:rPr>
          <w:b/>
          <w:sz w:val="33"/>
        </w:rPr>
      </w:pPr>
    </w:p>
    <w:p>
      <w:pPr>
        <w:pStyle w:val="ListParagraph"/>
        <w:numPr>
          <w:ilvl w:val="3"/>
          <w:numId w:val="7"/>
        </w:numPr>
        <w:tabs>
          <w:tab w:pos="1982" w:val="left" w:leader="none"/>
        </w:tabs>
        <w:spacing w:line="348" w:lineRule="auto" w:before="1" w:after="0"/>
        <w:ind w:left="1981" w:right="568" w:hanging="360"/>
        <w:jc w:val="both"/>
        <w:rPr>
          <w:sz w:val="24"/>
        </w:rPr>
      </w:pPr>
      <w:r>
        <w:rPr>
          <w:sz w:val="24"/>
        </w:rPr>
        <w:t>У пожилых лиц при наличии высокого и очень высокого риска для первичной профилактики рекомендована терапия статином [</w:t>
      </w:r>
      <w:hyperlink w:history="true" w:anchor="_bookmark151">
        <w:r>
          <w:rPr>
            <w:sz w:val="24"/>
          </w:rPr>
          <w:t>106</w:t>
        </w:r>
      </w:hyperlink>
      <w:r>
        <w:rPr>
          <w:sz w:val="24"/>
        </w:rPr>
        <w:t>].</w:t>
      </w:r>
    </w:p>
    <w:p>
      <w:pPr>
        <w:pStyle w:val="Heading2"/>
        <w:spacing w:before="16"/>
      </w:pPr>
      <w:r>
        <w:rPr/>
        <w:t>ЕОК/ЕОА</w:t>
      </w:r>
      <w:r>
        <w:rPr>
          <w:spacing w:val="-3"/>
        </w:rPr>
        <w:t> </w:t>
      </w:r>
      <w:r>
        <w:rPr/>
        <w:t>IА</w:t>
      </w:r>
      <w:r>
        <w:rPr>
          <w:spacing w:val="-2"/>
        </w:rPr>
        <w:t> </w:t>
      </w:r>
      <w:r>
        <w:rPr/>
        <w:t>(УУР</w:t>
      </w:r>
      <w:r>
        <w:rPr>
          <w:spacing w:val="-2"/>
        </w:rPr>
        <w:t> </w:t>
      </w:r>
      <w:r>
        <w:rPr/>
        <w:t>А,</w:t>
      </w:r>
      <w:r>
        <w:rPr>
          <w:spacing w:val="1"/>
        </w:rPr>
        <w:t> </w:t>
      </w:r>
      <w:r>
        <w:rPr/>
        <w:t>УДД</w:t>
      </w:r>
      <w:r>
        <w:rPr>
          <w:spacing w:val="-1"/>
        </w:rPr>
        <w:t> </w:t>
      </w:r>
      <w:r>
        <w:rPr>
          <w:spacing w:val="-5"/>
        </w:rPr>
        <w:t>1)</w:t>
      </w:r>
    </w:p>
    <w:p>
      <w:pPr>
        <w:pStyle w:val="BodyText"/>
        <w:spacing w:before="10"/>
        <w:ind w:left="0"/>
        <w:rPr>
          <w:b/>
          <w:sz w:val="32"/>
        </w:rPr>
      </w:pPr>
    </w:p>
    <w:p>
      <w:pPr>
        <w:pStyle w:val="ListParagraph"/>
        <w:numPr>
          <w:ilvl w:val="3"/>
          <w:numId w:val="7"/>
        </w:numPr>
        <w:tabs>
          <w:tab w:pos="1982" w:val="left" w:leader="none"/>
        </w:tabs>
        <w:spacing w:line="350" w:lineRule="auto" w:before="1" w:after="0"/>
        <w:ind w:left="1981" w:right="569" w:hanging="360"/>
        <w:jc w:val="both"/>
        <w:rPr>
          <w:sz w:val="24"/>
        </w:rPr>
      </w:pPr>
      <w:r>
        <w:rPr>
          <w:sz w:val="24"/>
        </w:rPr>
        <w:t>Пациентам старше 75 лет при наличии высокого и очень высокого риска для первичной профилактики рекомендована терапия статином [</w:t>
      </w:r>
      <w:hyperlink w:history="true" w:anchor="_bookmark151">
        <w:r>
          <w:rPr>
            <w:sz w:val="24"/>
          </w:rPr>
          <w:t>106</w:t>
        </w:r>
      </w:hyperlink>
      <w:r>
        <w:rPr>
          <w:sz w:val="24"/>
        </w:rPr>
        <w:t>].</w:t>
      </w:r>
    </w:p>
    <w:p>
      <w:pPr>
        <w:pStyle w:val="Heading3"/>
        <w:spacing w:before="13"/>
      </w:pPr>
      <w:r>
        <w:rPr/>
        <w:t>ЕОК/ЕОА</w:t>
      </w:r>
      <w:r>
        <w:rPr>
          <w:spacing w:val="-3"/>
        </w:rPr>
        <w:t> </w:t>
      </w:r>
      <w:r>
        <w:rPr/>
        <w:t>IIbВ</w:t>
      </w:r>
      <w:r>
        <w:rPr>
          <w:spacing w:val="-1"/>
        </w:rPr>
        <w:t> </w:t>
      </w:r>
      <w:r>
        <w:rPr/>
        <w:t>(УУР</w:t>
      </w:r>
      <w:r>
        <w:rPr>
          <w:spacing w:val="-2"/>
        </w:rPr>
        <w:t> </w:t>
      </w:r>
      <w:r>
        <w:rPr/>
        <w:t>А,</w:t>
      </w:r>
      <w:r>
        <w:rPr>
          <w:spacing w:val="-1"/>
        </w:rPr>
        <w:t> </w:t>
      </w:r>
      <w:r>
        <w:rPr/>
        <w:t>УДД</w:t>
      </w:r>
      <w:r>
        <w:rPr>
          <w:spacing w:val="-1"/>
        </w:rPr>
        <w:t> </w:t>
      </w:r>
      <w:r>
        <w:rPr>
          <w:spacing w:val="-5"/>
        </w:rPr>
        <w:t>1)</w:t>
      </w:r>
    </w:p>
    <w:p>
      <w:pPr>
        <w:pStyle w:val="BodyText"/>
        <w:spacing w:before="10"/>
        <w:ind w:left="0"/>
        <w:rPr>
          <w:b/>
          <w:sz w:val="32"/>
        </w:rPr>
      </w:pPr>
    </w:p>
    <w:p>
      <w:pPr>
        <w:pStyle w:val="ListParagraph"/>
        <w:numPr>
          <w:ilvl w:val="3"/>
          <w:numId w:val="7"/>
        </w:numPr>
        <w:tabs>
          <w:tab w:pos="1982" w:val="left" w:leader="none"/>
        </w:tabs>
        <w:spacing w:line="357" w:lineRule="auto" w:before="1" w:after="0"/>
        <w:ind w:left="1981" w:right="567" w:hanging="360"/>
        <w:jc w:val="both"/>
        <w:rPr>
          <w:sz w:val="24"/>
        </w:rPr>
      </w:pPr>
      <w:r>
        <w:rPr>
          <w:sz w:val="24"/>
        </w:rPr>
        <w:t>У пожилых пациентов при наличии потенциального риска лекарственного взаимодействия рекомендуется назначать статин в низкой дозе с последующей титрацией до достижения целевого уровня ХС ЛНП [</w:t>
      </w:r>
      <w:hyperlink w:history="true" w:anchor="_bookmark152">
        <w:r>
          <w:rPr>
            <w:sz w:val="24"/>
          </w:rPr>
          <w:t>107,</w:t>
        </w:r>
      </w:hyperlink>
      <w:r>
        <w:rPr>
          <w:sz w:val="24"/>
        </w:rPr>
        <w:t> </w:t>
      </w:r>
      <w:hyperlink w:history="true" w:anchor="_bookmark153">
        <w:r>
          <w:rPr>
            <w:sz w:val="24"/>
          </w:rPr>
          <w:t>108</w:t>
        </w:r>
      </w:hyperlink>
      <w:r>
        <w:rPr>
          <w:sz w:val="24"/>
        </w:rPr>
        <w:t>, </w:t>
      </w:r>
      <w:hyperlink w:history="true" w:anchor="_bookmark154">
        <w:r>
          <w:rPr>
            <w:sz w:val="24"/>
          </w:rPr>
          <w:t>109</w:t>
        </w:r>
      </w:hyperlink>
      <w:r>
        <w:rPr>
          <w:sz w:val="24"/>
        </w:rPr>
        <w:t>]. При необходимости достижения более низкого целевого уровня ХС ЛНП у пациентов очень высокого и экстремального риска рассмотреть возможность комбинированной терапии низкими дозами статина и эзетимибом [</w:t>
      </w:r>
      <w:hyperlink w:history="true" w:anchor="_bookmark95">
        <w:r>
          <w:rPr>
            <w:sz w:val="24"/>
          </w:rPr>
          <w:t>50</w:t>
        </w:r>
      </w:hyperlink>
      <w:r>
        <w:rPr>
          <w:sz w:val="24"/>
        </w:rPr>
        <w:t>].</w:t>
      </w:r>
    </w:p>
    <w:p>
      <w:pPr>
        <w:spacing w:after="0" w:line="357" w:lineRule="auto"/>
        <w:jc w:val="both"/>
        <w:rPr>
          <w:sz w:val="24"/>
        </w:rPr>
        <w:sectPr>
          <w:pgSz w:w="11910" w:h="16840"/>
          <w:pgMar w:header="0" w:footer="710" w:top="1040" w:bottom="900" w:left="440" w:right="280"/>
        </w:sectPr>
      </w:pPr>
    </w:p>
    <w:p>
      <w:pPr>
        <w:pStyle w:val="Heading2"/>
        <w:spacing w:before="73"/>
      </w:pPr>
      <w:r>
        <w:rPr/>
        <w:t>ЕОК/ЕОА</w:t>
      </w:r>
      <w:r>
        <w:rPr>
          <w:spacing w:val="-3"/>
        </w:rPr>
        <w:t> </w:t>
      </w:r>
      <w:r>
        <w:rPr/>
        <w:t>IС</w:t>
      </w:r>
      <w:r>
        <w:rPr>
          <w:spacing w:val="-2"/>
        </w:rPr>
        <w:t> </w:t>
      </w:r>
      <w:r>
        <w:rPr/>
        <w:t>(УУР</w:t>
      </w:r>
      <w:r>
        <w:rPr>
          <w:spacing w:val="-2"/>
        </w:rPr>
        <w:t> </w:t>
      </w:r>
      <w:r>
        <w:rPr/>
        <w:t>С,</w:t>
      </w:r>
      <w:r>
        <w:rPr>
          <w:spacing w:val="1"/>
        </w:rPr>
        <w:t> </w:t>
      </w:r>
      <w:r>
        <w:rPr/>
        <w:t>УДД</w:t>
      </w:r>
      <w:r>
        <w:rPr>
          <w:spacing w:val="-1"/>
        </w:rPr>
        <w:t> </w:t>
      </w:r>
      <w:r>
        <w:rPr>
          <w:spacing w:val="-5"/>
        </w:rPr>
        <w:t>5)</w:t>
      </w:r>
    </w:p>
    <w:p>
      <w:pPr>
        <w:pStyle w:val="BodyText"/>
        <w:ind w:left="0"/>
        <w:rPr>
          <w:b/>
          <w:sz w:val="26"/>
        </w:rPr>
      </w:pPr>
    </w:p>
    <w:p>
      <w:pPr>
        <w:pStyle w:val="BodyText"/>
        <w:ind w:left="0"/>
        <w:rPr>
          <w:b/>
          <w:sz w:val="22"/>
        </w:rPr>
      </w:pPr>
    </w:p>
    <w:p>
      <w:pPr>
        <w:pStyle w:val="Heading3"/>
        <w:numPr>
          <w:ilvl w:val="2"/>
          <w:numId w:val="7"/>
        </w:numPr>
        <w:tabs>
          <w:tab w:pos="2882" w:val="left" w:leader="none"/>
        </w:tabs>
        <w:spacing w:line="240" w:lineRule="auto" w:before="0" w:after="0"/>
        <w:ind w:left="2881" w:right="0" w:hanging="541"/>
        <w:jc w:val="both"/>
        <w:rPr>
          <w:u w:val="single"/>
        </w:rPr>
      </w:pPr>
      <w:bookmarkStart w:name="3.5.6 ДЛП у женщин, при беременности и л" w:id="77"/>
      <w:bookmarkEnd w:id="77"/>
      <w:r>
        <w:rPr>
          <w:b w:val="0"/>
        </w:rPr>
      </w:r>
      <w:bookmarkStart w:name="_bookmark38" w:id="78"/>
      <w:bookmarkEnd w:id="78"/>
      <w:r>
        <w:rPr>
          <w:u w:val="single"/>
        </w:rPr>
        <w:t>Д</w:t>
      </w:r>
      <w:r>
        <w:rPr>
          <w:u w:val="single"/>
        </w:rPr>
        <w:t>ЛП</w:t>
      </w:r>
      <w:r>
        <w:rPr>
          <w:spacing w:val="-4"/>
          <w:u w:val="single"/>
        </w:rPr>
        <w:t> </w:t>
      </w:r>
      <w:r>
        <w:rPr>
          <w:u w:val="single"/>
        </w:rPr>
        <w:t>у</w:t>
      </w:r>
      <w:r>
        <w:rPr>
          <w:spacing w:val="-2"/>
          <w:u w:val="single"/>
        </w:rPr>
        <w:t> </w:t>
      </w:r>
      <w:r>
        <w:rPr>
          <w:u w:val="single"/>
        </w:rPr>
        <w:t>женщин,</w:t>
      </w:r>
      <w:r>
        <w:rPr>
          <w:spacing w:val="-5"/>
          <w:u w:val="single"/>
        </w:rPr>
        <w:t> </w:t>
      </w:r>
      <w:r>
        <w:rPr>
          <w:u w:val="single"/>
        </w:rPr>
        <w:t>при</w:t>
      </w:r>
      <w:r>
        <w:rPr>
          <w:spacing w:val="-2"/>
          <w:u w:val="single"/>
        </w:rPr>
        <w:t> </w:t>
      </w:r>
      <w:r>
        <w:rPr>
          <w:u w:val="single"/>
        </w:rPr>
        <w:t>беременности</w:t>
      </w:r>
      <w:r>
        <w:rPr>
          <w:spacing w:val="-2"/>
          <w:u w:val="single"/>
        </w:rPr>
        <w:t> </w:t>
      </w:r>
      <w:r>
        <w:rPr>
          <w:u w:val="single"/>
        </w:rPr>
        <w:t>и</w:t>
      </w:r>
      <w:r>
        <w:rPr>
          <w:spacing w:val="-1"/>
          <w:u w:val="single"/>
        </w:rPr>
        <w:t> </w:t>
      </w:r>
      <w:r>
        <w:rPr>
          <w:spacing w:val="-2"/>
          <w:u w:val="single"/>
        </w:rPr>
        <w:t>лактации</w:t>
      </w:r>
    </w:p>
    <w:p>
      <w:pPr>
        <w:pStyle w:val="ListParagraph"/>
        <w:numPr>
          <w:ilvl w:val="3"/>
          <w:numId w:val="7"/>
        </w:numPr>
        <w:tabs>
          <w:tab w:pos="1982" w:val="left" w:leader="none"/>
        </w:tabs>
        <w:spacing w:line="357" w:lineRule="auto" w:before="142" w:after="0"/>
        <w:ind w:left="1981" w:right="567" w:hanging="360"/>
        <w:jc w:val="both"/>
        <w:rPr>
          <w:sz w:val="24"/>
        </w:rPr>
      </w:pPr>
      <w:r>
        <w:rPr/>
        <w:pict>
          <v:rect style="position:absolute;margin-left:320.399994pt;margin-top:78.085457pt;width:3pt;height:.599pt;mso-position-horizontal-relative:page;mso-position-vertical-relative:paragraph;z-index:15729152" id="docshape5" filled="true" fillcolor="#000000" stroked="false">
            <v:fill type="solid"/>
            <w10:wrap type="none"/>
          </v:rect>
        </w:pict>
      </w:r>
      <w:bookmarkStart w:name=" Назначение гиполипидемических средств " w:id="79"/>
      <w:bookmarkEnd w:id="79"/>
      <w:r>
        <w:rPr>
          <w:sz w:val="24"/>
        </w:rPr>
        <w:t>Н</w:t>
      </w:r>
      <w:r>
        <w:rPr>
          <w:sz w:val="24"/>
        </w:rPr>
        <w:t>азначение гиполипидемических средств не рекомендуется при планировании беременности, во время беременности и в период грудного вскармливания. Пациенткам с тяжелой СГХС возможно назначение секвестрантов желчных кислот (не адсорбируемых) и/или применение плазмафереза, плазмосорбции [</w:t>
      </w:r>
      <w:hyperlink w:history="true" w:anchor="_bookmark95">
        <w:r>
          <w:rPr>
            <w:sz w:val="24"/>
          </w:rPr>
          <w:t>50</w:t>
        </w:r>
      </w:hyperlink>
      <w:r>
        <w:rPr>
          <w:sz w:val="24"/>
        </w:rPr>
        <w:t>].</w:t>
      </w:r>
    </w:p>
    <w:p>
      <w:pPr>
        <w:pStyle w:val="Heading3"/>
        <w:spacing w:line="275" w:lineRule="exact"/>
      </w:pPr>
      <w:r>
        <w:rPr/>
        <w:t>ЕОК/ЕОА</w:t>
      </w:r>
      <w:r>
        <w:rPr>
          <w:spacing w:val="-4"/>
        </w:rPr>
        <w:t> </w:t>
      </w:r>
      <w:r>
        <w:rPr/>
        <w:t>нет</w:t>
      </w:r>
      <w:r>
        <w:rPr>
          <w:spacing w:val="-2"/>
        </w:rPr>
        <w:t> </w:t>
      </w:r>
      <w:r>
        <w:rPr/>
        <w:t>(УУР</w:t>
      </w:r>
      <w:r>
        <w:rPr>
          <w:spacing w:val="-2"/>
        </w:rPr>
        <w:t> </w:t>
      </w:r>
      <w:r>
        <w:rPr/>
        <w:t>С,</w:t>
      </w:r>
      <w:r>
        <w:rPr>
          <w:spacing w:val="-1"/>
        </w:rPr>
        <w:t> </w:t>
      </w:r>
      <w:r>
        <w:rPr/>
        <w:t>УДД</w:t>
      </w:r>
      <w:r>
        <w:rPr>
          <w:spacing w:val="-1"/>
        </w:rPr>
        <w:t> </w:t>
      </w:r>
      <w:r>
        <w:rPr>
          <w:spacing w:val="-5"/>
        </w:rPr>
        <w:t>5)</w:t>
      </w:r>
    </w:p>
    <w:p>
      <w:pPr>
        <w:pStyle w:val="ListParagraph"/>
        <w:numPr>
          <w:ilvl w:val="3"/>
          <w:numId w:val="7"/>
        </w:numPr>
        <w:tabs>
          <w:tab w:pos="1982" w:val="left" w:leader="none"/>
        </w:tabs>
        <w:spacing w:line="355" w:lineRule="auto" w:before="141" w:after="0"/>
        <w:ind w:left="1981" w:right="567" w:hanging="360"/>
        <w:jc w:val="both"/>
        <w:rPr>
          <w:sz w:val="24"/>
        </w:rPr>
      </w:pPr>
      <w:r>
        <w:rPr>
          <w:sz w:val="24"/>
        </w:rPr>
        <w:t>У женщин группы высокого риска вне беременности и вне периода грудного вскармливания рекомендуется назначение статинов для первичной профилактики ИБС [</w:t>
      </w:r>
      <w:hyperlink w:history="true" w:anchor="_bookmark84">
        <w:r>
          <w:rPr>
            <w:sz w:val="24"/>
          </w:rPr>
          <w:t>39,</w:t>
        </w:r>
      </w:hyperlink>
      <w:r>
        <w:rPr>
          <w:sz w:val="24"/>
        </w:rPr>
        <w:t> </w:t>
      </w:r>
      <w:hyperlink w:history="true" w:anchor="_bookmark87">
        <w:r>
          <w:rPr>
            <w:sz w:val="24"/>
          </w:rPr>
          <w:t>42</w:t>
        </w:r>
      </w:hyperlink>
      <w:r>
        <w:rPr>
          <w:sz w:val="24"/>
        </w:rPr>
        <w:t>].</w:t>
      </w:r>
    </w:p>
    <w:p>
      <w:pPr>
        <w:pStyle w:val="Heading3"/>
        <w:spacing w:before="3"/>
      </w:pPr>
      <w:r>
        <w:rPr/>
        <w:t>ЕОК/ЕОА</w:t>
      </w:r>
      <w:r>
        <w:rPr>
          <w:spacing w:val="-4"/>
        </w:rPr>
        <w:t> </w:t>
      </w:r>
      <w:r>
        <w:rPr/>
        <w:t>нет</w:t>
      </w:r>
      <w:r>
        <w:rPr>
          <w:spacing w:val="-2"/>
        </w:rPr>
        <w:t> </w:t>
      </w:r>
      <w:r>
        <w:rPr/>
        <w:t>(УУР</w:t>
      </w:r>
      <w:r>
        <w:rPr>
          <w:spacing w:val="-2"/>
        </w:rPr>
        <w:t> </w:t>
      </w:r>
      <w:r>
        <w:rPr/>
        <w:t>С,</w:t>
      </w:r>
      <w:r>
        <w:rPr>
          <w:spacing w:val="-1"/>
        </w:rPr>
        <w:t> </w:t>
      </w:r>
      <w:r>
        <w:rPr/>
        <w:t>УДД</w:t>
      </w:r>
      <w:r>
        <w:rPr>
          <w:spacing w:val="-1"/>
        </w:rPr>
        <w:t> </w:t>
      </w:r>
      <w:r>
        <w:rPr>
          <w:spacing w:val="-5"/>
        </w:rPr>
        <w:t>1)</w:t>
      </w:r>
    </w:p>
    <w:p>
      <w:pPr>
        <w:pStyle w:val="ListParagraph"/>
        <w:numPr>
          <w:ilvl w:val="3"/>
          <w:numId w:val="7"/>
        </w:numPr>
        <w:tabs>
          <w:tab w:pos="1982" w:val="left" w:leader="none"/>
        </w:tabs>
        <w:spacing w:line="355" w:lineRule="auto" w:before="141" w:after="0"/>
        <w:ind w:left="1981" w:right="568" w:hanging="360"/>
        <w:jc w:val="both"/>
        <w:rPr>
          <w:sz w:val="24"/>
        </w:rPr>
      </w:pPr>
      <w:r>
        <w:rPr>
          <w:sz w:val="24"/>
        </w:rPr>
        <w:t>Женщинам с целью вторичной профилактики вне беременности и вне периода грудного вскармливания рекомендованы статины по тем же показаниям и с теми</w:t>
      </w:r>
      <w:r>
        <w:rPr>
          <w:spacing w:val="40"/>
          <w:sz w:val="24"/>
        </w:rPr>
        <w:t> </w:t>
      </w:r>
      <w:r>
        <w:rPr>
          <w:sz w:val="24"/>
        </w:rPr>
        <w:t>же целевыми уровнями ХС ЛНП, что и мужчинам [</w:t>
      </w:r>
      <w:hyperlink w:history="true" w:anchor="_bookmark84">
        <w:r>
          <w:rPr>
            <w:sz w:val="24"/>
          </w:rPr>
          <w:t>39,</w:t>
        </w:r>
      </w:hyperlink>
      <w:r>
        <w:rPr>
          <w:sz w:val="24"/>
        </w:rPr>
        <w:t> </w:t>
      </w:r>
      <w:hyperlink w:history="true" w:anchor="_bookmark87">
        <w:r>
          <w:rPr>
            <w:sz w:val="24"/>
          </w:rPr>
          <w:t>42</w:t>
        </w:r>
      </w:hyperlink>
      <w:r>
        <w:rPr>
          <w:sz w:val="24"/>
        </w:rPr>
        <w:t>].</w:t>
      </w:r>
    </w:p>
    <w:p>
      <w:pPr>
        <w:pStyle w:val="Heading3"/>
        <w:spacing w:before="4"/>
      </w:pPr>
      <w:r>
        <w:rPr/>
        <w:t>ЕОК/ЕОА</w:t>
      </w:r>
      <w:r>
        <w:rPr>
          <w:spacing w:val="-4"/>
        </w:rPr>
        <w:t> </w:t>
      </w:r>
      <w:r>
        <w:rPr/>
        <w:t>нет</w:t>
      </w:r>
      <w:r>
        <w:rPr>
          <w:spacing w:val="-2"/>
        </w:rPr>
        <w:t> </w:t>
      </w:r>
      <w:r>
        <w:rPr/>
        <w:t>(УУР</w:t>
      </w:r>
      <w:r>
        <w:rPr>
          <w:spacing w:val="-2"/>
        </w:rPr>
        <w:t> </w:t>
      </w:r>
      <w:r>
        <w:rPr/>
        <w:t>С,</w:t>
      </w:r>
      <w:r>
        <w:rPr>
          <w:spacing w:val="-1"/>
        </w:rPr>
        <w:t> </w:t>
      </w:r>
      <w:r>
        <w:rPr/>
        <w:t>УДД</w:t>
      </w:r>
      <w:r>
        <w:rPr>
          <w:spacing w:val="-1"/>
        </w:rPr>
        <w:t> </w:t>
      </w:r>
      <w:r>
        <w:rPr>
          <w:spacing w:val="-5"/>
        </w:rPr>
        <w:t>1)</w:t>
      </w:r>
    </w:p>
    <w:p>
      <w:pPr>
        <w:spacing w:line="360" w:lineRule="auto" w:before="139"/>
        <w:ind w:left="1261" w:right="566" w:firstLine="0"/>
        <w:jc w:val="both"/>
        <w:rPr>
          <w:i/>
          <w:sz w:val="24"/>
        </w:rPr>
      </w:pPr>
      <w:r>
        <w:rPr>
          <w:b/>
          <w:sz w:val="24"/>
        </w:rPr>
        <w:t>Комментарии: </w:t>
      </w:r>
      <w:r>
        <w:rPr>
          <w:i/>
          <w:sz w:val="24"/>
        </w:rPr>
        <w:t>использование современных низкодозированных комбинированных гормональных пероральных контрацептивов у женщин в репродуктивном возрасте не приводит к увеличению риска острых коронарных событий </w:t>
      </w:r>
      <w:r>
        <w:rPr>
          <w:sz w:val="24"/>
        </w:rPr>
        <w:t>[</w:t>
      </w:r>
      <w:hyperlink w:history="true" w:anchor="_bookmark155">
        <w:r>
          <w:rPr>
            <w:sz w:val="24"/>
          </w:rPr>
          <w:t>110</w:t>
        </w:r>
      </w:hyperlink>
      <w:r>
        <w:rPr>
          <w:sz w:val="24"/>
        </w:rPr>
        <w:t>]</w:t>
      </w:r>
      <w:r>
        <w:rPr>
          <w:i/>
          <w:sz w:val="24"/>
        </w:rPr>
        <w:t>. Их применение возможно у женщин после оценки липидных показателей, при нормальном уровне холестерина. При наличии ГХС (уровень ХС ЛНП выше 4 ммоль/л) и/или множественных факторах сердечно-сосудистого риска и/или высоком риске тромбоэмболических осложнений следует рассмотреть альтернативные гормональные пероральные контрацептивы </w:t>
      </w:r>
      <w:r>
        <w:rPr>
          <w:sz w:val="24"/>
        </w:rPr>
        <w:t>[</w:t>
      </w:r>
      <w:hyperlink w:history="true" w:anchor="_bookmark156">
        <w:r>
          <w:rPr>
            <w:sz w:val="24"/>
          </w:rPr>
          <w:t>111</w:t>
        </w:r>
      </w:hyperlink>
      <w:r>
        <w:rPr>
          <w:sz w:val="24"/>
        </w:rPr>
        <w:t>]</w:t>
      </w:r>
      <w:r>
        <w:rPr>
          <w:i/>
          <w:sz w:val="24"/>
        </w:rPr>
        <w:t>. Заместительная терапия эстрогенами, несмотря на положительное влияние на показатели липидного профиля, не продемонстрировала возможности снижения сердечно-сосудистого риска и не может быть рекомендована для сердечно-сосудистой профилактики у женщин </w:t>
      </w:r>
      <w:r>
        <w:rPr>
          <w:sz w:val="24"/>
        </w:rPr>
        <w:t>[</w:t>
      </w:r>
      <w:hyperlink w:history="true" w:anchor="_bookmark157">
        <w:r>
          <w:rPr>
            <w:sz w:val="24"/>
          </w:rPr>
          <w:t>112</w:t>
        </w:r>
      </w:hyperlink>
      <w:r>
        <w:rPr>
          <w:sz w:val="24"/>
        </w:rPr>
        <w:t>]</w:t>
      </w:r>
      <w:r>
        <w:rPr>
          <w:i/>
          <w:sz w:val="24"/>
        </w:rPr>
        <w:t>.</w:t>
      </w:r>
    </w:p>
    <w:p>
      <w:pPr>
        <w:spacing w:line="360" w:lineRule="auto" w:before="199"/>
        <w:ind w:left="1261" w:right="568" w:firstLine="0"/>
        <w:jc w:val="both"/>
        <w:rPr>
          <w:i/>
          <w:sz w:val="24"/>
        </w:rPr>
      </w:pPr>
      <w:r>
        <w:rPr>
          <w:i/>
          <w:sz w:val="24"/>
        </w:rPr>
        <w:t>Прием липидснижающих препаратов при подготовке к беременности, во время беременности и лактации запрещен. У</w:t>
      </w:r>
      <w:r>
        <w:rPr>
          <w:i/>
          <w:spacing w:val="-2"/>
          <w:sz w:val="24"/>
        </w:rPr>
        <w:t> </w:t>
      </w:r>
      <w:r>
        <w:rPr>
          <w:i/>
          <w:sz w:val="24"/>
        </w:rPr>
        <w:t>пациенток с тяжелой СГХС во время беременности/лактации следует использовать плазмаферез, плазмосорбцию.</w:t>
      </w:r>
    </w:p>
    <w:p>
      <w:pPr>
        <w:spacing w:before="1"/>
        <w:ind w:left="1261" w:right="0" w:firstLine="0"/>
        <w:jc w:val="both"/>
        <w:rPr>
          <w:i/>
          <w:sz w:val="24"/>
        </w:rPr>
      </w:pPr>
      <w:r>
        <w:rPr>
          <w:i/>
          <w:sz w:val="24"/>
        </w:rPr>
        <w:t>Женщины</w:t>
      </w:r>
      <w:r>
        <w:rPr>
          <w:i/>
          <w:spacing w:val="-3"/>
          <w:sz w:val="24"/>
        </w:rPr>
        <w:t> </w:t>
      </w:r>
      <w:r>
        <w:rPr>
          <w:i/>
          <w:sz w:val="24"/>
        </w:rPr>
        <w:t>репродуктивного</w:t>
      </w:r>
      <w:r>
        <w:rPr>
          <w:i/>
          <w:spacing w:val="-3"/>
          <w:sz w:val="24"/>
        </w:rPr>
        <w:t> </w:t>
      </w:r>
      <w:r>
        <w:rPr>
          <w:i/>
          <w:spacing w:val="-2"/>
          <w:sz w:val="24"/>
        </w:rPr>
        <w:t>возраста:</w:t>
      </w:r>
    </w:p>
    <w:p>
      <w:pPr>
        <w:pStyle w:val="ListParagraph"/>
        <w:numPr>
          <w:ilvl w:val="0"/>
          <w:numId w:val="22"/>
        </w:numPr>
        <w:tabs>
          <w:tab w:pos="1970" w:val="left" w:leader="none"/>
        </w:tabs>
        <w:spacing w:line="240" w:lineRule="auto" w:before="137" w:after="0"/>
        <w:ind w:left="1969" w:right="0" w:hanging="709"/>
        <w:jc w:val="both"/>
        <w:rPr>
          <w:i/>
          <w:sz w:val="24"/>
        </w:rPr>
      </w:pPr>
      <w:r>
        <w:rPr>
          <w:i/>
          <w:sz w:val="24"/>
        </w:rPr>
        <w:t>во</w:t>
      </w:r>
      <w:r>
        <w:rPr>
          <w:i/>
          <w:spacing w:val="-5"/>
          <w:sz w:val="24"/>
        </w:rPr>
        <w:t> </w:t>
      </w:r>
      <w:r>
        <w:rPr>
          <w:i/>
          <w:sz w:val="24"/>
        </w:rPr>
        <w:t>время</w:t>
      </w:r>
      <w:r>
        <w:rPr>
          <w:i/>
          <w:spacing w:val="-1"/>
          <w:sz w:val="24"/>
        </w:rPr>
        <w:t> </w:t>
      </w:r>
      <w:r>
        <w:rPr>
          <w:i/>
          <w:sz w:val="24"/>
        </w:rPr>
        <w:t>лечения</w:t>
      </w:r>
      <w:r>
        <w:rPr>
          <w:i/>
          <w:spacing w:val="-2"/>
          <w:sz w:val="24"/>
        </w:rPr>
        <w:t> </w:t>
      </w:r>
      <w:r>
        <w:rPr>
          <w:i/>
          <w:sz w:val="24"/>
        </w:rPr>
        <w:t>должны</w:t>
      </w:r>
      <w:r>
        <w:rPr>
          <w:i/>
          <w:spacing w:val="-2"/>
          <w:sz w:val="24"/>
        </w:rPr>
        <w:t> </w:t>
      </w:r>
      <w:r>
        <w:rPr>
          <w:i/>
          <w:sz w:val="24"/>
        </w:rPr>
        <w:t>пользоваться</w:t>
      </w:r>
      <w:r>
        <w:rPr>
          <w:i/>
          <w:spacing w:val="-2"/>
          <w:sz w:val="24"/>
        </w:rPr>
        <w:t> </w:t>
      </w:r>
      <w:r>
        <w:rPr>
          <w:i/>
          <w:sz w:val="24"/>
        </w:rPr>
        <w:t>адекватными</w:t>
      </w:r>
      <w:r>
        <w:rPr>
          <w:i/>
          <w:spacing w:val="-2"/>
          <w:sz w:val="24"/>
        </w:rPr>
        <w:t> </w:t>
      </w:r>
      <w:r>
        <w:rPr>
          <w:i/>
          <w:sz w:val="24"/>
        </w:rPr>
        <w:t>методами</w:t>
      </w:r>
      <w:r>
        <w:rPr>
          <w:i/>
          <w:spacing w:val="-2"/>
          <w:sz w:val="24"/>
        </w:rPr>
        <w:t> контрацепции;</w:t>
      </w:r>
    </w:p>
    <w:p>
      <w:pPr>
        <w:pStyle w:val="ListParagraph"/>
        <w:numPr>
          <w:ilvl w:val="0"/>
          <w:numId w:val="22"/>
        </w:numPr>
        <w:tabs>
          <w:tab w:pos="1970" w:val="left" w:leader="none"/>
        </w:tabs>
        <w:spacing w:line="360" w:lineRule="auto" w:before="139" w:after="0"/>
        <w:ind w:left="1261" w:right="567" w:firstLine="0"/>
        <w:jc w:val="both"/>
        <w:rPr>
          <w:i/>
          <w:sz w:val="24"/>
        </w:rPr>
      </w:pPr>
      <w:r>
        <w:rPr>
          <w:i/>
          <w:sz w:val="24"/>
        </w:rPr>
        <w:t>женщины с СГХС должны получить консультацию перед беременностью и инструкции</w:t>
      </w:r>
      <w:r>
        <w:rPr>
          <w:i/>
          <w:spacing w:val="72"/>
          <w:sz w:val="24"/>
        </w:rPr>
        <w:t> </w:t>
      </w:r>
      <w:r>
        <w:rPr>
          <w:i/>
          <w:sz w:val="24"/>
        </w:rPr>
        <w:t>по</w:t>
      </w:r>
      <w:r>
        <w:rPr>
          <w:i/>
          <w:spacing w:val="74"/>
          <w:sz w:val="24"/>
        </w:rPr>
        <w:t> </w:t>
      </w:r>
      <w:r>
        <w:rPr>
          <w:i/>
          <w:sz w:val="24"/>
        </w:rPr>
        <w:t>отмене</w:t>
      </w:r>
      <w:r>
        <w:rPr>
          <w:i/>
          <w:spacing w:val="73"/>
          <w:sz w:val="24"/>
        </w:rPr>
        <w:t> </w:t>
      </w:r>
      <w:r>
        <w:rPr>
          <w:i/>
          <w:sz w:val="24"/>
        </w:rPr>
        <w:t>гиполипидемических</w:t>
      </w:r>
      <w:r>
        <w:rPr>
          <w:i/>
          <w:spacing w:val="73"/>
          <w:sz w:val="24"/>
        </w:rPr>
        <w:t> </w:t>
      </w:r>
      <w:r>
        <w:rPr>
          <w:i/>
          <w:sz w:val="24"/>
        </w:rPr>
        <w:t>средств</w:t>
      </w:r>
      <w:r>
        <w:rPr>
          <w:i/>
          <w:spacing w:val="73"/>
          <w:sz w:val="24"/>
        </w:rPr>
        <w:t> </w:t>
      </w:r>
      <w:r>
        <w:rPr>
          <w:i/>
          <w:sz w:val="24"/>
        </w:rPr>
        <w:t>не</w:t>
      </w:r>
      <w:r>
        <w:rPr>
          <w:i/>
          <w:spacing w:val="74"/>
          <w:sz w:val="24"/>
        </w:rPr>
        <w:t> </w:t>
      </w:r>
      <w:r>
        <w:rPr>
          <w:i/>
          <w:sz w:val="24"/>
        </w:rPr>
        <w:t>позднее,</w:t>
      </w:r>
      <w:r>
        <w:rPr>
          <w:i/>
          <w:spacing w:val="74"/>
          <w:sz w:val="24"/>
        </w:rPr>
        <w:t> </w:t>
      </w:r>
      <w:r>
        <w:rPr>
          <w:i/>
          <w:sz w:val="24"/>
        </w:rPr>
        <w:t>чем</w:t>
      </w:r>
      <w:r>
        <w:rPr>
          <w:i/>
          <w:spacing w:val="75"/>
          <w:sz w:val="24"/>
        </w:rPr>
        <w:t> </w:t>
      </w:r>
      <w:r>
        <w:rPr>
          <w:i/>
          <w:sz w:val="24"/>
        </w:rPr>
        <w:t>за</w:t>
      </w:r>
      <w:r>
        <w:rPr>
          <w:i/>
          <w:spacing w:val="74"/>
          <w:sz w:val="24"/>
        </w:rPr>
        <w:t> </w:t>
      </w:r>
      <w:r>
        <w:rPr>
          <w:i/>
          <w:sz w:val="24"/>
        </w:rPr>
        <w:t>4</w:t>
      </w:r>
      <w:r>
        <w:rPr>
          <w:i/>
          <w:spacing w:val="72"/>
          <w:sz w:val="24"/>
        </w:rPr>
        <w:t> </w:t>
      </w:r>
      <w:r>
        <w:rPr>
          <w:i/>
          <w:sz w:val="24"/>
        </w:rPr>
        <w:t>недели</w:t>
      </w:r>
      <w:r>
        <w:rPr>
          <w:i/>
          <w:spacing w:val="73"/>
          <w:sz w:val="24"/>
        </w:rPr>
        <w:t> </w:t>
      </w:r>
      <w:r>
        <w:rPr>
          <w:i/>
          <w:spacing w:val="-5"/>
          <w:sz w:val="24"/>
        </w:rPr>
        <w:t>до</w:t>
      </w:r>
    </w:p>
    <w:p>
      <w:pPr>
        <w:spacing w:after="0" w:line="360" w:lineRule="auto"/>
        <w:jc w:val="both"/>
        <w:rPr>
          <w:sz w:val="24"/>
        </w:rPr>
        <w:sectPr>
          <w:pgSz w:w="11910" w:h="16840"/>
          <w:pgMar w:header="0" w:footer="710" w:top="1040" w:bottom="900" w:left="440" w:right="280"/>
        </w:sectPr>
      </w:pPr>
    </w:p>
    <w:p>
      <w:pPr>
        <w:spacing w:line="360" w:lineRule="auto" w:before="73"/>
        <w:ind w:left="1261" w:right="570" w:firstLine="0"/>
        <w:jc w:val="both"/>
        <w:rPr>
          <w:i/>
          <w:sz w:val="24"/>
        </w:rPr>
      </w:pPr>
      <w:r>
        <w:rPr>
          <w:i/>
          <w:sz w:val="24"/>
        </w:rPr>
        <w:t>прекращения предохранения от беременности и не должны принимать эти препараты</w:t>
      </w:r>
      <w:r>
        <w:rPr>
          <w:i/>
          <w:spacing w:val="40"/>
          <w:sz w:val="24"/>
        </w:rPr>
        <w:t> </w:t>
      </w:r>
      <w:r>
        <w:rPr>
          <w:i/>
          <w:sz w:val="24"/>
        </w:rPr>
        <w:t>до окончания грудного вскармливания;</w:t>
      </w:r>
    </w:p>
    <w:p>
      <w:pPr>
        <w:pStyle w:val="ListParagraph"/>
        <w:numPr>
          <w:ilvl w:val="0"/>
          <w:numId w:val="22"/>
        </w:numPr>
        <w:tabs>
          <w:tab w:pos="1970" w:val="left" w:leader="none"/>
        </w:tabs>
        <w:spacing w:line="360" w:lineRule="auto" w:before="0" w:after="0"/>
        <w:ind w:left="1261" w:right="567" w:firstLine="0"/>
        <w:jc w:val="both"/>
        <w:rPr>
          <w:i/>
          <w:sz w:val="24"/>
        </w:rPr>
      </w:pPr>
      <w:r>
        <w:rPr>
          <w:i/>
          <w:sz w:val="24"/>
        </w:rPr>
        <w:t>в случае незапланированной беременности женщина с СГХС должна незамедлительно прекратить прием любых гиполипидемических средств и срочно проконсультироваться со своим лечащим врачом;</w:t>
      </w:r>
    </w:p>
    <w:p>
      <w:pPr>
        <w:pStyle w:val="ListParagraph"/>
        <w:numPr>
          <w:ilvl w:val="0"/>
          <w:numId w:val="22"/>
        </w:numPr>
        <w:tabs>
          <w:tab w:pos="1970" w:val="left" w:leader="none"/>
        </w:tabs>
        <w:spacing w:line="357" w:lineRule="auto" w:before="2" w:after="0"/>
        <w:ind w:left="1261" w:right="567" w:firstLine="0"/>
        <w:jc w:val="both"/>
        <w:rPr>
          <w:i/>
          <w:sz w:val="24"/>
        </w:rPr>
      </w:pPr>
      <w:r>
        <w:rPr>
          <w:i/>
          <w:sz w:val="24"/>
        </w:rPr>
        <w:t>в связи с результатами нескольких пилотных клинических исследований о негативном влиянии </w:t>
      </w:r>
      <w:r>
        <w:rPr>
          <w:rFonts w:ascii="Calibri" w:hAnsi="Calibri"/>
          <w:i/>
          <w:sz w:val="22"/>
        </w:rPr>
        <w:t>с</w:t>
      </w:r>
      <w:r>
        <w:rPr>
          <w:i/>
          <w:sz w:val="24"/>
        </w:rPr>
        <w:t>татин</w:t>
      </w:r>
      <w:r>
        <w:rPr>
          <w:rFonts w:ascii="Calibri" w:hAnsi="Calibri"/>
          <w:i/>
          <w:sz w:val="22"/>
        </w:rPr>
        <w:t>ов</w:t>
      </w:r>
      <w:r>
        <w:rPr>
          <w:rFonts w:ascii="Calibri" w:hAnsi="Calibri"/>
          <w:i/>
          <w:spacing w:val="27"/>
          <w:sz w:val="22"/>
        </w:rPr>
        <w:t> </w:t>
      </w:r>
      <w:r>
        <w:rPr>
          <w:i/>
          <w:sz w:val="24"/>
        </w:rPr>
        <w:t>на фертильную</w:t>
      </w:r>
      <w:r>
        <w:rPr>
          <w:i/>
          <w:spacing w:val="-1"/>
          <w:sz w:val="24"/>
        </w:rPr>
        <w:t> </w:t>
      </w:r>
      <w:r>
        <w:rPr>
          <w:i/>
          <w:sz w:val="24"/>
        </w:rPr>
        <w:t>функцию у</w:t>
      </w:r>
      <w:r>
        <w:rPr>
          <w:i/>
          <w:spacing w:val="-1"/>
          <w:sz w:val="24"/>
        </w:rPr>
        <w:t> </w:t>
      </w:r>
      <w:r>
        <w:rPr>
          <w:i/>
          <w:sz w:val="24"/>
        </w:rPr>
        <w:t>мужчин можно рекомендовать пациенту с СГХС воздержаться от приема </w:t>
      </w:r>
      <w:r>
        <w:rPr>
          <w:rFonts w:ascii="Calibri" w:hAnsi="Calibri"/>
          <w:i/>
          <w:sz w:val="22"/>
        </w:rPr>
        <w:t>с</w:t>
      </w:r>
      <w:r>
        <w:rPr>
          <w:i/>
          <w:sz w:val="24"/>
        </w:rPr>
        <w:t>татин</w:t>
      </w:r>
      <w:r>
        <w:rPr>
          <w:rFonts w:ascii="Calibri" w:hAnsi="Calibri"/>
          <w:i/>
          <w:sz w:val="22"/>
        </w:rPr>
        <w:t>ов </w:t>
      </w:r>
      <w:r>
        <w:rPr>
          <w:i/>
          <w:sz w:val="24"/>
        </w:rPr>
        <w:t>на период планируемого зачатия.</w:t>
      </w:r>
    </w:p>
    <w:p>
      <w:pPr>
        <w:pStyle w:val="BodyText"/>
        <w:ind w:left="0"/>
        <w:rPr>
          <w:i/>
          <w:sz w:val="26"/>
        </w:rPr>
      </w:pPr>
    </w:p>
    <w:p>
      <w:pPr>
        <w:pStyle w:val="BodyText"/>
        <w:spacing w:before="4"/>
        <w:ind w:left="0"/>
        <w:rPr>
          <w:i/>
          <w:sz w:val="21"/>
        </w:rPr>
      </w:pPr>
    </w:p>
    <w:p>
      <w:pPr>
        <w:pStyle w:val="Heading3"/>
        <w:numPr>
          <w:ilvl w:val="2"/>
          <w:numId w:val="7"/>
        </w:numPr>
        <w:tabs>
          <w:tab w:pos="2882" w:val="left" w:leader="none"/>
        </w:tabs>
        <w:spacing w:line="240" w:lineRule="auto" w:before="0" w:after="0"/>
        <w:ind w:left="2881" w:right="0" w:hanging="541"/>
        <w:jc w:val="left"/>
        <w:rPr>
          <w:u w:val="single"/>
        </w:rPr>
      </w:pPr>
      <w:bookmarkStart w:name="3.5.7 ДЛП и цереброваскулярная болезнь" w:id="80"/>
      <w:bookmarkEnd w:id="80"/>
      <w:r>
        <w:rPr>
          <w:b w:val="0"/>
        </w:rPr>
      </w:r>
      <w:bookmarkStart w:name="_bookmark39" w:id="81"/>
      <w:bookmarkEnd w:id="81"/>
      <w:r>
        <w:rPr>
          <w:u w:val="single"/>
        </w:rPr>
        <w:t>Д</w:t>
      </w:r>
      <w:r>
        <w:rPr>
          <w:u w:val="single"/>
        </w:rPr>
        <w:t>ЛП</w:t>
      </w:r>
      <w:r>
        <w:rPr>
          <w:spacing w:val="-3"/>
          <w:u w:val="single"/>
        </w:rPr>
        <w:t> </w:t>
      </w:r>
      <w:r>
        <w:rPr>
          <w:u w:val="single"/>
        </w:rPr>
        <w:t>и</w:t>
      </w:r>
      <w:r>
        <w:rPr>
          <w:spacing w:val="-4"/>
          <w:u w:val="single"/>
        </w:rPr>
        <w:t> </w:t>
      </w:r>
      <w:r>
        <w:rPr>
          <w:u w:val="single"/>
        </w:rPr>
        <w:t>цереброваскулярная</w:t>
      </w:r>
      <w:r>
        <w:rPr>
          <w:spacing w:val="-3"/>
          <w:u w:val="single"/>
        </w:rPr>
        <w:t> </w:t>
      </w:r>
      <w:r>
        <w:rPr>
          <w:spacing w:val="-2"/>
          <w:u w:val="single"/>
        </w:rPr>
        <w:t>болезнь</w:t>
      </w:r>
    </w:p>
    <w:p>
      <w:pPr>
        <w:pStyle w:val="ListParagraph"/>
        <w:numPr>
          <w:ilvl w:val="0"/>
          <w:numId w:val="23"/>
        </w:numPr>
        <w:tabs>
          <w:tab w:pos="1981" w:val="left" w:leader="none"/>
          <w:tab w:pos="1982" w:val="left" w:leader="none"/>
        </w:tabs>
        <w:spacing w:line="355" w:lineRule="auto" w:before="141" w:after="0"/>
        <w:ind w:left="1981" w:right="762" w:hanging="360"/>
        <w:jc w:val="left"/>
        <w:rPr>
          <w:sz w:val="24"/>
        </w:rPr>
      </w:pPr>
      <w:r>
        <w:rPr>
          <w:sz w:val="24"/>
        </w:rPr>
        <w:t>Пациентам</w:t>
      </w:r>
      <w:r>
        <w:rPr>
          <w:spacing w:val="-6"/>
          <w:sz w:val="24"/>
        </w:rPr>
        <w:t> </w:t>
      </w:r>
      <w:r>
        <w:rPr>
          <w:sz w:val="24"/>
        </w:rPr>
        <w:t>с</w:t>
      </w:r>
      <w:r>
        <w:rPr>
          <w:spacing w:val="-6"/>
          <w:sz w:val="24"/>
        </w:rPr>
        <w:t> </w:t>
      </w:r>
      <w:r>
        <w:rPr>
          <w:sz w:val="24"/>
        </w:rPr>
        <w:t>перенесенным</w:t>
      </w:r>
      <w:r>
        <w:rPr>
          <w:spacing w:val="-6"/>
          <w:sz w:val="24"/>
        </w:rPr>
        <w:t> </w:t>
      </w:r>
      <w:r>
        <w:rPr>
          <w:sz w:val="24"/>
        </w:rPr>
        <w:t>ишемическим</w:t>
      </w:r>
      <w:r>
        <w:rPr>
          <w:spacing w:val="-6"/>
          <w:sz w:val="24"/>
        </w:rPr>
        <w:t> </w:t>
      </w:r>
      <w:r>
        <w:rPr>
          <w:sz w:val="24"/>
        </w:rPr>
        <w:t>инсультом</w:t>
      </w:r>
      <w:r>
        <w:rPr>
          <w:spacing w:val="-6"/>
          <w:sz w:val="24"/>
        </w:rPr>
        <w:t> </w:t>
      </w:r>
      <w:r>
        <w:rPr>
          <w:sz w:val="24"/>
        </w:rPr>
        <w:t>рекомендована</w:t>
      </w:r>
      <w:r>
        <w:rPr>
          <w:spacing w:val="-6"/>
          <w:sz w:val="24"/>
        </w:rPr>
        <w:t> </w:t>
      </w:r>
      <w:r>
        <w:rPr>
          <w:sz w:val="24"/>
        </w:rPr>
        <w:t>интенсивная липидснижающая терапия для достижения целевого уровня ХС ЛНП менее 1,4 ммоль/л [</w:t>
      </w:r>
      <w:hyperlink w:history="true" w:anchor="_bookmark83">
        <w:r>
          <w:rPr>
            <w:sz w:val="24"/>
          </w:rPr>
          <w:t>38</w:t>
        </w:r>
      </w:hyperlink>
      <w:r>
        <w:rPr>
          <w:sz w:val="24"/>
        </w:rPr>
        <w:t>, </w:t>
      </w:r>
      <w:hyperlink w:history="true" w:anchor="_bookmark95">
        <w:r>
          <w:rPr>
            <w:sz w:val="24"/>
          </w:rPr>
          <w:t>50</w:t>
        </w:r>
      </w:hyperlink>
      <w:r>
        <w:rPr>
          <w:sz w:val="24"/>
        </w:rPr>
        <w:t>, </w:t>
      </w:r>
      <w:hyperlink w:history="true" w:anchor="_bookmark158">
        <w:r>
          <w:rPr>
            <w:sz w:val="24"/>
          </w:rPr>
          <w:t>113</w:t>
        </w:r>
      </w:hyperlink>
      <w:r>
        <w:rPr>
          <w:sz w:val="24"/>
        </w:rPr>
        <w:t>, </w:t>
      </w:r>
      <w:hyperlink w:history="true" w:anchor="_bookmark159">
        <w:r>
          <w:rPr>
            <w:sz w:val="24"/>
          </w:rPr>
          <w:t>114</w:t>
        </w:r>
      </w:hyperlink>
      <w:r>
        <w:rPr>
          <w:sz w:val="24"/>
        </w:rPr>
        <w:t>, </w:t>
      </w:r>
      <w:hyperlink w:history="true" w:anchor="_bookmark240">
        <w:r>
          <w:rPr>
            <w:sz w:val="24"/>
          </w:rPr>
          <w:t>199</w:t>
        </w:r>
      </w:hyperlink>
      <w:r>
        <w:rPr>
          <w:sz w:val="24"/>
        </w:rPr>
        <w:t>, </w:t>
      </w:r>
      <w:hyperlink w:history="true" w:anchor="_bookmark241">
        <w:r>
          <w:rPr>
            <w:sz w:val="24"/>
          </w:rPr>
          <w:t>200</w:t>
        </w:r>
      </w:hyperlink>
      <w:r>
        <w:rPr>
          <w:sz w:val="24"/>
        </w:rPr>
        <w:t>, </w:t>
      </w:r>
      <w:hyperlink w:history="true" w:anchor="_bookmark242">
        <w:r>
          <w:rPr>
            <w:sz w:val="24"/>
          </w:rPr>
          <w:t>201</w:t>
        </w:r>
      </w:hyperlink>
      <w:r>
        <w:rPr>
          <w:sz w:val="24"/>
        </w:rPr>
        <w:t>].</w:t>
      </w:r>
    </w:p>
    <w:p>
      <w:pPr>
        <w:pStyle w:val="Heading2"/>
        <w:spacing w:before="4"/>
      </w:pPr>
      <w:r>
        <w:rPr/>
        <w:t>ЕОК/ЕОА</w:t>
      </w:r>
      <w:r>
        <w:rPr>
          <w:spacing w:val="-2"/>
        </w:rPr>
        <w:t> </w:t>
      </w:r>
      <w:r>
        <w:rPr/>
        <w:t>IA</w:t>
      </w:r>
      <w:r>
        <w:rPr>
          <w:spacing w:val="-2"/>
        </w:rPr>
        <w:t> </w:t>
      </w:r>
      <w:r>
        <w:rPr/>
        <w:t>(УУР</w:t>
      </w:r>
      <w:r>
        <w:rPr>
          <w:spacing w:val="-2"/>
        </w:rPr>
        <w:t> </w:t>
      </w:r>
      <w:r>
        <w:rPr/>
        <w:t>В,</w:t>
      </w:r>
      <w:r>
        <w:rPr>
          <w:spacing w:val="1"/>
        </w:rPr>
        <w:t> </w:t>
      </w:r>
      <w:r>
        <w:rPr/>
        <w:t>УДД</w:t>
      </w:r>
      <w:r>
        <w:rPr>
          <w:spacing w:val="-1"/>
        </w:rPr>
        <w:t> </w:t>
      </w:r>
      <w:r>
        <w:rPr>
          <w:spacing w:val="-5"/>
        </w:rPr>
        <w:t>1)</w:t>
      </w:r>
    </w:p>
    <w:p>
      <w:pPr>
        <w:pStyle w:val="BodyText"/>
        <w:spacing w:line="360" w:lineRule="auto" w:before="139"/>
        <w:ind w:left="1261" w:right="567"/>
        <w:jc w:val="both"/>
      </w:pPr>
      <w:r>
        <w:rPr>
          <w:b/>
        </w:rPr>
        <w:t>Комментарий: </w:t>
      </w:r>
      <w:r>
        <w:rPr/>
        <w:t>дополнительные преимущества от снижения уровня ХС ЛНП ниже 1,8 ммоль/л были продемонстрированы в исследовании TST (Treat Stroke to Target): у пациентов с ранее перенесенным ИИ выбор такой тактики лечения позволял уменьшать риск развития повторных сердечно-сосудистых событий событий на 22%. Результаты исследования IMPOVE-IT и двух метаанализов показали дополнительное снижение риска развития СС событий при снижении уровня ХС ЛНП&lt;1,4%, позволив определить</w:t>
      </w:r>
      <w:r>
        <w:rPr>
          <w:spacing w:val="80"/>
        </w:rPr>
        <w:t> </w:t>
      </w:r>
      <w:r>
        <w:rPr/>
        <w:t>формулу «чем ниже ХС ЛНП, тем ниже риск CC событий».</w:t>
      </w:r>
    </w:p>
    <w:p>
      <w:pPr>
        <w:pStyle w:val="ListParagraph"/>
        <w:numPr>
          <w:ilvl w:val="0"/>
          <w:numId w:val="23"/>
        </w:numPr>
        <w:tabs>
          <w:tab w:pos="1982" w:val="left" w:leader="none"/>
        </w:tabs>
        <w:spacing w:line="355" w:lineRule="auto" w:before="200" w:after="0"/>
        <w:ind w:left="1981" w:right="565" w:hanging="360"/>
        <w:jc w:val="both"/>
        <w:rPr>
          <w:sz w:val="24"/>
        </w:rPr>
      </w:pPr>
      <w:r>
        <w:rPr>
          <w:sz w:val="24"/>
        </w:rPr>
        <w:t>Рекомендуется большинству пациентам с ИИ или ТИА назначение высокоинтенсивной терапии статинами в максимально переносимых дозах для достижения целевого уровня ХС ЛНП [</w:t>
      </w:r>
      <w:hyperlink w:history="true" w:anchor="_bookmark121">
        <w:r>
          <w:rPr>
            <w:sz w:val="24"/>
          </w:rPr>
          <w:t>76,</w:t>
        </w:r>
      </w:hyperlink>
      <w:r>
        <w:rPr>
          <w:sz w:val="24"/>
        </w:rPr>
        <w:t> </w:t>
      </w:r>
      <w:hyperlink w:history="true" w:anchor="_bookmark241">
        <w:r>
          <w:rPr>
            <w:sz w:val="24"/>
          </w:rPr>
          <w:t>200,</w:t>
        </w:r>
      </w:hyperlink>
      <w:r>
        <w:rPr>
          <w:sz w:val="24"/>
        </w:rPr>
        <w:t> </w:t>
      </w:r>
      <w:hyperlink w:history="true" w:anchor="_bookmark244">
        <w:r>
          <w:rPr>
            <w:sz w:val="24"/>
          </w:rPr>
          <w:t>203</w:t>
        </w:r>
      </w:hyperlink>
      <w:r>
        <w:rPr>
          <w:sz w:val="24"/>
        </w:rPr>
        <w:t>].</w:t>
      </w:r>
    </w:p>
    <w:p>
      <w:pPr>
        <w:pStyle w:val="Heading2"/>
        <w:spacing w:before="6"/>
      </w:pPr>
      <w:r>
        <w:rPr/>
        <w:t>ЕОК/ЕОА</w:t>
      </w:r>
      <w:r>
        <w:rPr>
          <w:spacing w:val="-2"/>
        </w:rPr>
        <w:t> </w:t>
      </w:r>
      <w:r>
        <w:rPr/>
        <w:t>I</w:t>
      </w:r>
      <w:r>
        <w:rPr>
          <w:spacing w:val="-1"/>
        </w:rPr>
        <w:t> </w:t>
      </w:r>
      <w:r>
        <w:rPr/>
        <w:t>A</w:t>
      </w:r>
      <w:r>
        <w:rPr>
          <w:spacing w:val="-2"/>
        </w:rPr>
        <w:t> </w:t>
      </w:r>
      <w:r>
        <w:rPr/>
        <w:t>(УУР</w:t>
      </w:r>
      <w:r>
        <w:rPr>
          <w:spacing w:val="-2"/>
        </w:rPr>
        <w:t> </w:t>
      </w:r>
      <w:r>
        <w:rPr/>
        <w:t>В,</w:t>
      </w:r>
      <w:r>
        <w:rPr>
          <w:spacing w:val="1"/>
        </w:rPr>
        <w:t> </w:t>
      </w:r>
      <w:r>
        <w:rPr/>
        <w:t>УДД </w:t>
      </w:r>
      <w:r>
        <w:rPr>
          <w:spacing w:val="-5"/>
        </w:rPr>
        <w:t>1)</w:t>
      </w:r>
    </w:p>
    <w:p>
      <w:pPr>
        <w:pStyle w:val="BodyText"/>
        <w:spacing w:before="5"/>
        <w:ind w:left="0"/>
        <w:rPr>
          <w:b/>
          <w:sz w:val="29"/>
        </w:rPr>
      </w:pPr>
    </w:p>
    <w:p>
      <w:pPr>
        <w:pStyle w:val="BodyText"/>
        <w:spacing w:line="360" w:lineRule="auto"/>
        <w:ind w:left="1261" w:right="566"/>
        <w:jc w:val="both"/>
      </w:pPr>
      <w:r>
        <w:rPr>
          <w:b/>
        </w:rPr>
        <w:t>Комментарий: </w:t>
      </w:r>
      <w:r>
        <w:rPr/>
        <w:t>под высокоинтенсивной терапией статинами подразумевается назначение аторвастатина** в дозах 40–80 мг/сут или розувастатина в дозах 20–40 мг/сут. При повышении уровня ТГ выше целевого значения (2,3 ммоль/л) назначение статинов также является терапией первой линии.</w:t>
      </w:r>
    </w:p>
    <w:p>
      <w:pPr>
        <w:pStyle w:val="ListParagraph"/>
        <w:numPr>
          <w:ilvl w:val="0"/>
          <w:numId w:val="23"/>
        </w:numPr>
        <w:tabs>
          <w:tab w:pos="1982" w:val="left" w:leader="none"/>
        </w:tabs>
        <w:spacing w:line="350" w:lineRule="auto" w:before="201" w:after="0"/>
        <w:ind w:left="1981" w:right="567" w:hanging="360"/>
        <w:jc w:val="both"/>
        <w:rPr>
          <w:sz w:val="24"/>
        </w:rPr>
      </w:pPr>
      <w:r>
        <w:rPr>
          <w:sz w:val="24"/>
        </w:rPr>
        <w:t>Рекомендуется пациентам старше 75 лет, перенесшим ИИ или ТИА, начинать умеренно-интенсивную терапию статинами [</w:t>
      </w:r>
      <w:hyperlink w:history="true" w:anchor="_bookmark244">
        <w:r>
          <w:rPr>
            <w:sz w:val="24"/>
          </w:rPr>
          <w:t>203</w:t>
        </w:r>
      </w:hyperlink>
      <w:r>
        <w:rPr>
          <w:sz w:val="24"/>
        </w:rPr>
        <w:t>, </w:t>
      </w:r>
      <w:hyperlink w:history="true" w:anchor="_bookmark245">
        <w:r>
          <w:rPr>
            <w:sz w:val="24"/>
          </w:rPr>
          <w:t>204</w:t>
        </w:r>
      </w:hyperlink>
      <w:r>
        <w:rPr>
          <w:sz w:val="24"/>
        </w:rPr>
        <w:t>, </w:t>
      </w:r>
      <w:hyperlink w:history="true" w:anchor="_bookmark246">
        <w:r>
          <w:rPr>
            <w:sz w:val="24"/>
          </w:rPr>
          <w:t>205</w:t>
        </w:r>
      </w:hyperlink>
      <w:r>
        <w:rPr>
          <w:sz w:val="24"/>
        </w:rPr>
        <w:t>].</w:t>
      </w:r>
    </w:p>
    <w:p>
      <w:pPr>
        <w:pStyle w:val="Heading2"/>
        <w:spacing w:before="11"/>
      </w:pPr>
      <w:r>
        <w:rPr/>
        <w:t>ЕОК/ЕОА</w:t>
      </w:r>
      <w:r>
        <w:rPr>
          <w:spacing w:val="-2"/>
        </w:rPr>
        <w:t> </w:t>
      </w:r>
      <w:r>
        <w:rPr/>
        <w:t>I</w:t>
      </w:r>
      <w:r>
        <w:rPr>
          <w:spacing w:val="-1"/>
        </w:rPr>
        <w:t> </w:t>
      </w:r>
      <w:r>
        <w:rPr/>
        <w:t>A</w:t>
      </w:r>
      <w:r>
        <w:rPr>
          <w:spacing w:val="-2"/>
        </w:rPr>
        <w:t> </w:t>
      </w:r>
      <w:r>
        <w:rPr/>
        <w:t>(УУР</w:t>
      </w:r>
      <w:r>
        <w:rPr>
          <w:spacing w:val="-2"/>
        </w:rPr>
        <w:t> </w:t>
      </w:r>
      <w:r>
        <w:rPr/>
        <w:t>А,</w:t>
      </w:r>
      <w:r>
        <w:rPr>
          <w:spacing w:val="1"/>
        </w:rPr>
        <w:t> </w:t>
      </w:r>
      <w:r>
        <w:rPr/>
        <w:t>УДД</w:t>
      </w:r>
      <w:r>
        <w:rPr>
          <w:spacing w:val="-1"/>
        </w:rPr>
        <w:t> </w:t>
      </w:r>
      <w:r>
        <w:rPr>
          <w:spacing w:val="-5"/>
        </w:rPr>
        <w:t>1)</w:t>
      </w:r>
    </w:p>
    <w:p>
      <w:pPr>
        <w:spacing w:after="0"/>
        <w:sectPr>
          <w:pgSz w:w="11910" w:h="16840"/>
          <w:pgMar w:header="0" w:footer="710" w:top="1040" w:bottom="900" w:left="440" w:right="280"/>
        </w:sectPr>
      </w:pPr>
    </w:p>
    <w:p>
      <w:pPr>
        <w:pStyle w:val="BodyText"/>
        <w:spacing w:line="357" w:lineRule="auto" w:before="73"/>
        <w:ind w:left="1261" w:right="568"/>
        <w:jc w:val="both"/>
      </w:pPr>
      <w:r>
        <w:rPr>
          <w:b/>
        </w:rPr>
        <w:t>Комментарий: </w:t>
      </w:r>
      <w:r>
        <w:rPr/>
        <w:t>под умеренно интенсивной терапией </w:t>
      </w:r>
      <w:r>
        <w:rPr>
          <w:rFonts w:ascii="Calibri" w:hAnsi="Calibri"/>
          <w:sz w:val="22"/>
        </w:rPr>
        <w:t>с</w:t>
      </w:r>
      <w:r>
        <w:rPr/>
        <w:t>татин</w:t>
      </w:r>
      <w:r>
        <w:rPr>
          <w:rFonts w:ascii="Calibri" w:hAnsi="Calibri"/>
          <w:sz w:val="22"/>
        </w:rPr>
        <w:t>ами </w:t>
      </w:r>
      <w:r>
        <w:rPr/>
        <w:t>подразумевают</w:t>
      </w:r>
      <w:r>
        <w:rPr>
          <w:spacing w:val="40"/>
        </w:rPr>
        <w:t> </w:t>
      </w:r>
      <w:r>
        <w:rPr/>
        <w:t>назначение аторвастатина** 10–20 мг/сут, розувастатина 5–10 мг/сут, питавастатина 4 мг.</w:t>
      </w:r>
    </w:p>
    <w:p>
      <w:pPr>
        <w:pStyle w:val="ListParagraph"/>
        <w:numPr>
          <w:ilvl w:val="0"/>
          <w:numId w:val="23"/>
        </w:numPr>
        <w:tabs>
          <w:tab w:pos="1982" w:val="left" w:leader="none"/>
        </w:tabs>
        <w:spacing w:line="355" w:lineRule="auto" w:before="209" w:after="0"/>
        <w:ind w:left="1981" w:right="566" w:hanging="360"/>
        <w:jc w:val="both"/>
        <w:rPr>
          <w:sz w:val="24"/>
        </w:rPr>
      </w:pPr>
      <w:r>
        <w:rPr>
          <w:sz w:val="24"/>
        </w:rPr>
        <w:t>Рекомендуется пациентам старше 75 лет с ИИ или ТИА, ранее получавшим высокоинтенсивную терапию статинами, продолжить ее, не изменяя режим интенсивности [</w:t>
      </w:r>
      <w:hyperlink w:history="true" w:anchor="_bookmark247">
        <w:r>
          <w:rPr>
            <w:sz w:val="24"/>
          </w:rPr>
          <w:t>206</w:t>
        </w:r>
      </w:hyperlink>
      <w:r>
        <w:rPr>
          <w:sz w:val="24"/>
        </w:rPr>
        <w:t>, </w:t>
      </w:r>
      <w:hyperlink w:history="true" w:anchor="_bookmark248">
        <w:r>
          <w:rPr>
            <w:sz w:val="24"/>
          </w:rPr>
          <w:t>207</w:t>
        </w:r>
      </w:hyperlink>
      <w:r>
        <w:rPr>
          <w:sz w:val="24"/>
        </w:rPr>
        <w:t>].</w:t>
      </w:r>
    </w:p>
    <w:p>
      <w:pPr>
        <w:pStyle w:val="Heading3"/>
        <w:spacing w:before="4"/>
        <w:ind w:left="1621"/>
      </w:pPr>
      <w:r>
        <w:rPr/>
        <w:t>ЕОК/ЕОА</w:t>
      </w:r>
      <w:r>
        <w:rPr>
          <w:spacing w:val="-4"/>
        </w:rPr>
        <w:t> </w:t>
      </w:r>
      <w:r>
        <w:rPr/>
        <w:t>нет</w:t>
      </w:r>
      <w:r>
        <w:rPr>
          <w:spacing w:val="-2"/>
        </w:rPr>
        <w:t> </w:t>
      </w:r>
      <w:r>
        <w:rPr/>
        <w:t>(УУР</w:t>
      </w:r>
      <w:r>
        <w:rPr>
          <w:spacing w:val="-2"/>
        </w:rPr>
        <w:t> </w:t>
      </w:r>
      <w:r>
        <w:rPr/>
        <w:t>С,</w:t>
      </w:r>
      <w:r>
        <w:rPr>
          <w:spacing w:val="-1"/>
        </w:rPr>
        <w:t> </w:t>
      </w:r>
      <w:r>
        <w:rPr/>
        <w:t>УДД</w:t>
      </w:r>
      <w:r>
        <w:rPr>
          <w:spacing w:val="-1"/>
        </w:rPr>
        <w:t> </w:t>
      </w:r>
      <w:r>
        <w:rPr>
          <w:spacing w:val="-5"/>
        </w:rPr>
        <w:t>4)</w:t>
      </w:r>
    </w:p>
    <w:p>
      <w:pPr>
        <w:pStyle w:val="BodyText"/>
        <w:spacing w:before="7"/>
        <w:ind w:left="0"/>
        <w:rPr>
          <w:b/>
          <w:sz w:val="29"/>
        </w:rPr>
      </w:pPr>
    </w:p>
    <w:p>
      <w:pPr>
        <w:pStyle w:val="ListParagraph"/>
        <w:numPr>
          <w:ilvl w:val="0"/>
          <w:numId w:val="23"/>
        </w:numPr>
        <w:tabs>
          <w:tab w:pos="1982" w:val="left" w:leader="none"/>
        </w:tabs>
        <w:spacing w:line="355" w:lineRule="auto" w:before="0" w:after="0"/>
        <w:ind w:left="1981" w:right="566" w:hanging="360"/>
        <w:jc w:val="both"/>
        <w:rPr>
          <w:sz w:val="24"/>
        </w:rPr>
      </w:pPr>
      <w:r>
        <w:rPr>
          <w:sz w:val="24"/>
        </w:rPr>
        <w:t>Рекомендуется пациентам с ИИ или ТИА, не достигшим целевых значений ХС ЛНП на фоне терапии максимально переносимыми дозами статинами в течение 4- 12 недель, добавление к терапии эзетимиба [</w:t>
      </w:r>
      <w:hyperlink w:history="true" w:anchor="_bookmark240">
        <w:r>
          <w:rPr>
            <w:sz w:val="24"/>
          </w:rPr>
          <w:t>199</w:t>
        </w:r>
      </w:hyperlink>
      <w:r>
        <w:rPr>
          <w:sz w:val="24"/>
        </w:rPr>
        <w:t>, </w:t>
      </w:r>
      <w:hyperlink w:history="true" w:anchor="_bookmark249">
        <w:r>
          <w:rPr>
            <w:sz w:val="24"/>
          </w:rPr>
          <w:t>208</w:t>
        </w:r>
      </w:hyperlink>
      <w:r>
        <w:rPr>
          <w:sz w:val="24"/>
        </w:rPr>
        <w:t>].</w:t>
      </w:r>
    </w:p>
    <w:p>
      <w:pPr>
        <w:pStyle w:val="Heading2"/>
        <w:spacing w:before="6"/>
      </w:pPr>
      <w:r>
        <w:rPr/>
        <w:t>ЕОК/ЕОА</w:t>
      </w:r>
      <w:r>
        <w:rPr>
          <w:spacing w:val="-4"/>
        </w:rPr>
        <w:t> </w:t>
      </w:r>
      <w:r>
        <w:rPr/>
        <w:t>1</w:t>
      </w:r>
      <w:r>
        <w:rPr>
          <w:spacing w:val="-1"/>
        </w:rPr>
        <w:t> </w:t>
      </w:r>
      <w:r>
        <w:rPr/>
        <w:t>А</w:t>
      </w:r>
      <w:r>
        <w:rPr>
          <w:spacing w:val="-2"/>
        </w:rPr>
        <w:t> </w:t>
      </w:r>
      <w:r>
        <w:rPr/>
        <w:t>(УУР</w:t>
      </w:r>
      <w:r>
        <w:rPr>
          <w:spacing w:val="-2"/>
        </w:rPr>
        <w:t> </w:t>
      </w:r>
      <w:r>
        <w:rPr/>
        <w:t>В,</w:t>
      </w:r>
      <w:r>
        <w:rPr>
          <w:spacing w:val="1"/>
        </w:rPr>
        <w:t> </w:t>
      </w:r>
      <w:r>
        <w:rPr/>
        <w:t>УДД </w:t>
      </w:r>
      <w:r>
        <w:rPr>
          <w:spacing w:val="-5"/>
        </w:rPr>
        <w:t>4)</w:t>
      </w:r>
    </w:p>
    <w:p>
      <w:pPr>
        <w:pStyle w:val="BodyText"/>
        <w:spacing w:before="7"/>
        <w:ind w:left="0"/>
        <w:rPr>
          <w:b/>
          <w:sz w:val="29"/>
        </w:rPr>
      </w:pPr>
    </w:p>
    <w:p>
      <w:pPr>
        <w:pStyle w:val="ListParagraph"/>
        <w:numPr>
          <w:ilvl w:val="0"/>
          <w:numId w:val="23"/>
        </w:numPr>
        <w:tabs>
          <w:tab w:pos="1982" w:val="left" w:leader="none"/>
        </w:tabs>
        <w:spacing w:line="348" w:lineRule="auto" w:before="0" w:after="0"/>
        <w:ind w:left="1981" w:right="567" w:hanging="360"/>
        <w:jc w:val="both"/>
        <w:rPr>
          <w:sz w:val="24"/>
        </w:rPr>
      </w:pPr>
      <w:r>
        <w:rPr>
          <w:sz w:val="24"/>
        </w:rPr>
        <w:t>Рекомендуется пациентам с ИИ или ТИА и непереносимостью статинаов назначение эзетимиба с целью достижения целевого значения ХС ЛНП [</w:t>
      </w:r>
      <w:hyperlink w:history="true" w:anchor="_bookmark117">
        <w:r>
          <w:rPr>
            <w:sz w:val="24"/>
          </w:rPr>
          <w:t>72</w:t>
        </w:r>
      </w:hyperlink>
      <w:r>
        <w:rPr>
          <w:sz w:val="24"/>
        </w:rPr>
        <w:t>, </w:t>
      </w:r>
      <w:hyperlink w:history="true" w:anchor="_bookmark118">
        <w:r>
          <w:rPr>
            <w:sz w:val="24"/>
          </w:rPr>
          <w:t>73</w:t>
        </w:r>
      </w:hyperlink>
      <w:r>
        <w:rPr>
          <w:sz w:val="24"/>
        </w:rPr>
        <w:t>].</w:t>
      </w:r>
    </w:p>
    <w:p>
      <w:pPr>
        <w:pStyle w:val="Heading2"/>
        <w:spacing w:before="16"/>
      </w:pPr>
      <w:r>
        <w:rPr/>
        <w:t>ЕОК/ЕОА</w:t>
      </w:r>
      <w:r>
        <w:rPr>
          <w:spacing w:val="-2"/>
        </w:rPr>
        <w:t> </w:t>
      </w:r>
      <w:r>
        <w:rPr/>
        <w:t>I</w:t>
      </w:r>
      <w:r>
        <w:rPr>
          <w:spacing w:val="-1"/>
        </w:rPr>
        <w:t> </w:t>
      </w:r>
      <w:r>
        <w:rPr/>
        <w:t>B</w:t>
      </w:r>
      <w:r>
        <w:rPr>
          <w:spacing w:val="-1"/>
        </w:rPr>
        <w:t> </w:t>
      </w:r>
      <w:r>
        <w:rPr/>
        <w:t>(УУР</w:t>
      </w:r>
      <w:r>
        <w:rPr>
          <w:spacing w:val="-2"/>
        </w:rPr>
        <w:t> </w:t>
      </w:r>
      <w:r>
        <w:rPr/>
        <w:t>С,</w:t>
      </w:r>
      <w:r>
        <w:rPr>
          <w:spacing w:val="1"/>
        </w:rPr>
        <w:t> </w:t>
      </w:r>
      <w:r>
        <w:rPr/>
        <w:t>УДД</w:t>
      </w:r>
      <w:r>
        <w:rPr>
          <w:spacing w:val="-1"/>
        </w:rPr>
        <w:t> </w:t>
      </w:r>
      <w:r>
        <w:rPr>
          <w:spacing w:val="-5"/>
        </w:rPr>
        <w:t>5)</w:t>
      </w:r>
    </w:p>
    <w:p>
      <w:pPr>
        <w:pStyle w:val="BodyText"/>
        <w:spacing w:before="5"/>
        <w:ind w:left="0"/>
        <w:rPr>
          <w:b/>
          <w:sz w:val="29"/>
        </w:rPr>
      </w:pPr>
    </w:p>
    <w:p>
      <w:pPr>
        <w:spacing w:line="360" w:lineRule="auto" w:before="0"/>
        <w:ind w:left="1261" w:right="566" w:firstLine="0"/>
        <w:jc w:val="both"/>
        <w:rPr>
          <w:i/>
          <w:sz w:val="24"/>
        </w:rPr>
      </w:pPr>
      <w:r>
        <w:rPr>
          <w:b/>
          <w:i/>
          <w:sz w:val="24"/>
        </w:rPr>
        <w:t>Комментарий: </w:t>
      </w:r>
      <w:r>
        <w:rPr>
          <w:i/>
          <w:sz w:val="24"/>
        </w:rPr>
        <w:t>под непереносимостью статинов понимается развитие побочных эффектов после отмены и повторного рестарта терапии, в том числе с назначением другого </w:t>
      </w:r>
      <w:r>
        <w:rPr>
          <w:rFonts w:ascii="Calibri" w:hAnsi="Calibri"/>
          <w:i/>
          <w:sz w:val="22"/>
        </w:rPr>
        <w:t>с</w:t>
      </w:r>
      <w:r>
        <w:rPr>
          <w:i/>
          <w:sz w:val="24"/>
        </w:rPr>
        <w:t>татин</w:t>
      </w:r>
      <w:r>
        <w:rPr>
          <w:rFonts w:ascii="Calibri" w:hAnsi="Calibri"/>
          <w:i/>
          <w:sz w:val="22"/>
        </w:rPr>
        <w:t>а </w:t>
      </w:r>
      <w:r>
        <w:rPr>
          <w:i/>
          <w:sz w:val="24"/>
        </w:rPr>
        <w:t>и/или в сниженной дозе.</w:t>
      </w:r>
    </w:p>
    <w:p>
      <w:pPr>
        <w:pStyle w:val="ListParagraph"/>
        <w:numPr>
          <w:ilvl w:val="0"/>
          <w:numId w:val="23"/>
        </w:numPr>
        <w:tabs>
          <w:tab w:pos="1982" w:val="left" w:leader="none"/>
        </w:tabs>
        <w:spacing w:line="355" w:lineRule="auto" w:before="200" w:after="0"/>
        <w:ind w:left="1981" w:right="568" w:hanging="360"/>
        <w:jc w:val="both"/>
        <w:rPr>
          <w:sz w:val="24"/>
        </w:rPr>
      </w:pPr>
      <w:r>
        <w:rPr>
          <w:sz w:val="24"/>
        </w:rPr>
        <w:t>Рекомендуется пациентам с ИИ или ТИА добавление к</w:t>
      </w:r>
      <w:r>
        <w:rPr>
          <w:spacing w:val="-1"/>
          <w:sz w:val="24"/>
        </w:rPr>
        <w:t> </w:t>
      </w:r>
      <w:r>
        <w:rPr>
          <w:sz w:val="24"/>
        </w:rPr>
        <w:t>проводимой терапии статинами и</w:t>
      </w:r>
      <w:r>
        <w:rPr>
          <w:spacing w:val="-2"/>
          <w:sz w:val="24"/>
        </w:rPr>
        <w:t> </w:t>
      </w:r>
      <w:r>
        <w:rPr>
          <w:sz w:val="24"/>
        </w:rPr>
        <w:t>эзетимибом алирокумаба**, инклисирана** или эволокумаба**, с целью достижения целевого значения ХС ЛНП [</w:t>
      </w:r>
      <w:hyperlink w:history="true" w:anchor="_bookmark85">
        <w:r>
          <w:rPr>
            <w:sz w:val="24"/>
          </w:rPr>
          <w:t>40</w:t>
        </w:r>
      </w:hyperlink>
      <w:r>
        <w:rPr>
          <w:sz w:val="24"/>
        </w:rPr>
        <w:t>, </w:t>
      </w:r>
      <w:hyperlink w:history="true" w:anchor="_bookmark243">
        <w:r>
          <w:rPr>
            <w:sz w:val="24"/>
          </w:rPr>
          <w:t>202</w:t>
        </w:r>
      </w:hyperlink>
      <w:r>
        <w:rPr>
          <w:sz w:val="24"/>
        </w:rPr>
        <w:t>, </w:t>
      </w:r>
      <w:hyperlink w:history="true" w:anchor="_bookmark282">
        <w:r>
          <w:rPr>
            <w:sz w:val="24"/>
          </w:rPr>
          <w:t>241</w:t>
        </w:r>
      </w:hyperlink>
      <w:r>
        <w:rPr>
          <w:sz w:val="24"/>
        </w:rPr>
        <w:t>-</w:t>
      </w:r>
      <w:hyperlink w:history="true" w:anchor="_bookmark283">
        <w:r>
          <w:rPr>
            <w:sz w:val="24"/>
          </w:rPr>
          <w:t>243</w:t>
        </w:r>
      </w:hyperlink>
      <w:r>
        <w:rPr>
          <w:sz w:val="24"/>
        </w:rPr>
        <w:t>].</w:t>
      </w:r>
    </w:p>
    <w:p>
      <w:pPr>
        <w:pStyle w:val="Heading2"/>
        <w:spacing w:before="6"/>
      </w:pPr>
      <w:r>
        <w:rPr/>
        <w:t>ЕОК/ЕОА</w:t>
      </w:r>
      <w:r>
        <w:rPr>
          <w:spacing w:val="-2"/>
        </w:rPr>
        <w:t> </w:t>
      </w:r>
      <w:r>
        <w:rPr/>
        <w:t>1</w:t>
      </w:r>
      <w:r>
        <w:rPr>
          <w:spacing w:val="-1"/>
        </w:rPr>
        <w:t> </w:t>
      </w:r>
      <w:r>
        <w:rPr/>
        <w:t>А</w:t>
      </w:r>
      <w:r>
        <w:rPr>
          <w:spacing w:val="-2"/>
        </w:rPr>
        <w:t> </w:t>
      </w:r>
      <w:r>
        <w:rPr/>
        <w:t>(УУР</w:t>
      </w:r>
      <w:r>
        <w:rPr>
          <w:spacing w:val="-2"/>
        </w:rPr>
        <w:t> </w:t>
      </w:r>
      <w:r>
        <w:rPr/>
        <w:t>A,</w:t>
      </w:r>
      <w:r>
        <w:rPr>
          <w:spacing w:val="1"/>
        </w:rPr>
        <w:t> </w:t>
      </w:r>
      <w:r>
        <w:rPr/>
        <w:t>УДД</w:t>
      </w:r>
      <w:r>
        <w:rPr>
          <w:spacing w:val="-1"/>
        </w:rPr>
        <w:t> </w:t>
      </w:r>
      <w:r>
        <w:rPr>
          <w:spacing w:val="-5"/>
        </w:rPr>
        <w:t>1)</w:t>
      </w:r>
    </w:p>
    <w:p>
      <w:pPr>
        <w:pStyle w:val="BodyText"/>
        <w:spacing w:before="7"/>
        <w:ind w:left="0"/>
        <w:rPr>
          <w:b/>
          <w:sz w:val="29"/>
        </w:rPr>
      </w:pPr>
    </w:p>
    <w:p>
      <w:pPr>
        <w:pStyle w:val="ListParagraph"/>
        <w:numPr>
          <w:ilvl w:val="0"/>
          <w:numId w:val="23"/>
        </w:numPr>
        <w:tabs>
          <w:tab w:pos="1982" w:val="left" w:leader="none"/>
        </w:tabs>
        <w:spacing w:line="355" w:lineRule="auto" w:before="0" w:after="0"/>
        <w:ind w:left="1981" w:right="568" w:hanging="360"/>
        <w:jc w:val="both"/>
        <w:rPr>
          <w:sz w:val="24"/>
        </w:rPr>
      </w:pPr>
      <w:r>
        <w:rPr>
          <w:sz w:val="24"/>
        </w:rPr>
        <w:t>Рекомендуется пациентам с ИИ и ТИА оценка эффективности проводимой гиполипидемической терапии, ее безопасности и приверженности пациента к проводимому лечению (включая изменение образа жизни) [</w:t>
      </w:r>
      <w:hyperlink w:history="true" w:anchor="_bookmark250">
        <w:r>
          <w:rPr>
            <w:sz w:val="24"/>
          </w:rPr>
          <w:t>209,</w:t>
        </w:r>
      </w:hyperlink>
      <w:r>
        <w:rPr>
          <w:sz w:val="24"/>
        </w:rPr>
        <w:t> </w:t>
      </w:r>
      <w:hyperlink w:history="true" w:anchor="_bookmark251">
        <w:r>
          <w:rPr>
            <w:sz w:val="24"/>
          </w:rPr>
          <w:t>210</w:t>
        </w:r>
      </w:hyperlink>
      <w:r>
        <w:rPr>
          <w:sz w:val="24"/>
        </w:rPr>
        <w:t>].</w:t>
      </w:r>
    </w:p>
    <w:p>
      <w:pPr>
        <w:pStyle w:val="Heading3"/>
        <w:spacing w:before="6"/>
      </w:pPr>
      <w:r>
        <w:rPr/>
        <w:t>ЕОК/ЕОА</w:t>
      </w:r>
      <w:r>
        <w:rPr>
          <w:spacing w:val="-4"/>
        </w:rPr>
        <w:t> </w:t>
      </w:r>
      <w:r>
        <w:rPr/>
        <w:t>нет</w:t>
      </w:r>
      <w:r>
        <w:rPr>
          <w:spacing w:val="-2"/>
        </w:rPr>
        <w:t> </w:t>
      </w:r>
      <w:r>
        <w:rPr/>
        <w:t>(УУР</w:t>
      </w:r>
      <w:r>
        <w:rPr>
          <w:spacing w:val="-2"/>
        </w:rPr>
        <w:t> </w:t>
      </w:r>
      <w:r>
        <w:rPr/>
        <w:t>С,</w:t>
      </w:r>
      <w:r>
        <w:rPr>
          <w:spacing w:val="-1"/>
        </w:rPr>
        <w:t> </w:t>
      </w:r>
      <w:r>
        <w:rPr/>
        <w:t>УДД</w:t>
      </w:r>
      <w:r>
        <w:rPr>
          <w:spacing w:val="-1"/>
        </w:rPr>
        <w:t> </w:t>
      </w:r>
      <w:r>
        <w:rPr>
          <w:spacing w:val="-5"/>
        </w:rPr>
        <w:t>4)</w:t>
      </w:r>
    </w:p>
    <w:p>
      <w:pPr>
        <w:pStyle w:val="BodyText"/>
        <w:spacing w:before="2"/>
        <w:ind w:left="0"/>
        <w:rPr>
          <w:b/>
          <w:sz w:val="29"/>
        </w:rPr>
      </w:pPr>
    </w:p>
    <w:p>
      <w:pPr>
        <w:spacing w:line="360" w:lineRule="auto" w:before="1"/>
        <w:ind w:left="1261" w:right="567" w:firstLine="0"/>
        <w:jc w:val="both"/>
        <w:rPr>
          <w:i/>
          <w:sz w:val="24"/>
        </w:rPr>
      </w:pPr>
      <w:r>
        <w:rPr>
          <w:b/>
          <w:i/>
          <w:sz w:val="24"/>
        </w:rPr>
        <w:t>Комментарий: </w:t>
      </w:r>
      <w:r>
        <w:rPr>
          <w:i/>
          <w:sz w:val="24"/>
        </w:rPr>
        <w:t>целесообразно проводить оценку лабораторных параметров (измерение уровня липидов натощак, АЛТ, АСТ) спустя 4–12 недель после начала приема </w:t>
      </w:r>
      <w:r>
        <w:rPr>
          <w:rFonts w:ascii="Calibri" w:hAnsi="Calibri"/>
          <w:i/>
          <w:sz w:val="22"/>
        </w:rPr>
        <w:t>с</w:t>
      </w:r>
      <w:r>
        <w:rPr>
          <w:i/>
          <w:sz w:val="24"/>
        </w:rPr>
        <w:t>татин</w:t>
      </w:r>
      <w:r>
        <w:rPr>
          <w:rFonts w:ascii="Calibri" w:hAnsi="Calibri"/>
          <w:i/>
          <w:sz w:val="22"/>
        </w:rPr>
        <w:t>ов </w:t>
      </w:r>
      <w:r>
        <w:rPr>
          <w:i/>
          <w:sz w:val="24"/>
        </w:rPr>
        <w:t>или увеличения их дозы. После достижения целевого уровня ХС ЛНП и ТГ (целевое значение для ТГ — менее 2,3 ммоль/л) рекомендован ежегодный лабораторный контроль (при отсутствии проблем с приверженностью пациента или других конкретных причин более</w:t>
      </w:r>
      <w:r>
        <w:rPr>
          <w:i/>
          <w:spacing w:val="54"/>
          <w:w w:val="150"/>
          <w:sz w:val="24"/>
        </w:rPr>
        <w:t> </w:t>
      </w:r>
      <w:r>
        <w:rPr>
          <w:i/>
          <w:sz w:val="24"/>
        </w:rPr>
        <w:t>частого</w:t>
      </w:r>
      <w:r>
        <w:rPr>
          <w:i/>
          <w:spacing w:val="58"/>
          <w:w w:val="150"/>
          <w:sz w:val="24"/>
        </w:rPr>
        <w:t> </w:t>
      </w:r>
      <w:r>
        <w:rPr>
          <w:i/>
          <w:sz w:val="24"/>
        </w:rPr>
        <w:t>мониторинга).</w:t>
      </w:r>
      <w:r>
        <w:rPr>
          <w:i/>
          <w:spacing w:val="57"/>
          <w:w w:val="150"/>
          <w:sz w:val="24"/>
        </w:rPr>
        <w:t> </w:t>
      </w:r>
      <w:r>
        <w:rPr>
          <w:i/>
          <w:sz w:val="24"/>
        </w:rPr>
        <w:t>Рутинный</w:t>
      </w:r>
      <w:r>
        <w:rPr>
          <w:i/>
          <w:spacing w:val="58"/>
          <w:w w:val="150"/>
          <w:sz w:val="24"/>
        </w:rPr>
        <w:t> </w:t>
      </w:r>
      <w:r>
        <w:rPr>
          <w:i/>
          <w:sz w:val="24"/>
        </w:rPr>
        <w:t>контроль</w:t>
      </w:r>
      <w:r>
        <w:rPr>
          <w:i/>
          <w:spacing w:val="59"/>
          <w:w w:val="150"/>
          <w:sz w:val="24"/>
        </w:rPr>
        <w:t> </w:t>
      </w:r>
      <w:r>
        <w:rPr>
          <w:i/>
          <w:sz w:val="24"/>
        </w:rPr>
        <w:t>печеночных</w:t>
      </w:r>
      <w:r>
        <w:rPr>
          <w:i/>
          <w:spacing w:val="56"/>
          <w:w w:val="150"/>
          <w:sz w:val="24"/>
        </w:rPr>
        <w:t> </w:t>
      </w:r>
      <w:r>
        <w:rPr>
          <w:i/>
          <w:sz w:val="24"/>
        </w:rPr>
        <w:t>ферментов</w:t>
      </w:r>
      <w:r>
        <w:rPr>
          <w:i/>
          <w:spacing w:val="57"/>
          <w:w w:val="150"/>
          <w:sz w:val="24"/>
        </w:rPr>
        <w:t> </w:t>
      </w:r>
      <w:r>
        <w:rPr>
          <w:i/>
          <w:sz w:val="24"/>
        </w:rPr>
        <w:t>во</w:t>
      </w:r>
      <w:r>
        <w:rPr>
          <w:i/>
          <w:spacing w:val="58"/>
          <w:w w:val="150"/>
          <w:sz w:val="24"/>
        </w:rPr>
        <w:t> </w:t>
      </w:r>
      <w:r>
        <w:rPr>
          <w:i/>
          <w:spacing w:val="-2"/>
          <w:sz w:val="24"/>
        </w:rPr>
        <w:t>время</w:t>
      </w:r>
    </w:p>
    <w:p>
      <w:pPr>
        <w:spacing w:after="0" w:line="360" w:lineRule="auto"/>
        <w:jc w:val="both"/>
        <w:rPr>
          <w:sz w:val="24"/>
        </w:rPr>
        <w:sectPr>
          <w:pgSz w:w="11910" w:h="16840"/>
          <w:pgMar w:header="0" w:footer="710" w:top="1040" w:bottom="900" w:left="440" w:right="280"/>
        </w:sectPr>
      </w:pPr>
    </w:p>
    <w:p>
      <w:pPr>
        <w:tabs>
          <w:tab w:pos="2322" w:val="left" w:leader="none"/>
          <w:tab w:pos="3800" w:val="left" w:leader="none"/>
          <w:tab w:pos="4302" w:val="left" w:leader="none"/>
          <w:tab w:pos="6200" w:val="left" w:leader="none"/>
          <w:tab w:pos="6690" w:val="left" w:leader="none"/>
          <w:tab w:pos="8298" w:val="left" w:leader="none"/>
          <w:tab w:pos="9385" w:val="left" w:leader="none"/>
        </w:tabs>
        <w:spacing w:line="360" w:lineRule="auto" w:before="73"/>
        <w:ind w:left="1261" w:right="571" w:firstLine="0"/>
        <w:jc w:val="left"/>
        <w:rPr>
          <w:i/>
          <w:sz w:val="24"/>
        </w:rPr>
      </w:pPr>
      <w:r>
        <w:rPr>
          <w:i/>
          <w:spacing w:val="-2"/>
          <w:sz w:val="24"/>
        </w:rPr>
        <w:t>лечения</w:t>
      </w:r>
      <w:r>
        <w:rPr>
          <w:i/>
          <w:sz w:val="24"/>
        </w:rPr>
        <w:tab/>
      </w:r>
      <w:r>
        <w:rPr>
          <w:i/>
          <w:spacing w:val="-2"/>
          <w:sz w:val="24"/>
        </w:rPr>
        <w:t>статинами</w:t>
      </w:r>
      <w:r>
        <w:rPr>
          <w:i/>
          <w:sz w:val="24"/>
        </w:rPr>
        <w:tab/>
      </w:r>
      <w:r>
        <w:rPr>
          <w:i/>
          <w:spacing w:val="-6"/>
          <w:sz w:val="24"/>
        </w:rPr>
        <w:t>не</w:t>
      </w:r>
      <w:r>
        <w:rPr>
          <w:i/>
          <w:sz w:val="24"/>
        </w:rPr>
        <w:tab/>
      </w:r>
      <w:r>
        <w:rPr>
          <w:i/>
          <w:spacing w:val="-2"/>
          <w:sz w:val="24"/>
        </w:rPr>
        <w:t>рекомендуется,</w:t>
      </w:r>
      <w:r>
        <w:rPr>
          <w:i/>
          <w:sz w:val="24"/>
        </w:rPr>
        <w:tab/>
      </w:r>
      <w:r>
        <w:rPr>
          <w:i/>
          <w:spacing w:val="-6"/>
          <w:sz w:val="24"/>
        </w:rPr>
        <w:t>за</w:t>
      </w:r>
      <w:r>
        <w:rPr>
          <w:i/>
          <w:sz w:val="24"/>
        </w:rPr>
        <w:tab/>
      </w:r>
      <w:r>
        <w:rPr>
          <w:i/>
          <w:spacing w:val="-2"/>
          <w:sz w:val="24"/>
        </w:rPr>
        <w:t>исключением</w:t>
      </w:r>
      <w:r>
        <w:rPr>
          <w:i/>
          <w:sz w:val="24"/>
        </w:rPr>
        <w:tab/>
      </w:r>
      <w:r>
        <w:rPr>
          <w:i/>
          <w:spacing w:val="-2"/>
          <w:sz w:val="24"/>
        </w:rPr>
        <w:t>наличия</w:t>
      </w:r>
      <w:r>
        <w:rPr>
          <w:i/>
          <w:sz w:val="24"/>
        </w:rPr>
        <w:tab/>
      </w:r>
      <w:r>
        <w:rPr>
          <w:i/>
          <w:spacing w:val="-2"/>
          <w:sz w:val="24"/>
        </w:rPr>
        <w:t>симптомов, </w:t>
      </w:r>
      <w:r>
        <w:rPr>
          <w:i/>
          <w:sz w:val="24"/>
        </w:rPr>
        <w:t>свидетельствующих о патологии печени.</w:t>
      </w:r>
    </w:p>
    <w:p>
      <w:pPr>
        <w:pStyle w:val="BodyText"/>
        <w:ind w:left="0"/>
        <w:rPr>
          <w:i/>
          <w:sz w:val="26"/>
        </w:rPr>
      </w:pPr>
    </w:p>
    <w:p>
      <w:pPr>
        <w:pStyle w:val="BodyText"/>
        <w:ind w:left="0"/>
        <w:rPr>
          <w:i/>
          <w:sz w:val="26"/>
        </w:rPr>
      </w:pPr>
    </w:p>
    <w:p>
      <w:pPr>
        <w:pStyle w:val="Heading3"/>
        <w:numPr>
          <w:ilvl w:val="2"/>
          <w:numId w:val="7"/>
        </w:numPr>
        <w:tabs>
          <w:tab w:pos="2882" w:val="left" w:leader="none"/>
        </w:tabs>
        <w:spacing w:line="240" w:lineRule="auto" w:before="218" w:after="0"/>
        <w:ind w:left="2881" w:right="0" w:hanging="541"/>
        <w:jc w:val="left"/>
        <w:rPr>
          <w:u w:val="single"/>
        </w:rPr>
      </w:pPr>
      <w:bookmarkStart w:name="3.5.8 ДЛП и клапанные пороки сердца" w:id="82"/>
      <w:bookmarkEnd w:id="82"/>
      <w:r>
        <w:rPr>
          <w:b w:val="0"/>
        </w:rPr>
      </w:r>
      <w:bookmarkStart w:name="_bookmark40" w:id="83"/>
      <w:bookmarkEnd w:id="83"/>
      <w:r>
        <w:rPr>
          <w:u w:val="single"/>
        </w:rPr>
        <w:t>Д</w:t>
      </w:r>
      <w:r>
        <w:rPr>
          <w:u w:val="single"/>
        </w:rPr>
        <w:t>ЛП</w:t>
      </w:r>
      <w:r>
        <w:rPr>
          <w:spacing w:val="-3"/>
          <w:u w:val="single"/>
        </w:rPr>
        <w:t> </w:t>
      </w:r>
      <w:r>
        <w:rPr>
          <w:u w:val="single"/>
        </w:rPr>
        <w:t>и</w:t>
      </w:r>
      <w:r>
        <w:rPr>
          <w:spacing w:val="-3"/>
          <w:u w:val="single"/>
        </w:rPr>
        <w:t> </w:t>
      </w:r>
      <w:r>
        <w:rPr>
          <w:u w:val="single"/>
        </w:rPr>
        <w:t>клапанные</w:t>
      </w:r>
      <w:r>
        <w:rPr>
          <w:spacing w:val="-3"/>
          <w:u w:val="single"/>
        </w:rPr>
        <w:t> </w:t>
      </w:r>
      <w:r>
        <w:rPr>
          <w:u w:val="single"/>
        </w:rPr>
        <w:t>пороки</w:t>
      </w:r>
      <w:r>
        <w:rPr>
          <w:spacing w:val="-2"/>
          <w:u w:val="single"/>
        </w:rPr>
        <w:t> сердца</w:t>
      </w:r>
    </w:p>
    <w:p>
      <w:pPr>
        <w:pStyle w:val="BodyText"/>
        <w:spacing w:before="3"/>
        <w:ind w:left="0"/>
        <w:rPr>
          <w:b/>
        </w:rPr>
      </w:pPr>
    </w:p>
    <w:p>
      <w:pPr>
        <w:pStyle w:val="ListParagraph"/>
        <w:numPr>
          <w:ilvl w:val="0"/>
          <w:numId w:val="23"/>
        </w:numPr>
        <w:tabs>
          <w:tab w:pos="1982" w:val="left" w:leader="none"/>
        </w:tabs>
        <w:spacing w:line="357" w:lineRule="auto" w:before="100" w:after="0"/>
        <w:ind w:left="1981" w:right="566" w:hanging="360"/>
        <w:jc w:val="both"/>
        <w:rPr>
          <w:sz w:val="24"/>
        </w:rPr>
      </w:pPr>
      <w:r>
        <w:rPr>
          <w:sz w:val="24"/>
        </w:rPr>
        <w:t>Пациентам с аортальным стенозом без сопутствующей ИБС не рекомендовано начинать гиполипидемическую терапию с целью замедления прогрессирования аортального стеноза в отсутствие других показаний к такому лечению [</w:t>
      </w:r>
      <w:hyperlink w:history="true" w:anchor="_bookmark160">
        <w:r>
          <w:rPr>
            <w:sz w:val="24"/>
          </w:rPr>
          <w:t>115</w:t>
        </w:r>
      </w:hyperlink>
      <w:r>
        <w:rPr>
          <w:sz w:val="24"/>
        </w:rPr>
        <w:t>, </w:t>
      </w:r>
      <w:hyperlink w:history="true" w:anchor="_bookmark161">
        <w:r>
          <w:rPr>
            <w:sz w:val="24"/>
          </w:rPr>
          <w:t>116,</w:t>
        </w:r>
      </w:hyperlink>
      <w:r>
        <w:rPr>
          <w:sz w:val="24"/>
        </w:rPr>
        <w:t> </w:t>
      </w:r>
      <w:hyperlink w:history="true" w:anchor="_bookmark162">
        <w:r>
          <w:rPr>
            <w:sz w:val="24"/>
          </w:rPr>
          <w:t>117</w:t>
        </w:r>
      </w:hyperlink>
      <w:r>
        <w:rPr>
          <w:sz w:val="24"/>
        </w:rPr>
        <w:t>, </w:t>
      </w:r>
      <w:hyperlink w:history="true" w:anchor="_bookmark163">
        <w:r>
          <w:rPr>
            <w:sz w:val="24"/>
          </w:rPr>
          <w:t>118</w:t>
        </w:r>
      </w:hyperlink>
      <w:r>
        <w:rPr>
          <w:sz w:val="24"/>
        </w:rPr>
        <w:t>].</w:t>
      </w:r>
    </w:p>
    <w:p>
      <w:pPr>
        <w:pStyle w:val="Heading2"/>
        <w:spacing w:line="275" w:lineRule="exact"/>
      </w:pPr>
      <w:r>
        <w:rPr/>
        <w:t>ЕОК/ЕОА</w:t>
      </w:r>
      <w:r>
        <w:rPr>
          <w:spacing w:val="-3"/>
        </w:rPr>
        <w:t> </w:t>
      </w:r>
      <w:r>
        <w:rPr/>
        <w:t>IIIА</w:t>
      </w:r>
      <w:r>
        <w:rPr>
          <w:spacing w:val="-2"/>
        </w:rPr>
        <w:t> </w:t>
      </w:r>
      <w:r>
        <w:rPr/>
        <w:t>(УУР</w:t>
      </w:r>
      <w:r>
        <w:rPr>
          <w:spacing w:val="1"/>
        </w:rPr>
        <w:t> </w:t>
      </w:r>
      <w:r>
        <w:rPr/>
        <w:t>А,</w:t>
      </w:r>
      <w:r>
        <w:rPr>
          <w:spacing w:val="-1"/>
        </w:rPr>
        <w:t> </w:t>
      </w:r>
      <w:r>
        <w:rPr/>
        <w:t>УДД</w:t>
      </w:r>
      <w:r>
        <w:rPr>
          <w:spacing w:val="-1"/>
        </w:rPr>
        <w:t> </w:t>
      </w:r>
      <w:r>
        <w:rPr>
          <w:spacing w:val="-5"/>
        </w:rPr>
        <w:t>2)</w:t>
      </w:r>
    </w:p>
    <w:p>
      <w:pPr>
        <w:pStyle w:val="BodyText"/>
        <w:ind w:left="0"/>
        <w:rPr>
          <w:b/>
          <w:sz w:val="26"/>
        </w:rPr>
      </w:pPr>
    </w:p>
    <w:p>
      <w:pPr>
        <w:pStyle w:val="BodyText"/>
        <w:ind w:left="0"/>
        <w:rPr>
          <w:b/>
          <w:sz w:val="26"/>
        </w:rPr>
      </w:pPr>
    </w:p>
    <w:p>
      <w:pPr>
        <w:pStyle w:val="BodyText"/>
        <w:spacing w:before="2"/>
        <w:ind w:left="0"/>
        <w:rPr>
          <w:b/>
          <w:sz w:val="34"/>
        </w:rPr>
      </w:pPr>
    </w:p>
    <w:p>
      <w:pPr>
        <w:pStyle w:val="Heading3"/>
        <w:numPr>
          <w:ilvl w:val="0"/>
          <w:numId w:val="7"/>
        </w:numPr>
        <w:tabs>
          <w:tab w:pos="1977" w:val="left" w:leader="none"/>
        </w:tabs>
        <w:spacing w:line="360" w:lineRule="auto" w:before="0" w:after="0"/>
        <w:ind w:left="1340" w:right="651" w:firstLine="396"/>
        <w:jc w:val="left"/>
      </w:pPr>
      <w:bookmarkStart w:name="4. Медицинская реабилитация и санаторно-" w:id="84"/>
      <w:bookmarkEnd w:id="84"/>
      <w:r>
        <w:rPr>
          <w:b w:val="0"/>
        </w:rPr>
      </w:r>
      <w:bookmarkStart w:name="_bookmark41" w:id="85"/>
      <w:bookmarkEnd w:id="85"/>
      <w:r>
        <w:rPr/>
        <w:t>М</w:t>
      </w:r>
      <w:r>
        <w:rPr/>
        <w:t>едицинская реабилитация и санаторно-курортное лечение, медицинские показания</w:t>
      </w:r>
      <w:r>
        <w:rPr>
          <w:spacing w:val="-7"/>
        </w:rPr>
        <w:t> </w:t>
      </w:r>
      <w:r>
        <w:rPr/>
        <w:t>и</w:t>
      </w:r>
      <w:r>
        <w:rPr>
          <w:spacing w:val="-4"/>
        </w:rPr>
        <w:t> </w:t>
      </w:r>
      <w:r>
        <w:rPr/>
        <w:t>противопоказания</w:t>
      </w:r>
      <w:r>
        <w:rPr>
          <w:spacing w:val="-5"/>
        </w:rPr>
        <w:t> </w:t>
      </w:r>
      <w:r>
        <w:rPr/>
        <w:t>к</w:t>
      </w:r>
      <w:r>
        <w:rPr>
          <w:spacing w:val="-6"/>
        </w:rPr>
        <w:t> </w:t>
      </w:r>
      <w:r>
        <w:rPr/>
        <w:t>применению</w:t>
      </w:r>
      <w:r>
        <w:rPr>
          <w:spacing w:val="-5"/>
        </w:rPr>
        <w:t> </w:t>
      </w:r>
      <w:r>
        <w:rPr/>
        <w:t>методов</w:t>
      </w:r>
      <w:r>
        <w:rPr>
          <w:spacing w:val="-4"/>
        </w:rPr>
        <w:t> </w:t>
      </w:r>
      <w:r>
        <w:rPr/>
        <w:t>медицинской</w:t>
      </w:r>
      <w:r>
        <w:rPr>
          <w:spacing w:val="-4"/>
        </w:rPr>
        <w:t> </w:t>
      </w:r>
      <w:r>
        <w:rPr/>
        <w:t>реабилитации,</w:t>
      </w:r>
    </w:p>
    <w:p>
      <w:pPr>
        <w:spacing w:before="1"/>
        <w:ind w:left="1847" w:right="0" w:firstLine="0"/>
        <w:jc w:val="left"/>
        <w:rPr>
          <w:b/>
          <w:sz w:val="24"/>
        </w:rPr>
      </w:pPr>
      <w:r>
        <w:rPr>
          <w:b/>
          <w:sz w:val="24"/>
        </w:rPr>
        <w:t>в</w:t>
      </w:r>
      <w:r>
        <w:rPr>
          <w:b/>
          <w:spacing w:val="-4"/>
          <w:sz w:val="24"/>
        </w:rPr>
        <w:t> </w:t>
      </w:r>
      <w:r>
        <w:rPr>
          <w:b/>
          <w:sz w:val="24"/>
        </w:rPr>
        <w:t>том</w:t>
      </w:r>
      <w:r>
        <w:rPr>
          <w:b/>
          <w:spacing w:val="-3"/>
          <w:sz w:val="24"/>
        </w:rPr>
        <w:t> </w:t>
      </w:r>
      <w:r>
        <w:rPr>
          <w:b/>
          <w:sz w:val="24"/>
        </w:rPr>
        <w:t>числе</w:t>
      </w:r>
      <w:r>
        <w:rPr>
          <w:b/>
          <w:spacing w:val="-4"/>
          <w:sz w:val="24"/>
        </w:rPr>
        <w:t> </w:t>
      </w:r>
      <w:r>
        <w:rPr>
          <w:b/>
          <w:sz w:val="24"/>
        </w:rPr>
        <w:t>основанных</w:t>
      </w:r>
      <w:r>
        <w:rPr>
          <w:b/>
          <w:spacing w:val="-2"/>
          <w:sz w:val="24"/>
        </w:rPr>
        <w:t> </w:t>
      </w:r>
      <w:r>
        <w:rPr>
          <w:b/>
          <w:sz w:val="24"/>
        </w:rPr>
        <w:t>на</w:t>
      </w:r>
      <w:r>
        <w:rPr>
          <w:b/>
          <w:spacing w:val="-2"/>
          <w:sz w:val="24"/>
        </w:rPr>
        <w:t> </w:t>
      </w:r>
      <w:r>
        <w:rPr>
          <w:b/>
          <w:sz w:val="24"/>
        </w:rPr>
        <w:t>использовании</w:t>
      </w:r>
      <w:r>
        <w:rPr>
          <w:b/>
          <w:spacing w:val="-5"/>
          <w:sz w:val="24"/>
        </w:rPr>
        <w:t> </w:t>
      </w:r>
      <w:r>
        <w:rPr>
          <w:b/>
          <w:sz w:val="24"/>
        </w:rPr>
        <w:t>природных</w:t>
      </w:r>
      <w:r>
        <w:rPr>
          <w:b/>
          <w:spacing w:val="-2"/>
          <w:sz w:val="24"/>
        </w:rPr>
        <w:t> </w:t>
      </w:r>
      <w:r>
        <w:rPr>
          <w:b/>
          <w:sz w:val="24"/>
        </w:rPr>
        <w:t>лечебных</w:t>
      </w:r>
      <w:r>
        <w:rPr>
          <w:b/>
          <w:spacing w:val="-2"/>
          <w:sz w:val="24"/>
        </w:rPr>
        <w:t> факторов</w:t>
      </w:r>
    </w:p>
    <w:p>
      <w:pPr>
        <w:pStyle w:val="BodyText"/>
        <w:spacing w:before="1"/>
        <w:ind w:left="0"/>
        <w:rPr>
          <w:b/>
          <w:sz w:val="33"/>
        </w:rPr>
      </w:pPr>
    </w:p>
    <w:p>
      <w:pPr>
        <w:pStyle w:val="ListParagraph"/>
        <w:numPr>
          <w:ilvl w:val="0"/>
          <w:numId w:val="23"/>
        </w:numPr>
        <w:tabs>
          <w:tab w:pos="1982" w:val="left" w:leader="none"/>
        </w:tabs>
        <w:spacing w:line="355" w:lineRule="auto" w:before="0" w:after="0"/>
        <w:ind w:left="1981" w:right="566" w:hanging="360"/>
        <w:jc w:val="both"/>
        <w:rPr>
          <w:sz w:val="24"/>
        </w:rPr>
      </w:pPr>
      <w:r>
        <w:rPr>
          <w:sz w:val="24"/>
        </w:rPr>
        <w:t>Для всех пациентов с нарушениями липидного обмена рекомендована разработка индивидуального плана реабилитационных мероприятий, включающая в себя рекомендации по достижению ЦУ ХС ЛНП, повышению приверженности к лечению, питанию, физической активности, контролю веса [</w:t>
      </w:r>
      <w:hyperlink w:history="true" w:anchor="_bookmark153">
        <w:r>
          <w:rPr>
            <w:sz w:val="24"/>
          </w:rPr>
          <w:t>108</w:t>
        </w:r>
      </w:hyperlink>
      <w:r>
        <w:rPr>
          <w:sz w:val="24"/>
        </w:rPr>
        <w:t>].</w:t>
      </w:r>
    </w:p>
    <w:p>
      <w:pPr>
        <w:pStyle w:val="Heading3"/>
        <w:spacing w:before="11"/>
      </w:pPr>
      <w:r>
        <w:rPr/>
        <w:t>ЕОК/ЕОА</w:t>
      </w:r>
      <w:r>
        <w:rPr>
          <w:spacing w:val="-3"/>
        </w:rPr>
        <w:t> </w:t>
      </w:r>
      <w:r>
        <w:rPr/>
        <w:t>нет</w:t>
      </w:r>
      <w:r>
        <w:rPr>
          <w:spacing w:val="-7"/>
        </w:rPr>
        <w:t> </w:t>
      </w:r>
      <w:r>
        <w:rPr>
          <w:rFonts w:ascii="Calibri" w:hAnsi="Calibri"/>
          <w:b w:val="0"/>
        </w:rPr>
        <w:t>(</w:t>
      </w:r>
      <w:r>
        <w:rPr/>
        <w:t>УУР</w:t>
      </w:r>
      <w:r>
        <w:rPr>
          <w:spacing w:val="-2"/>
        </w:rPr>
        <w:t> </w:t>
      </w:r>
      <w:r>
        <w:rPr/>
        <w:t>B,</w:t>
      </w:r>
      <w:r>
        <w:rPr>
          <w:spacing w:val="-1"/>
        </w:rPr>
        <w:t> </w:t>
      </w:r>
      <w:r>
        <w:rPr/>
        <w:t>УДД</w:t>
      </w:r>
      <w:r>
        <w:rPr>
          <w:spacing w:val="-1"/>
        </w:rPr>
        <w:t> </w:t>
      </w:r>
      <w:r>
        <w:rPr>
          <w:spacing w:val="-5"/>
        </w:rPr>
        <w:t>2)</w:t>
      </w:r>
    </w:p>
    <w:p>
      <w:pPr>
        <w:pStyle w:val="BodyText"/>
        <w:spacing w:before="8"/>
        <w:ind w:left="0"/>
        <w:rPr>
          <w:b/>
          <w:sz w:val="33"/>
        </w:rPr>
      </w:pPr>
    </w:p>
    <w:p>
      <w:pPr>
        <w:pStyle w:val="ListParagraph"/>
        <w:numPr>
          <w:ilvl w:val="0"/>
          <w:numId w:val="23"/>
        </w:numPr>
        <w:tabs>
          <w:tab w:pos="1982" w:val="left" w:leader="none"/>
        </w:tabs>
        <w:spacing w:line="355" w:lineRule="auto" w:before="0" w:after="0"/>
        <w:ind w:left="1981" w:right="568" w:hanging="360"/>
        <w:jc w:val="both"/>
        <w:rPr>
          <w:sz w:val="24"/>
        </w:rPr>
      </w:pPr>
      <w:r>
        <w:rPr>
          <w:sz w:val="24"/>
        </w:rPr>
        <w:t>С целью снижения риска ССО всем пациентам с ДЛП рекомендованы по крайней мере 3,5–7 ч умеренной физической активности в неделю или 30–60 мин большинство дней в неделю [</w:t>
      </w:r>
      <w:hyperlink w:history="true" w:anchor="_bookmark164">
        <w:r>
          <w:rPr>
            <w:sz w:val="24"/>
          </w:rPr>
          <w:t>119,</w:t>
        </w:r>
      </w:hyperlink>
      <w:r>
        <w:rPr>
          <w:sz w:val="24"/>
        </w:rPr>
        <w:t> </w:t>
      </w:r>
      <w:hyperlink w:history="true" w:anchor="_bookmark165">
        <w:r>
          <w:rPr>
            <w:sz w:val="24"/>
          </w:rPr>
          <w:t>120,</w:t>
        </w:r>
      </w:hyperlink>
      <w:r>
        <w:rPr>
          <w:sz w:val="24"/>
        </w:rPr>
        <w:t> </w:t>
      </w:r>
      <w:hyperlink w:history="true" w:anchor="_bookmark166">
        <w:r>
          <w:rPr>
            <w:sz w:val="24"/>
          </w:rPr>
          <w:t>121</w:t>
        </w:r>
      </w:hyperlink>
      <w:r>
        <w:rPr>
          <w:sz w:val="24"/>
        </w:rPr>
        <w:t>].</w:t>
      </w:r>
    </w:p>
    <w:p>
      <w:pPr>
        <w:pStyle w:val="BodyText"/>
        <w:spacing w:before="5"/>
        <w:ind w:left="0"/>
        <w:rPr>
          <w:sz w:val="21"/>
        </w:rPr>
      </w:pPr>
    </w:p>
    <w:p>
      <w:pPr>
        <w:spacing w:before="0"/>
        <w:ind w:left="1261" w:right="0" w:firstLine="0"/>
        <w:jc w:val="left"/>
        <w:rPr>
          <w:b/>
          <w:sz w:val="24"/>
        </w:rPr>
      </w:pPr>
      <w:r>
        <w:rPr>
          <w:b/>
          <w:sz w:val="24"/>
        </w:rPr>
        <w:t>ЕОК/ЕОА</w:t>
      </w:r>
      <w:r>
        <w:rPr>
          <w:b/>
          <w:spacing w:val="-4"/>
          <w:sz w:val="24"/>
        </w:rPr>
        <w:t> </w:t>
      </w:r>
      <w:r>
        <w:rPr>
          <w:b/>
          <w:sz w:val="24"/>
        </w:rPr>
        <w:t>нет</w:t>
      </w:r>
      <w:r>
        <w:rPr>
          <w:b/>
          <w:spacing w:val="-2"/>
          <w:sz w:val="24"/>
        </w:rPr>
        <w:t> </w:t>
      </w:r>
      <w:r>
        <w:rPr>
          <w:sz w:val="24"/>
        </w:rPr>
        <w:t>(</w:t>
      </w:r>
      <w:r>
        <w:rPr>
          <w:b/>
          <w:sz w:val="24"/>
        </w:rPr>
        <w:t>УУР</w:t>
      </w:r>
      <w:r>
        <w:rPr>
          <w:b/>
          <w:spacing w:val="-2"/>
          <w:sz w:val="24"/>
        </w:rPr>
        <w:t> </w:t>
      </w:r>
      <w:r>
        <w:rPr>
          <w:b/>
          <w:sz w:val="24"/>
        </w:rPr>
        <w:t>А,</w:t>
      </w:r>
      <w:r>
        <w:rPr>
          <w:b/>
          <w:spacing w:val="-1"/>
          <w:sz w:val="24"/>
        </w:rPr>
        <w:t> </w:t>
      </w:r>
      <w:r>
        <w:rPr>
          <w:b/>
          <w:sz w:val="24"/>
        </w:rPr>
        <w:t>УДД</w:t>
      </w:r>
      <w:r>
        <w:rPr>
          <w:b/>
          <w:spacing w:val="-1"/>
          <w:sz w:val="24"/>
        </w:rPr>
        <w:t> </w:t>
      </w:r>
      <w:r>
        <w:rPr>
          <w:b/>
          <w:spacing w:val="-5"/>
          <w:sz w:val="24"/>
        </w:rPr>
        <w:t>1)</w:t>
      </w:r>
    </w:p>
    <w:p>
      <w:pPr>
        <w:pStyle w:val="BodyText"/>
        <w:ind w:left="0"/>
        <w:rPr>
          <w:b/>
          <w:sz w:val="26"/>
        </w:rPr>
      </w:pPr>
    </w:p>
    <w:p>
      <w:pPr>
        <w:pStyle w:val="BodyText"/>
        <w:ind w:left="0"/>
        <w:rPr>
          <w:b/>
          <w:sz w:val="26"/>
        </w:rPr>
      </w:pPr>
    </w:p>
    <w:p>
      <w:pPr>
        <w:pStyle w:val="Heading3"/>
        <w:numPr>
          <w:ilvl w:val="0"/>
          <w:numId w:val="7"/>
        </w:numPr>
        <w:tabs>
          <w:tab w:pos="2205" w:val="left" w:leader="none"/>
        </w:tabs>
        <w:spacing w:line="360" w:lineRule="auto" w:before="153" w:after="0"/>
        <w:ind w:left="2788" w:right="1274" w:hanging="824"/>
        <w:jc w:val="left"/>
      </w:pPr>
      <w:bookmarkStart w:name="5. Профилактика и диспансерное наблюдени" w:id="86"/>
      <w:bookmarkEnd w:id="86"/>
      <w:r>
        <w:rPr>
          <w:b w:val="0"/>
        </w:rPr>
      </w:r>
      <w:bookmarkStart w:name="_bookmark42" w:id="87"/>
      <w:bookmarkEnd w:id="87"/>
      <w:r>
        <w:rPr/>
        <w:t>Пр</w:t>
      </w:r>
      <w:r>
        <w:rPr/>
        <w:t>офилактика</w:t>
      </w:r>
      <w:r>
        <w:rPr>
          <w:spacing w:val="-6"/>
        </w:rPr>
        <w:t> </w:t>
      </w:r>
      <w:r>
        <w:rPr/>
        <w:t>и</w:t>
      </w:r>
      <w:r>
        <w:rPr>
          <w:spacing w:val="-5"/>
        </w:rPr>
        <w:t> </w:t>
      </w:r>
      <w:r>
        <w:rPr/>
        <w:t>диспансерное</w:t>
      </w:r>
      <w:r>
        <w:rPr>
          <w:spacing w:val="-6"/>
        </w:rPr>
        <w:t> </w:t>
      </w:r>
      <w:r>
        <w:rPr/>
        <w:t>наблюдение,</w:t>
      </w:r>
      <w:r>
        <w:rPr>
          <w:spacing w:val="-5"/>
        </w:rPr>
        <w:t> </w:t>
      </w:r>
      <w:r>
        <w:rPr/>
        <w:t>медицинские</w:t>
      </w:r>
      <w:r>
        <w:rPr>
          <w:spacing w:val="-6"/>
        </w:rPr>
        <w:t> </w:t>
      </w:r>
      <w:r>
        <w:rPr/>
        <w:t>показания</w:t>
      </w:r>
      <w:r>
        <w:rPr>
          <w:spacing w:val="-6"/>
        </w:rPr>
        <w:t> </w:t>
      </w:r>
      <w:r>
        <w:rPr/>
        <w:t>и противопоказания к применению методов профилактики</w:t>
      </w:r>
    </w:p>
    <w:p>
      <w:pPr>
        <w:spacing w:before="0"/>
        <w:ind w:left="1261" w:right="0" w:firstLine="0"/>
        <w:jc w:val="left"/>
        <w:rPr>
          <w:b/>
          <w:sz w:val="24"/>
        </w:rPr>
      </w:pPr>
      <w:r>
        <w:rPr>
          <w:b/>
          <w:spacing w:val="-2"/>
          <w:sz w:val="24"/>
        </w:rPr>
        <w:t>Курение</w:t>
      </w:r>
    </w:p>
    <w:p>
      <w:pPr>
        <w:pStyle w:val="BodyText"/>
        <w:spacing w:before="7"/>
        <w:ind w:left="0"/>
        <w:rPr>
          <w:b/>
        </w:rPr>
      </w:pPr>
    </w:p>
    <w:p>
      <w:pPr>
        <w:pStyle w:val="ListParagraph"/>
        <w:numPr>
          <w:ilvl w:val="0"/>
          <w:numId w:val="23"/>
        </w:numPr>
        <w:tabs>
          <w:tab w:pos="1981" w:val="left" w:leader="none"/>
          <w:tab w:pos="1982" w:val="left" w:leader="none"/>
        </w:tabs>
        <w:spacing w:line="240" w:lineRule="auto" w:before="0" w:after="0"/>
        <w:ind w:left="1981" w:right="0" w:hanging="361"/>
        <w:jc w:val="left"/>
        <w:rPr>
          <w:sz w:val="24"/>
        </w:rPr>
      </w:pPr>
      <w:r>
        <w:rPr>
          <w:sz w:val="24"/>
        </w:rPr>
        <w:t>Рекомендовано</w:t>
      </w:r>
      <w:r>
        <w:rPr>
          <w:spacing w:val="-4"/>
          <w:sz w:val="24"/>
        </w:rPr>
        <w:t> </w:t>
      </w:r>
      <w:r>
        <w:rPr>
          <w:sz w:val="24"/>
        </w:rPr>
        <w:t>прекратить</w:t>
      </w:r>
      <w:r>
        <w:rPr>
          <w:spacing w:val="-3"/>
          <w:sz w:val="24"/>
        </w:rPr>
        <w:t> </w:t>
      </w:r>
      <w:r>
        <w:rPr>
          <w:sz w:val="24"/>
        </w:rPr>
        <w:t>курение</w:t>
      </w:r>
      <w:r>
        <w:rPr>
          <w:spacing w:val="-2"/>
          <w:sz w:val="24"/>
        </w:rPr>
        <w:t> </w:t>
      </w:r>
      <w:r>
        <w:rPr>
          <w:sz w:val="24"/>
        </w:rPr>
        <w:t>в</w:t>
      </w:r>
      <w:r>
        <w:rPr>
          <w:spacing w:val="-2"/>
          <w:sz w:val="24"/>
        </w:rPr>
        <w:t> </w:t>
      </w:r>
      <w:r>
        <w:rPr>
          <w:sz w:val="24"/>
        </w:rPr>
        <w:t>любой форме</w:t>
      </w:r>
      <w:r>
        <w:rPr>
          <w:spacing w:val="-2"/>
          <w:sz w:val="24"/>
        </w:rPr>
        <w:t> [</w:t>
      </w:r>
      <w:hyperlink w:history="true" w:anchor="_bookmark211">
        <w:r>
          <w:rPr>
            <w:spacing w:val="-2"/>
            <w:sz w:val="24"/>
          </w:rPr>
          <w:t>170</w:t>
        </w:r>
      </w:hyperlink>
      <w:r>
        <w:rPr>
          <w:spacing w:val="-2"/>
          <w:sz w:val="24"/>
        </w:rPr>
        <w:t>]</w:t>
      </w:r>
    </w:p>
    <w:p>
      <w:pPr>
        <w:pStyle w:val="Heading2"/>
        <w:spacing w:before="136"/>
      </w:pPr>
      <w:r>
        <w:rPr/>
        <w:t>ЕОК/ЕОА</w:t>
      </w:r>
      <w:r>
        <w:rPr>
          <w:spacing w:val="-2"/>
        </w:rPr>
        <w:t> </w:t>
      </w:r>
      <w:r>
        <w:rPr/>
        <w:t>I</w:t>
      </w:r>
      <w:r>
        <w:rPr>
          <w:spacing w:val="-1"/>
        </w:rPr>
        <w:t> </w:t>
      </w:r>
      <w:r>
        <w:rPr/>
        <w:t>A</w:t>
      </w:r>
      <w:r>
        <w:rPr>
          <w:spacing w:val="-2"/>
        </w:rPr>
        <w:t> </w:t>
      </w:r>
      <w:r>
        <w:rPr/>
        <w:t>(УУР</w:t>
      </w:r>
      <w:r>
        <w:rPr>
          <w:spacing w:val="-2"/>
        </w:rPr>
        <w:t> </w:t>
      </w:r>
      <w:r>
        <w:rPr/>
        <w:t>В,</w:t>
      </w:r>
      <w:r>
        <w:rPr>
          <w:spacing w:val="1"/>
        </w:rPr>
        <w:t> </w:t>
      </w:r>
      <w:r>
        <w:rPr/>
        <w:t>УДД </w:t>
      </w:r>
      <w:r>
        <w:rPr>
          <w:spacing w:val="-5"/>
        </w:rPr>
        <w:t>2)</w:t>
      </w:r>
    </w:p>
    <w:p>
      <w:pPr>
        <w:spacing w:after="0"/>
        <w:sectPr>
          <w:pgSz w:w="11910" w:h="16840"/>
          <w:pgMar w:header="0" w:footer="710" w:top="1040" w:bottom="900" w:left="440" w:right="280"/>
        </w:sectPr>
      </w:pPr>
    </w:p>
    <w:p>
      <w:pPr>
        <w:pStyle w:val="ListParagraph"/>
        <w:numPr>
          <w:ilvl w:val="0"/>
          <w:numId w:val="23"/>
        </w:numPr>
        <w:tabs>
          <w:tab w:pos="1982" w:val="left" w:leader="none"/>
        </w:tabs>
        <w:spacing w:line="350" w:lineRule="auto" w:before="75" w:after="0"/>
        <w:ind w:left="1981" w:right="568" w:hanging="360"/>
        <w:jc w:val="both"/>
        <w:rPr>
          <w:sz w:val="24"/>
        </w:rPr>
      </w:pPr>
      <w:r>
        <w:rPr>
          <w:sz w:val="24"/>
        </w:rPr>
        <w:t>Курильщикам рекомендуется назначение никотинзаместительной терапии или варениклина [</w:t>
      </w:r>
      <w:hyperlink w:history="true" w:anchor="_bookmark212">
        <w:r>
          <w:rPr>
            <w:sz w:val="24"/>
          </w:rPr>
          <w:t>171</w:t>
        </w:r>
      </w:hyperlink>
      <w:r>
        <w:rPr>
          <w:sz w:val="24"/>
        </w:rPr>
        <w:t>, </w:t>
      </w:r>
      <w:hyperlink w:history="true" w:anchor="_bookmark213">
        <w:r>
          <w:rPr>
            <w:sz w:val="24"/>
          </w:rPr>
          <w:t>172</w:t>
        </w:r>
      </w:hyperlink>
      <w:r>
        <w:rPr>
          <w:sz w:val="24"/>
        </w:rPr>
        <w:t>]</w:t>
      </w:r>
    </w:p>
    <w:p>
      <w:pPr>
        <w:pStyle w:val="Heading3"/>
        <w:spacing w:before="13"/>
      </w:pPr>
      <w:r>
        <w:rPr/>
        <w:t>ЕОК/ЕОА</w:t>
      </w:r>
      <w:r>
        <w:rPr>
          <w:spacing w:val="-2"/>
        </w:rPr>
        <w:t> </w:t>
      </w:r>
      <w:r>
        <w:rPr/>
        <w:t>IIa</w:t>
      </w:r>
      <w:r>
        <w:rPr>
          <w:spacing w:val="-1"/>
        </w:rPr>
        <w:t> </w:t>
      </w:r>
      <w:r>
        <w:rPr/>
        <w:t>A</w:t>
      </w:r>
      <w:r>
        <w:rPr>
          <w:spacing w:val="-2"/>
        </w:rPr>
        <w:t> </w:t>
      </w:r>
      <w:r>
        <w:rPr/>
        <w:t>(УУР</w:t>
      </w:r>
      <w:r>
        <w:rPr>
          <w:spacing w:val="1"/>
        </w:rPr>
        <w:t> </w:t>
      </w:r>
      <w:r>
        <w:rPr/>
        <w:t>A,</w:t>
      </w:r>
      <w:r>
        <w:rPr>
          <w:spacing w:val="-1"/>
        </w:rPr>
        <w:t> </w:t>
      </w:r>
      <w:r>
        <w:rPr/>
        <w:t>УДД</w:t>
      </w:r>
      <w:r>
        <w:rPr>
          <w:spacing w:val="-1"/>
        </w:rPr>
        <w:t> </w:t>
      </w:r>
      <w:r>
        <w:rPr>
          <w:spacing w:val="-5"/>
        </w:rPr>
        <w:t>1)</w:t>
      </w:r>
    </w:p>
    <w:p>
      <w:pPr>
        <w:pStyle w:val="BodyText"/>
        <w:spacing w:before="11"/>
        <w:ind w:left="0"/>
        <w:rPr>
          <w:b/>
          <w:sz w:val="32"/>
        </w:rPr>
      </w:pPr>
    </w:p>
    <w:p>
      <w:pPr>
        <w:pStyle w:val="ListParagraph"/>
        <w:numPr>
          <w:ilvl w:val="0"/>
          <w:numId w:val="23"/>
        </w:numPr>
        <w:tabs>
          <w:tab w:pos="1982" w:val="left" w:leader="none"/>
        </w:tabs>
        <w:spacing w:line="350" w:lineRule="auto" w:before="0" w:after="0"/>
        <w:ind w:left="1981" w:right="566" w:hanging="360"/>
        <w:jc w:val="both"/>
        <w:rPr>
          <w:sz w:val="24"/>
        </w:rPr>
      </w:pPr>
      <w:r>
        <w:rPr>
          <w:sz w:val="24"/>
        </w:rPr>
        <w:t>Отказ от курения рекомендован вне</w:t>
      </w:r>
      <w:r>
        <w:rPr>
          <w:spacing w:val="-1"/>
          <w:sz w:val="24"/>
        </w:rPr>
        <w:t> </w:t>
      </w:r>
      <w:r>
        <w:rPr>
          <w:sz w:val="24"/>
        </w:rPr>
        <w:t>зависимости от набора</w:t>
      </w:r>
      <w:r>
        <w:rPr>
          <w:spacing w:val="-1"/>
          <w:sz w:val="24"/>
        </w:rPr>
        <w:t> </w:t>
      </w:r>
      <w:r>
        <w:rPr>
          <w:sz w:val="24"/>
        </w:rPr>
        <w:t>веса, так как прибавка</w:t>
      </w:r>
      <w:r>
        <w:rPr>
          <w:spacing w:val="-1"/>
          <w:sz w:val="24"/>
        </w:rPr>
        <w:t> </w:t>
      </w:r>
      <w:r>
        <w:rPr>
          <w:sz w:val="24"/>
        </w:rPr>
        <w:t>в весе не уменьшает пользы прекращения курения для АССЗ [</w:t>
      </w:r>
      <w:hyperlink w:history="true" w:anchor="_bookmark214">
        <w:r>
          <w:rPr>
            <w:sz w:val="24"/>
          </w:rPr>
          <w:t>173</w:t>
        </w:r>
      </w:hyperlink>
      <w:r>
        <w:rPr>
          <w:sz w:val="24"/>
        </w:rPr>
        <w:t>].</w:t>
      </w:r>
    </w:p>
    <w:p>
      <w:pPr>
        <w:pStyle w:val="Heading2"/>
        <w:spacing w:before="11"/>
      </w:pPr>
      <w:r>
        <w:rPr/>
        <w:t>ЕОК/ЕОА</w:t>
      </w:r>
      <w:r>
        <w:rPr>
          <w:spacing w:val="-2"/>
        </w:rPr>
        <w:t> </w:t>
      </w:r>
      <w:r>
        <w:rPr/>
        <w:t>I</w:t>
      </w:r>
      <w:r>
        <w:rPr>
          <w:spacing w:val="-1"/>
        </w:rPr>
        <w:t> </w:t>
      </w:r>
      <w:r>
        <w:rPr/>
        <w:t>B</w:t>
      </w:r>
      <w:r>
        <w:rPr>
          <w:spacing w:val="-1"/>
        </w:rPr>
        <w:t> </w:t>
      </w:r>
      <w:r>
        <w:rPr/>
        <w:t>(УУР</w:t>
      </w:r>
      <w:r>
        <w:rPr>
          <w:spacing w:val="-2"/>
        </w:rPr>
        <w:t> </w:t>
      </w:r>
      <w:r>
        <w:rPr/>
        <w:t>B,</w:t>
      </w:r>
      <w:r>
        <w:rPr>
          <w:spacing w:val="-1"/>
        </w:rPr>
        <w:t> </w:t>
      </w:r>
      <w:r>
        <w:rPr/>
        <w:t>УДД </w:t>
      </w:r>
      <w:r>
        <w:rPr>
          <w:spacing w:val="-5"/>
        </w:rPr>
        <w:t>3)</w:t>
      </w:r>
    </w:p>
    <w:p>
      <w:pPr>
        <w:spacing w:line="360" w:lineRule="auto" w:before="139"/>
        <w:ind w:left="1261" w:right="566" w:firstLine="0"/>
        <w:jc w:val="both"/>
        <w:rPr>
          <w:i/>
          <w:sz w:val="24"/>
        </w:rPr>
      </w:pPr>
      <w:r>
        <w:rPr>
          <w:b/>
          <w:sz w:val="24"/>
        </w:rPr>
        <w:t>Комментарии: </w:t>
      </w:r>
      <w:r>
        <w:rPr>
          <w:i/>
          <w:sz w:val="24"/>
        </w:rPr>
        <w:t>несмотря на то, что в сигаретах по типу «нагревание без горения» содержится меньше токсичных веществ, чем в обычных сигаретах, они содержат табак, поэтому их использование не рекомендуется. Долгосрочное влияние электронных сигарет на сердечно-сосудистую и дыхательную системы требует дополнительных исследований [</w:t>
      </w:r>
      <w:hyperlink w:history="true" w:anchor="_bookmark215">
        <w:r>
          <w:rPr>
            <w:i/>
            <w:sz w:val="24"/>
          </w:rPr>
          <w:t>174</w:t>
        </w:r>
      </w:hyperlink>
      <w:r>
        <w:rPr>
          <w:i/>
          <w:sz w:val="24"/>
        </w:rPr>
        <w:t>].</w:t>
      </w:r>
    </w:p>
    <w:p>
      <w:pPr>
        <w:pStyle w:val="Heading3"/>
        <w:spacing w:line="275" w:lineRule="exact"/>
        <w:jc w:val="both"/>
      </w:pPr>
      <w:r>
        <w:rPr/>
        <w:t>Физическая</w:t>
      </w:r>
      <w:r>
        <w:rPr>
          <w:spacing w:val="-6"/>
        </w:rPr>
        <w:t> </w:t>
      </w:r>
      <w:r>
        <w:rPr>
          <w:spacing w:val="-2"/>
        </w:rPr>
        <w:t>активность</w:t>
      </w:r>
    </w:p>
    <w:p>
      <w:pPr>
        <w:pStyle w:val="BodyText"/>
        <w:spacing w:before="1"/>
        <w:ind w:left="0"/>
        <w:rPr>
          <w:b/>
          <w:sz w:val="33"/>
        </w:rPr>
      </w:pPr>
    </w:p>
    <w:p>
      <w:pPr>
        <w:pStyle w:val="ListParagraph"/>
        <w:numPr>
          <w:ilvl w:val="0"/>
          <w:numId w:val="23"/>
        </w:numPr>
        <w:tabs>
          <w:tab w:pos="1982" w:val="left" w:leader="none"/>
        </w:tabs>
        <w:spacing w:line="355" w:lineRule="auto" w:before="1" w:after="0"/>
        <w:ind w:left="1981" w:right="568" w:hanging="360"/>
        <w:jc w:val="both"/>
        <w:rPr>
          <w:sz w:val="24"/>
        </w:rPr>
      </w:pPr>
      <w:r>
        <w:rPr>
          <w:sz w:val="24"/>
        </w:rPr>
        <w:t>Взрослым любого возраста для снижения общей смертности, СС заболеваемости и смертности рекомендовано стремиться по крайней мере к 150–300 мин аэробной физической активности умеренной интенсивности в неделю или 75–150 мин интенсивных нагрузок или эквиваленту из их сочетания [</w:t>
      </w:r>
      <w:hyperlink w:history="true" w:anchor="_bookmark216">
        <w:r>
          <w:rPr>
            <w:sz w:val="24"/>
          </w:rPr>
          <w:t>175</w:t>
        </w:r>
      </w:hyperlink>
      <w:r>
        <w:rPr>
          <w:sz w:val="24"/>
        </w:rPr>
        <w:t>]</w:t>
      </w:r>
    </w:p>
    <w:p>
      <w:pPr>
        <w:pStyle w:val="Heading2"/>
        <w:spacing w:before="10"/>
      </w:pPr>
      <w:r>
        <w:rPr/>
        <w:t>ЕОК/ЕОА</w:t>
      </w:r>
      <w:r>
        <w:rPr>
          <w:spacing w:val="-2"/>
        </w:rPr>
        <w:t> </w:t>
      </w:r>
      <w:r>
        <w:rPr/>
        <w:t>I</w:t>
      </w:r>
      <w:r>
        <w:rPr>
          <w:spacing w:val="-1"/>
        </w:rPr>
        <w:t> </w:t>
      </w:r>
      <w:r>
        <w:rPr/>
        <w:t>A</w:t>
      </w:r>
      <w:r>
        <w:rPr>
          <w:spacing w:val="-2"/>
        </w:rPr>
        <w:t> </w:t>
      </w:r>
      <w:r>
        <w:rPr/>
        <w:t>(УУР</w:t>
      </w:r>
      <w:r>
        <w:rPr>
          <w:spacing w:val="-2"/>
        </w:rPr>
        <w:t> </w:t>
      </w:r>
      <w:r>
        <w:rPr/>
        <w:t>С,</w:t>
      </w:r>
      <w:r>
        <w:rPr>
          <w:spacing w:val="1"/>
        </w:rPr>
        <w:t> </w:t>
      </w:r>
      <w:r>
        <w:rPr/>
        <w:t>УДД</w:t>
      </w:r>
      <w:r>
        <w:rPr>
          <w:spacing w:val="-1"/>
        </w:rPr>
        <w:t> </w:t>
      </w:r>
      <w:r>
        <w:rPr>
          <w:spacing w:val="-5"/>
        </w:rPr>
        <w:t>5)</w:t>
      </w:r>
    </w:p>
    <w:p>
      <w:pPr>
        <w:pStyle w:val="BodyText"/>
        <w:spacing w:before="11"/>
        <w:ind w:left="0"/>
        <w:rPr>
          <w:b/>
          <w:sz w:val="32"/>
        </w:rPr>
      </w:pPr>
    </w:p>
    <w:p>
      <w:pPr>
        <w:pStyle w:val="ListParagraph"/>
        <w:numPr>
          <w:ilvl w:val="0"/>
          <w:numId w:val="23"/>
        </w:numPr>
        <w:tabs>
          <w:tab w:pos="1982" w:val="left" w:leader="none"/>
        </w:tabs>
        <w:spacing w:line="355" w:lineRule="auto" w:before="0" w:after="0"/>
        <w:ind w:left="1981" w:right="567" w:hanging="360"/>
        <w:jc w:val="both"/>
        <w:rPr>
          <w:sz w:val="24"/>
        </w:rPr>
      </w:pPr>
      <w:r>
        <w:rPr>
          <w:sz w:val="24"/>
        </w:rPr>
        <w:t>Взрослым, которые не могут выполнять 150 минут физической активности средней интенсивности в неделю, рекомендуется оставаться настолько активными, насколько позволяют их способности и состояние здоровья [</w:t>
      </w:r>
      <w:hyperlink w:history="true" w:anchor="_bookmark217">
        <w:r>
          <w:rPr>
            <w:sz w:val="24"/>
          </w:rPr>
          <w:t>176</w:t>
        </w:r>
      </w:hyperlink>
      <w:r>
        <w:rPr>
          <w:sz w:val="24"/>
        </w:rPr>
        <w:t>]</w:t>
      </w:r>
    </w:p>
    <w:p>
      <w:pPr>
        <w:pStyle w:val="Heading2"/>
        <w:spacing w:before="6"/>
      </w:pPr>
      <w:r>
        <w:rPr/>
        <w:t>ЕОК/ЕОА</w:t>
      </w:r>
      <w:r>
        <w:rPr>
          <w:spacing w:val="-2"/>
        </w:rPr>
        <w:t> </w:t>
      </w:r>
      <w:r>
        <w:rPr/>
        <w:t>I</w:t>
      </w:r>
      <w:r>
        <w:rPr>
          <w:spacing w:val="-1"/>
        </w:rPr>
        <w:t> </w:t>
      </w:r>
      <w:r>
        <w:rPr/>
        <w:t>A</w:t>
      </w:r>
      <w:r>
        <w:rPr>
          <w:spacing w:val="-2"/>
        </w:rPr>
        <w:t> </w:t>
      </w:r>
      <w:r>
        <w:rPr/>
        <w:t>(УУР</w:t>
      </w:r>
      <w:r>
        <w:rPr>
          <w:spacing w:val="-2"/>
        </w:rPr>
        <w:t> </w:t>
      </w:r>
      <w:r>
        <w:rPr/>
        <w:t>В,</w:t>
      </w:r>
      <w:r>
        <w:rPr>
          <w:spacing w:val="1"/>
        </w:rPr>
        <w:t> </w:t>
      </w:r>
      <w:r>
        <w:rPr/>
        <w:t>УДД </w:t>
      </w:r>
      <w:r>
        <w:rPr>
          <w:spacing w:val="-5"/>
        </w:rPr>
        <w:t>2)</w:t>
      </w:r>
    </w:p>
    <w:p>
      <w:pPr>
        <w:pStyle w:val="Heading3"/>
        <w:spacing w:before="137"/>
      </w:pPr>
      <w:r>
        <w:rPr>
          <w:spacing w:val="-2"/>
        </w:rPr>
        <w:t>Питание</w:t>
      </w:r>
    </w:p>
    <w:p>
      <w:pPr>
        <w:pStyle w:val="BodyText"/>
        <w:spacing w:before="1"/>
        <w:ind w:left="0"/>
        <w:rPr>
          <w:b/>
          <w:sz w:val="33"/>
        </w:rPr>
      </w:pPr>
    </w:p>
    <w:p>
      <w:pPr>
        <w:pStyle w:val="ListParagraph"/>
        <w:numPr>
          <w:ilvl w:val="0"/>
          <w:numId w:val="23"/>
        </w:numPr>
        <w:tabs>
          <w:tab w:pos="1982" w:val="left" w:leader="none"/>
        </w:tabs>
        <w:spacing w:line="355" w:lineRule="auto" w:before="0" w:after="0"/>
        <w:ind w:left="1981" w:right="567" w:hanging="360"/>
        <w:jc w:val="both"/>
        <w:rPr>
          <w:sz w:val="24"/>
        </w:rPr>
      </w:pPr>
      <w:r>
        <w:rPr>
          <w:sz w:val="24"/>
        </w:rPr>
        <w:t>Для снижения риска ССЗ рекомендовано использование cредиземноморской диеты и ее аналогов [</w:t>
      </w:r>
      <w:hyperlink w:history="true" w:anchor="_bookmark91">
        <w:r>
          <w:rPr>
            <w:sz w:val="24"/>
          </w:rPr>
          <w:t>46</w:t>
        </w:r>
      </w:hyperlink>
      <w:r>
        <w:rPr>
          <w:sz w:val="24"/>
        </w:rPr>
        <w:t>], замена насыщенных жиров на ненасыщенные [</w:t>
      </w:r>
      <w:hyperlink w:history="true" w:anchor="_bookmark218">
        <w:r>
          <w:rPr>
            <w:sz w:val="24"/>
          </w:rPr>
          <w:t>177</w:t>
        </w:r>
      </w:hyperlink>
      <w:r>
        <w:rPr>
          <w:sz w:val="24"/>
        </w:rPr>
        <w:t>] и ограничение употребления соли [</w:t>
      </w:r>
      <w:hyperlink w:history="true" w:anchor="_bookmark219">
        <w:r>
          <w:rPr>
            <w:sz w:val="24"/>
          </w:rPr>
          <w:t>178</w:t>
        </w:r>
      </w:hyperlink>
      <w:r>
        <w:rPr>
          <w:sz w:val="24"/>
        </w:rPr>
        <w:t>].</w:t>
      </w:r>
    </w:p>
    <w:p>
      <w:pPr>
        <w:pStyle w:val="Heading2"/>
        <w:spacing w:before="6"/>
      </w:pPr>
      <w:r>
        <w:rPr/>
        <w:t>ЕОК/ЕОА</w:t>
      </w:r>
      <w:r>
        <w:rPr>
          <w:spacing w:val="-2"/>
        </w:rPr>
        <w:t> </w:t>
      </w:r>
      <w:r>
        <w:rPr/>
        <w:t>I</w:t>
      </w:r>
      <w:r>
        <w:rPr>
          <w:spacing w:val="-1"/>
        </w:rPr>
        <w:t> </w:t>
      </w:r>
      <w:r>
        <w:rPr/>
        <w:t>A</w:t>
      </w:r>
      <w:r>
        <w:rPr>
          <w:spacing w:val="-2"/>
        </w:rPr>
        <w:t> </w:t>
      </w:r>
      <w:r>
        <w:rPr/>
        <w:t>(УУР</w:t>
      </w:r>
      <w:r>
        <w:rPr>
          <w:spacing w:val="-2"/>
        </w:rPr>
        <w:t> </w:t>
      </w:r>
      <w:r>
        <w:rPr/>
        <w:t>B,</w:t>
      </w:r>
      <w:r>
        <w:rPr>
          <w:spacing w:val="1"/>
        </w:rPr>
        <w:t> </w:t>
      </w:r>
      <w:r>
        <w:rPr/>
        <w:t>УДД </w:t>
      </w:r>
      <w:r>
        <w:rPr>
          <w:spacing w:val="-5"/>
        </w:rPr>
        <w:t>1)</w:t>
      </w:r>
    </w:p>
    <w:p>
      <w:pPr>
        <w:pStyle w:val="BodyText"/>
        <w:spacing w:before="11"/>
        <w:ind w:left="0"/>
        <w:rPr>
          <w:b/>
          <w:sz w:val="32"/>
        </w:rPr>
      </w:pPr>
    </w:p>
    <w:p>
      <w:pPr>
        <w:pStyle w:val="ListParagraph"/>
        <w:numPr>
          <w:ilvl w:val="0"/>
          <w:numId w:val="23"/>
        </w:numPr>
        <w:tabs>
          <w:tab w:pos="1982" w:val="left" w:leader="none"/>
        </w:tabs>
        <w:spacing w:line="357" w:lineRule="auto" w:before="0" w:after="0"/>
        <w:ind w:left="1981" w:right="566" w:hanging="360"/>
        <w:jc w:val="both"/>
        <w:rPr>
          <w:sz w:val="24"/>
        </w:rPr>
      </w:pPr>
      <w:r>
        <w:rPr>
          <w:sz w:val="24"/>
        </w:rPr>
        <w:t>Рекомендовано употребление большего количества растительной пищи, богатой клетчаткой, включая цельнозерновые, фрукты, овощи, бобовые и орехи [</w:t>
      </w:r>
      <w:hyperlink w:history="true" w:anchor="_bookmark220">
        <w:r>
          <w:rPr>
            <w:sz w:val="24"/>
          </w:rPr>
          <w:t>179</w:t>
        </w:r>
      </w:hyperlink>
      <w:r>
        <w:rPr>
          <w:sz w:val="24"/>
        </w:rPr>
        <w:t>], рыбы, преимущественно жирных сортов, по крайней мере 1</w:t>
      </w:r>
      <w:r>
        <w:rPr>
          <w:spacing w:val="-2"/>
          <w:sz w:val="24"/>
        </w:rPr>
        <w:t> </w:t>
      </w:r>
      <w:r>
        <w:rPr>
          <w:sz w:val="24"/>
        </w:rPr>
        <w:t>раз в неделю и ограничение обработанного мяса [</w:t>
      </w:r>
      <w:hyperlink w:history="true" w:anchor="_bookmark221">
        <w:r>
          <w:rPr>
            <w:sz w:val="24"/>
          </w:rPr>
          <w:t>180</w:t>
        </w:r>
      </w:hyperlink>
      <w:r>
        <w:rPr>
          <w:sz w:val="24"/>
        </w:rPr>
        <w:t>] Рекомендуется ограничить потребление простых углеводов, в частности сахаросодержащих напитков, максимум до 10% от потребляемой энергии [</w:t>
      </w:r>
      <w:hyperlink w:history="true" w:anchor="_bookmark222">
        <w:r>
          <w:rPr>
            <w:sz w:val="24"/>
          </w:rPr>
          <w:t>181</w:t>
        </w:r>
      </w:hyperlink>
      <w:r>
        <w:rPr>
          <w:sz w:val="24"/>
        </w:rPr>
        <w:t>].</w:t>
      </w:r>
    </w:p>
    <w:p>
      <w:pPr>
        <w:spacing w:after="0" w:line="357" w:lineRule="auto"/>
        <w:jc w:val="both"/>
        <w:rPr>
          <w:sz w:val="24"/>
        </w:rPr>
        <w:sectPr>
          <w:pgSz w:w="11910" w:h="16840"/>
          <w:pgMar w:header="0" w:footer="710" w:top="1040" w:bottom="900" w:left="440" w:right="280"/>
        </w:sectPr>
      </w:pPr>
    </w:p>
    <w:p>
      <w:pPr>
        <w:pStyle w:val="Heading2"/>
        <w:spacing w:before="73"/>
      </w:pPr>
      <w:r>
        <w:rPr/>
        <w:t>ЕОК/ЕОА</w:t>
      </w:r>
      <w:r>
        <w:rPr>
          <w:spacing w:val="-2"/>
        </w:rPr>
        <w:t> </w:t>
      </w:r>
      <w:r>
        <w:rPr/>
        <w:t>I</w:t>
      </w:r>
      <w:r>
        <w:rPr>
          <w:spacing w:val="-1"/>
        </w:rPr>
        <w:t> </w:t>
      </w:r>
      <w:r>
        <w:rPr/>
        <w:t>B</w:t>
      </w:r>
      <w:r>
        <w:rPr>
          <w:spacing w:val="-1"/>
        </w:rPr>
        <w:t> </w:t>
      </w:r>
      <w:r>
        <w:rPr/>
        <w:t>(УУР</w:t>
      </w:r>
      <w:r>
        <w:rPr>
          <w:spacing w:val="-2"/>
        </w:rPr>
        <w:t> </w:t>
      </w:r>
      <w:r>
        <w:rPr/>
        <w:t>С,</w:t>
      </w:r>
      <w:r>
        <w:rPr>
          <w:spacing w:val="1"/>
        </w:rPr>
        <w:t> </w:t>
      </w:r>
      <w:r>
        <w:rPr/>
        <w:t>УДД</w:t>
      </w:r>
      <w:r>
        <w:rPr>
          <w:spacing w:val="-1"/>
        </w:rPr>
        <w:t> </w:t>
      </w:r>
      <w:r>
        <w:rPr>
          <w:spacing w:val="-5"/>
        </w:rPr>
        <w:t>5)</w:t>
      </w:r>
    </w:p>
    <w:p>
      <w:pPr>
        <w:pStyle w:val="BodyText"/>
        <w:spacing w:before="2"/>
        <w:ind w:left="0"/>
        <w:rPr>
          <w:b/>
          <w:sz w:val="33"/>
        </w:rPr>
      </w:pPr>
    </w:p>
    <w:p>
      <w:pPr>
        <w:pStyle w:val="ListParagraph"/>
        <w:numPr>
          <w:ilvl w:val="0"/>
          <w:numId w:val="23"/>
        </w:numPr>
        <w:tabs>
          <w:tab w:pos="1982" w:val="left" w:leader="none"/>
        </w:tabs>
        <w:spacing w:line="350" w:lineRule="auto" w:before="0" w:after="0"/>
        <w:ind w:left="1981" w:right="569" w:hanging="360"/>
        <w:jc w:val="both"/>
        <w:rPr>
          <w:sz w:val="24"/>
        </w:rPr>
      </w:pPr>
      <w:r>
        <w:rPr>
          <w:sz w:val="24"/>
        </w:rPr>
        <w:t>Рекомендовано ограничение употребления алкоголя до 100 г (чистого алкоголя) в неделю [</w:t>
      </w:r>
      <w:hyperlink w:history="true" w:anchor="_bookmark223">
        <w:r>
          <w:rPr>
            <w:sz w:val="24"/>
          </w:rPr>
          <w:t>182</w:t>
        </w:r>
      </w:hyperlink>
      <w:r>
        <w:rPr>
          <w:sz w:val="24"/>
        </w:rPr>
        <w:t>].</w:t>
      </w:r>
    </w:p>
    <w:p>
      <w:pPr>
        <w:pStyle w:val="Heading2"/>
        <w:spacing w:before="11"/>
      </w:pPr>
      <w:r>
        <w:rPr/>
        <w:t>ЕОК/ЕОА</w:t>
      </w:r>
      <w:r>
        <w:rPr>
          <w:spacing w:val="-2"/>
        </w:rPr>
        <w:t> </w:t>
      </w:r>
      <w:r>
        <w:rPr/>
        <w:t>I</w:t>
      </w:r>
      <w:r>
        <w:rPr>
          <w:spacing w:val="-1"/>
        </w:rPr>
        <w:t> </w:t>
      </w:r>
      <w:r>
        <w:rPr/>
        <w:t>B</w:t>
      </w:r>
      <w:r>
        <w:rPr>
          <w:spacing w:val="-1"/>
        </w:rPr>
        <w:t> </w:t>
      </w:r>
      <w:r>
        <w:rPr/>
        <w:t>(УУР</w:t>
      </w:r>
      <w:r>
        <w:rPr>
          <w:spacing w:val="-2"/>
        </w:rPr>
        <w:t> </w:t>
      </w:r>
      <w:r>
        <w:rPr/>
        <w:t>B,</w:t>
      </w:r>
      <w:r>
        <w:rPr>
          <w:spacing w:val="-1"/>
        </w:rPr>
        <w:t> </w:t>
      </w:r>
      <w:r>
        <w:rPr/>
        <w:t>УДД </w:t>
      </w:r>
      <w:r>
        <w:rPr>
          <w:spacing w:val="-5"/>
        </w:rPr>
        <w:t>2)</w:t>
      </w:r>
    </w:p>
    <w:p>
      <w:pPr>
        <w:pStyle w:val="BodyText"/>
        <w:ind w:left="0"/>
        <w:rPr>
          <w:b/>
          <w:sz w:val="26"/>
        </w:rPr>
      </w:pPr>
    </w:p>
    <w:p>
      <w:pPr>
        <w:pStyle w:val="BodyText"/>
        <w:spacing w:before="11"/>
        <w:ind w:left="0"/>
        <w:rPr>
          <w:b/>
          <w:sz w:val="21"/>
        </w:rPr>
      </w:pPr>
    </w:p>
    <w:p>
      <w:pPr>
        <w:pStyle w:val="Heading3"/>
      </w:pPr>
      <w:r>
        <w:rPr>
          <w:spacing w:val="-2"/>
        </w:rPr>
        <w:t>Ожирение</w:t>
      </w:r>
    </w:p>
    <w:p>
      <w:pPr>
        <w:pStyle w:val="BodyText"/>
        <w:spacing w:before="2"/>
        <w:ind w:left="0"/>
        <w:rPr>
          <w:b/>
          <w:sz w:val="33"/>
        </w:rPr>
      </w:pPr>
    </w:p>
    <w:p>
      <w:pPr>
        <w:pStyle w:val="ListParagraph"/>
        <w:numPr>
          <w:ilvl w:val="0"/>
          <w:numId w:val="23"/>
        </w:numPr>
        <w:tabs>
          <w:tab w:pos="1982" w:val="left" w:leader="none"/>
        </w:tabs>
        <w:spacing w:line="355" w:lineRule="auto" w:before="0" w:after="0"/>
        <w:ind w:left="1981" w:right="566" w:hanging="360"/>
        <w:jc w:val="both"/>
        <w:rPr>
          <w:sz w:val="24"/>
        </w:rPr>
      </w:pPr>
      <w:r>
        <w:rPr>
          <w:sz w:val="24"/>
        </w:rPr>
        <w:t>Людям с избыточным весом и лицам c ожирением рекомендуется снижение веса для уменьшения АД, дислипидемии и риска СД 2-го типа, и, таким образом, улучшения профиля ССР [</w:t>
      </w:r>
      <w:hyperlink w:history="true" w:anchor="_bookmark224">
        <w:r>
          <w:rPr>
            <w:sz w:val="24"/>
          </w:rPr>
          <w:t>183</w:t>
        </w:r>
      </w:hyperlink>
      <w:r>
        <w:rPr>
          <w:sz w:val="24"/>
        </w:rPr>
        <w:t>].</w:t>
      </w:r>
    </w:p>
    <w:p>
      <w:pPr>
        <w:pStyle w:val="Heading2"/>
        <w:spacing w:before="3"/>
      </w:pPr>
      <w:r>
        <w:rPr/>
        <w:t>ЕОК/ЕОА</w:t>
      </w:r>
      <w:r>
        <w:rPr>
          <w:spacing w:val="-2"/>
        </w:rPr>
        <w:t> </w:t>
      </w:r>
      <w:r>
        <w:rPr/>
        <w:t>I</w:t>
      </w:r>
      <w:r>
        <w:rPr>
          <w:spacing w:val="-1"/>
        </w:rPr>
        <w:t> </w:t>
      </w:r>
      <w:r>
        <w:rPr/>
        <w:t>A</w:t>
      </w:r>
      <w:r>
        <w:rPr>
          <w:spacing w:val="-2"/>
        </w:rPr>
        <w:t> </w:t>
      </w:r>
      <w:r>
        <w:rPr/>
        <w:t>(УУР</w:t>
      </w:r>
      <w:r>
        <w:rPr>
          <w:spacing w:val="-2"/>
        </w:rPr>
        <w:t> </w:t>
      </w:r>
      <w:r>
        <w:rPr/>
        <w:t>А,</w:t>
      </w:r>
      <w:r>
        <w:rPr>
          <w:spacing w:val="1"/>
        </w:rPr>
        <w:t> </w:t>
      </w:r>
      <w:r>
        <w:rPr/>
        <w:t>УДД</w:t>
      </w:r>
      <w:r>
        <w:rPr>
          <w:spacing w:val="-1"/>
        </w:rPr>
        <w:t> </w:t>
      </w:r>
      <w:r>
        <w:rPr>
          <w:spacing w:val="-5"/>
        </w:rPr>
        <w:t>1)</w:t>
      </w:r>
    </w:p>
    <w:p>
      <w:pPr>
        <w:pStyle w:val="BodyText"/>
        <w:spacing w:before="2"/>
        <w:ind w:left="0"/>
        <w:rPr>
          <w:b/>
          <w:sz w:val="33"/>
        </w:rPr>
      </w:pPr>
    </w:p>
    <w:p>
      <w:pPr>
        <w:pStyle w:val="ListParagraph"/>
        <w:numPr>
          <w:ilvl w:val="0"/>
          <w:numId w:val="23"/>
        </w:numPr>
        <w:tabs>
          <w:tab w:pos="1982" w:val="left" w:leader="none"/>
        </w:tabs>
        <w:spacing w:line="348" w:lineRule="auto" w:before="0" w:after="0"/>
        <w:ind w:left="1981" w:right="567" w:hanging="360"/>
        <w:jc w:val="both"/>
        <w:rPr>
          <w:sz w:val="24"/>
        </w:rPr>
      </w:pPr>
      <w:r>
        <w:rPr>
          <w:sz w:val="24"/>
        </w:rPr>
        <w:t>Следует рассмотреть возможность бариартрической хирургии при морбидном ожирении и отсутствии эффекта от немедикаментозных мер [</w:t>
      </w:r>
      <w:hyperlink w:history="true" w:anchor="_bookmark225">
        <w:r>
          <w:rPr>
            <w:sz w:val="24"/>
          </w:rPr>
          <w:t>184</w:t>
        </w:r>
      </w:hyperlink>
      <w:r>
        <w:rPr>
          <w:sz w:val="24"/>
        </w:rPr>
        <w:t>].</w:t>
      </w:r>
    </w:p>
    <w:p>
      <w:pPr>
        <w:pStyle w:val="Heading3"/>
        <w:spacing w:before="17"/>
      </w:pPr>
      <w:r>
        <w:rPr/>
        <w:t>ЕОК/ЕОА</w:t>
      </w:r>
      <w:r>
        <w:rPr>
          <w:spacing w:val="-2"/>
        </w:rPr>
        <w:t> </w:t>
      </w:r>
      <w:r>
        <w:rPr/>
        <w:t>IIa</w:t>
      </w:r>
      <w:r>
        <w:rPr>
          <w:spacing w:val="-1"/>
        </w:rPr>
        <w:t> </w:t>
      </w:r>
      <w:r>
        <w:rPr/>
        <w:t>B</w:t>
      </w:r>
      <w:r>
        <w:rPr>
          <w:spacing w:val="-1"/>
        </w:rPr>
        <w:t> </w:t>
      </w:r>
      <w:r>
        <w:rPr/>
        <w:t>(УУР</w:t>
      </w:r>
      <w:r>
        <w:rPr>
          <w:spacing w:val="-2"/>
        </w:rPr>
        <w:t> </w:t>
      </w:r>
      <w:r>
        <w:rPr/>
        <w:t>А,</w:t>
      </w:r>
      <w:r>
        <w:rPr>
          <w:spacing w:val="-1"/>
        </w:rPr>
        <w:t> </w:t>
      </w:r>
      <w:r>
        <w:rPr/>
        <w:t>УДД</w:t>
      </w:r>
      <w:r>
        <w:rPr>
          <w:spacing w:val="-1"/>
        </w:rPr>
        <w:t> </w:t>
      </w:r>
      <w:r>
        <w:rPr>
          <w:spacing w:val="-5"/>
        </w:rPr>
        <w:t>1)</w:t>
      </w:r>
    </w:p>
    <w:p>
      <w:pPr>
        <w:spacing w:before="136"/>
        <w:ind w:left="1261" w:right="0" w:firstLine="0"/>
        <w:jc w:val="left"/>
        <w:rPr>
          <w:b/>
          <w:sz w:val="24"/>
        </w:rPr>
      </w:pPr>
      <w:r>
        <w:rPr>
          <w:b/>
          <w:sz w:val="24"/>
        </w:rPr>
        <w:t>Сахарный</w:t>
      </w:r>
      <w:r>
        <w:rPr>
          <w:b/>
          <w:spacing w:val="-2"/>
          <w:sz w:val="24"/>
        </w:rPr>
        <w:t> диабет</w:t>
      </w:r>
    </w:p>
    <w:p>
      <w:pPr>
        <w:pStyle w:val="BodyText"/>
        <w:spacing w:before="9"/>
        <w:ind w:left="0"/>
        <w:rPr>
          <w:b/>
        </w:rPr>
      </w:pPr>
    </w:p>
    <w:p>
      <w:pPr>
        <w:pStyle w:val="ListParagraph"/>
        <w:numPr>
          <w:ilvl w:val="0"/>
          <w:numId w:val="23"/>
        </w:numPr>
        <w:tabs>
          <w:tab w:pos="1982" w:val="left" w:leader="none"/>
        </w:tabs>
        <w:spacing w:line="355" w:lineRule="auto" w:before="1" w:after="0"/>
        <w:ind w:left="1981" w:right="568" w:hanging="360"/>
        <w:jc w:val="both"/>
        <w:rPr>
          <w:sz w:val="24"/>
        </w:rPr>
      </w:pPr>
      <w:r>
        <w:rPr>
          <w:sz w:val="24"/>
        </w:rPr>
        <w:t>Для</w:t>
      </w:r>
      <w:r>
        <w:rPr>
          <w:spacing w:val="-1"/>
          <w:sz w:val="24"/>
        </w:rPr>
        <w:t> </w:t>
      </w:r>
      <w:r>
        <w:rPr>
          <w:sz w:val="24"/>
        </w:rPr>
        <w:t>скрининга</w:t>
      </w:r>
      <w:r>
        <w:rPr>
          <w:spacing w:val="-2"/>
          <w:sz w:val="24"/>
        </w:rPr>
        <w:t> </w:t>
      </w:r>
      <w:r>
        <w:rPr>
          <w:sz w:val="24"/>
        </w:rPr>
        <w:t>сахарного</w:t>
      </w:r>
      <w:r>
        <w:rPr>
          <w:spacing w:val="-1"/>
          <w:sz w:val="24"/>
        </w:rPr>
        <w:t> </w:t>
      </w:r>
      <w:r>
        <w:rPr>
          <w:sz w:val="24"/>
        </w:rPr>
        <w:t>диабета</w:t>
      </w:r>
      <w:r>
        <w:rPr>
          <w:spacing w:val="-2"/>
          <w:sz w:val="24"/>
        </w:rPr>
        <w:t> </w:t>
      </w:r>
      <w:r>
        <w:rPr>
          <w:sz w:val="24"/>
        </w:rPr>
        <w:t>у</w:t>
      </w:r>
      <w:r>
        <w:rPr>
          <w:spacing w:val="-1"/>
          <w:sz w:val="24"/>
        </w:rPr>
        <w:t> </w:t>
      </w:r>
      <w:r>
        <w:rPr>
          <w:sz w:val="24"/>
        </w:rPr>
        <w:t>лиц с</w:t>
      </w:r>
      <w:r>
        <w:rPr>
          <w:spacing w:val="-2"/>
          <w:sz w:val="24"/>
        </w:rPr>
        <w:t> </w:t>
      </w:r>
      <w:r>
        <w:rPr>
          <w:sz w:val="24"/>
        </w:rPr>
        <w:t>АССЗ</w:t>
      </w:r>
      <w:r>
        <w:rPr>
          <w:spacing w:val="-1"/>
          <w:sz w:val="24"/>
        </w:rPr>
        <w:t> </w:t>
      </w:r>
      <w:r>
        <w:rPr>
          <w:sz w:val="24"/>
        </w:rPr>
        <w:t>или без</w:t>
      </w:r>
      <w:r>
        <w:rPr>
          <w:spacing w:val="-2"/>
          <w:sz w:val="24"/>
        </w:rPr>
        <w:t> </w:t>
      </w:r>
      <w:r>
        <w:rPr>
          <w:sz w:val="24"/>
        </w:rPr>
        <w:t>нее</w:t>
      </w:r>
      <w:r>
        <w:rPr>
          <w:spacing w:val="-2"/>
          <w:sz w:val="24"/>
        </w:rPr>
        <w:t> </w:t>
      </w:r>
      <w:r>
        <w:rPr>
          <w:sz w:val="24"/>
        </w:rPr>
        <w:t>рекомендуется</w:t>
      </w:r>
      <w:r>
        <w:rPr>
          <w:spacing w:val="-1"/>
          <w:sz w:val="24"/>
        </w:rPr>
        <w:t> </w:t>
      </w:r>
      <w:r>
        <w:rPr>
          <w:sz w:val="24"/>
        </w:rPr>
        <w:t>оценить HbA1c (который можно брать не натощак) или уровень глюкозы в крови натощак </w:t>
      </w:r>
      <w:r>
        <w:rPr>
          <w:spacing w:val="-2"/>
          <w:sz w:val="24"/>
        </w:rPr>
        <w:t>[</w:t>
      </w:r>
      <w:hyperlink w:history="true" w:anchor="_bookmark226">
        <w:r>
          <w:rPr>
            <w:spacing w:val="-2"/>
            <w:sz w:val="24"/>
          </w:rPr>
          <w:t>185</w:t>
        </w:r>
      </w:hyperlink>
      <w:r>
        <w:rPr>
          <w:spacing w:val="-2"/>
          <w:sz w:val="24"/>
        </w:rPr>
        <w:t>].</w:t>
      </w:r>
    </w:p>
    <w:p>
      <w:pPr>
        <w:pStyle w:val="Heading3"/>
        <w:spacing w:before="3"/>
      </w:pPr>
      <w:r>
        <w:rPr/>
        <w:t>ЕОК/ЕОА</w:t>
      </w:r>
      <w:r>
        <w:rPr>
          <w:spacing w:val="-2"/>
        </w:rPr>
        <w:t> </w:t>
      </w:r>
      <w:r>
        <w:rPr/>
        <w:t>IIa</w:t>
      </w:r>
      <w:r>
        <w:rPr>
          <w:spacing w:val="-1"/>
        </w:rPr>
        <w:t> </w:t>
      </w:r>
      <w:r>
        <w:rPr/>
        <w:t>A</w:t>
      </w:r>
      <w:r>
        <w:rPr>
          <w:spacing w:val="-2"/>
        </w:rPr>
        <w:t> </w:t>
      </w:r>
      <w:r>
        <w:rPr/>
        <w:t>(УУР</w:t>
      </w:r>
      <w:r>
        <w:rPr>
          <w:spacing w:val="1"/>
        </w:rPr>
        <w:t> </w:t>
      </w:r>
      <w:r>
        <w:rPr/>
        <w:t>С,</w:t>
      </w:r>
      <w:r>
        <w:rPr>
          <w:spacing w:val="-1"/>
        </w:rPr>
        <w:t> </w:t>
      </w:r>
      <w:r>
        <w:rPr/>
        <w:t>УДД</w:t>
      </w:r>
      <w:r>
        <w:rPr>
          <w:spacing w:val="-1"/>
        </w:rPr>
        <w:t> </w:t>
      </w:r>
      <w:r>
        <w:rPr>
          <w:spacing w:val="-5"/>
        </w:rPr>
        <w:t>5)</w:t>
      </w:r>
    </w:p>
    <w:p>
      <w:pPr>
        <w:pStyle w:val="BodyText"/>
        <w:spacing w:before="2"/>
        <w:ind w:left="0"/>
        <w:rPr>
          <w:b/>
          <w:sz w:val="33"/>
        </w:rPr>
      </w:pPr>
    </w:p>
    <w:p>
      <w:pPr>
        <w:pStyle w:val="ListParagraph"/>
        <w:numPr>
          <w:ilvl w:val="0"/>
          <w:numId w:val="23"/>
        </w:numPr>
        <w:tabs>
          <w:tab w:pos="1982" w:val="left" w:leader="none"/>
        </w:tabs>
        <w:spacing w:line="348" w:lineRule="auto" w:before="0" w:after="0"/>
        <w:ind w:left="1981" w:right="569" w:hanging="360"/>
        <w:jc w:val="both"/>
        <w:rPr>
          <w:sz w:val="24"/>
        </w:rPr>
      </w:pPr>
      <w:r>
        <w:rPr>
          <w:sz w:val="24"/>
        </w:rPr>
        <w:t>Рекомендуемый уровень HbA1c для снижения ССР и микроваскулярных осложнений СД у большинства пациентов 1-го и 2-го типов СД равен &lt;7.0% [</w:t>
      </w:r>
      <w:hyperlink w:history="true" w:anchor="_bookmark227">
        <w:r>
          <w:rPr>
            <w:sz w:val="24"/>
          </w:rPr>
          <w:t>186</w:t>
        </w:r>
      </w:hyperlink>
      <w:r>
        <w:rPr>
          <w:sz w:val="24"/>
        </w:rPr>
        <w:t>].</w:t>
      </w:r>
    </w:p>
    <w:p>
      <w:pPr>
        <w:pStyle w:val="Heading2"/>
        <w:spacing w:before="16"/>
      </w:pPr>
      <w:r>
        <w:rPr/>
        <w:t>ЕОК/ЕОА</w:t>
      </w:r>
      <w:r>
        <w:rPr>
          <w:spacing w:val="-2"/>
        </w:rPr>
        <w:t> </w:t>
      </w:r>
      <w:r>
        <w:rPr/>
        <w:t>I</w:t>
      </w:r>
      <w:r>
        <w:rPr>
          <w:spacing w:val="-1"/>
        </w:rPr>
        <w:t> </w:t>
      </w:r>
      <w:r>
        <w:rPr/>
        <w:t>A</w:t>
      </w:r>
      <w:r>
        <w:rPr>
          <w:spacing w:val="-2"/>
        </w:rPr>
        <w:t> </w:t>
      </w:r>
      <w:r>
        <w:rPr/>
        <w:t>(УУР</w:t>
      </w:r>
      <w:r>
        <w:rPr>
          <w:spacing w:val="-2"/>
        </w:rPr>
        <w:t> </w:t>
      </w:r>
      <w:r>
        <w:rPr/>
        <w:t>А,</w:t>
      </w:r>
      <w:r>
        <w:rPr>
          <w:spacing w:val="1"/>
        </w:rPr>
        <w:t> </w:t>
      </w:r>
      <w:r>
        <w:rPr/>
        <w:t>УДД</w:t>
      </w:r>
      <w:r>
        <w:rPr>
          <w:spacing w:val="-1"/>
        </w:rPr>
        <w:t> </w:t>
      </w:r>
      <w:r>
        <w:rPr>
          <w:spacing w:val="-5"/>
        </w:rPr>
        <w:t>2)</w:t>
      </w:r>
    </w:p>
    <w:p>
      <w:pPr>
        <w:pStyle w:val="Heading3"/>
        <w:spacing w:before="137"/>
      </w:pPr>
      <w:r>
        <w:rPr/>
        <w:t>Артериальное</w:t>
      </w:r>
      <w:r>
        <w:rPr>
          <w:spacing w:val="-7"/>
        </w:rPr>
        <w:t> </w:t>
      </w:r>
      <w:r>
        <w:rPr>
          <w:spacing w:val="-2"/>
        </w:rPr>
        <w:t>давление</w:t>
      </w:r>
    </w:p>
    <w:p>
      <w:pPr>
        <w:pStyle w:val="BodyText"/>
        <w:spacing w:before="9"/>
        <w:ind w:left="0"/>
        <w:rPr>
          <w:b/>
        </w:rPr>
      </w:pPr>
    </w:p>
    <w:p>
      <w:pPr>
        <w:pStyle w:val="ListParagraph"/>
        <w:numPr>
          <w:ilvl w:val="0"/>
          <w:numId w:val="23"/>
        </w:numPr>
        <w:tabs>
          <w:tab w:pos="1982" w:val="left" w:leader="none"/>
        </w:tabs>
        <w:spacing w:line="355" w:lineRule="auto" w:before="0" w:after="0"/>
        <w:ind w:left="1981" w:right="567" w:hanging="360"/>
        <w:jc w:val="both"/>
        <w:rPr>
          <w:sz w:val="24"/>
        </w:rPr>
      </w:pPr>
      <w:r>
        <w:rPr>
          <w:sz w:val="24"/>
        </w:rPr>
        <w:t>Рекомендуется достижение уровня АД &lt;140/90 мм рт. ст. у всех пациентов, индивидуальные целевые уровни зависят от возраста и наличия сопутствующей патологии [</w:t>
      </w:r>
      <w:hyperlink w:history="true" w:anchor="_bookmark228">
        <w:r>
          <w:rPr>
            <w:sz w:val="24"/>
          </w:rPr>
          <w:t>187</w:t>
        </w:r>
      </w:hyperlink>
      <w:r>
        <w:rPr>
          <w:sz w:val="24"/>
        </w:rPr>
        <w:t>].</w:t>
      </w:r>
    </w:p>
    <w:p>
      <w:pPr>
        <w:pStyle w:val="Heading2"/>
        <w:spacing w:before="4"/>
      </w:pPr>
      <w:r>
        <w:rPr/>
        <w:t>ЕОК/ЕОА</w:t>
      </w:r>
      <w:r>
        <w:rPr>
          <w:spacing w:val="-2"/>
        </w:rPr>
        <w:t> </w:t>
      </w:r>
      <w:r>
        <w:rPr/>
        <w:t>I</w:t>
      </w:r>
      <w:r>
        <w:rPr>
          <w:spacing w:val="-1"/>
        </w:rPr>
        <w:t> </w:t>
      </w:r>
      <w:r>
        <w:rPr/>
        <w:t>A</w:t>
      </w:r>
      <w:r>
        <w:rPr>
          <w:spacing w:val="-2"/>
        </w:rPr>
        <w:t> </w:t>
      </w:r>
      <w:r>
        <w:rPr/>
        <w:t>(УУР</w:t>
      </w:r>
      <w:r>
        <w:rPr>
          <w:spacing w:val="-2"/>
        </w:rPr>
        <w:t> </w:t>
      </w:r>
      <w:r>
        <w:rPr/>
        <w:t>А,</w:t>
      </w:r>
      <w:r>
        <w:rPr>
          <w:spacing w:val="1"/>
        </w:rPr>
        <w:t> </w:t>
      </w:r>
      <w:r>
        <w:rPr/>
        <w:t>УДД</w:t>
      </w:r>
      <w:r>
        <w:rPr>
          <w:spacing w:val="-1"/>
        </w:rPr>
        <w:t> </w:t>
      </w:r>
      <w:r>
        <w:rPr>
          <w:spacing w:val="-5"/>
        </w:rPr>
        <w:t>1)</w:t>
      </w:r>
    </w:p>
    <w:p>
      <w:pPr>
        <w:pStyle w:val="BodyText"/>
        <w:spacing w:before="1"/>
        <w:ind w:left="0"/>
        <w:rPr>
          <w:b/>
          <w:sz w:val="33"/>
        </w:rPr>
      </w:pPr>
    </w:p>
    <w:p>
      <w:pPr>
        <w:pStyle w:val="ListParagraph"/>
        <w:numPr>
          <w:ilvl w:val="0"/>
          <w:numId w:val="23"/>
        </w:numPr>
        <w:tabs>
          <w:tab w:pos="1982" w:val="left" w:leader="none"/>
        </w:tabs>
        <w:spacing w:line="357" w:lineRule="auto" w:before="1" w:after="0"/>
        <w:ind w:left="1981" w:right="567" w:hanging="360"/>
        <w:jc w:val="both"/>
        <w:rPr>
          <w:sz w:val="24"/>
        </w:rPr>
      </w:pPr>
      <w:r>
        <w:rPr>
          <w:sz w:val="24"/>
        </w:rPr>
        <w:t>Рекомендуется для пациентов 18–69 лет поддерживать САД в интервале 120–130 мм рт. ст. [</w:t>
      </w:r>
      <w:hyperlink w:history="true" w:anchor="_bookmark229">
        <w:r>
          <w:rPr>
            <w:sz w:val="24"/>
          </w:rPr>
          <w:t>188</w:t>
        </w:r>
      </w:hyperlink>
      <w:r>
        <w:rPr>
          <w:sz w:val="24"/>
        </w:rPr>
        <w:t>]. У пациентов ≥70 лет, получающих терапию, рекомендовано целевое значение САД &lt;140 мм рт. ст. со снижением до 130 мм рт. ст. при удовлетворительной переносимости [</w:t>
      </w:r>
      <w:hyperlink w:history="true" w:anchor="_bookmark230">
        <w:r>
          <w:rPr>
            <w:sz w:val="24"/>
          </w:rPr>
          <w:t>189</w:t>
        </w:r>
      </w:hyperlink>
      <w:r>
        <w:rPr>
          <w:sz w:val="24"/>
        </w:rPr>
        <w:t>]. У всех пациентов, получающих</w:t>
      </w:r>
      <w:r>
        <w:rPr>
          <w:spacing w:val="40"/>
          <w:sz w:val="24"/>
        </w:rPr>
        <w:t> </w:t>
      </w:r>
      <w:r>
        <w:rPr>
          <w:sz w:val="24"/>
        </w:rPr>
        <w:t>терапию, рекомендовано снижение ДАД &lt;80 мм рт. ст. [</w:t>
      </w:r>
      <w:hyperlink w:history="true" w:anchor="_bookmark231">
        <w:r>
          <w:rPr>
            <w:sz w:val="24"/>
          </w:rPr>
          <w:t>190</w:t>
        </w:r>
      </w:hyperlink>
      <w:r>
        <w:rPr>
          <w:sz w:val="24"/>
        </w:rPr>
        <w:t>]</w:t>
      </w:r>
    </w:p>
    <w:p>
      <w:pPr>
        <w:spacing w:after="0" w:line="357" w:lineRule="auto"/>
        <w:jc w:val="both"/>
        <w:rPr>
          <w:sz w:val="24"/>
        </w:rPr>
        <w:sectPr>
          <w:pgSz w:w="11910" w:h="16840"/>
          <w:pgMar w:header="0" w:footer="710" w:top="1040" w:bottom="900" w:left="440" w:right="280"/>
        </w:sectPr>
      </w:pPr>
    </w:p>
    <w:p>
      <w:pPr>
        <w:pStyle w:val="Heading2"/>
        <w:spacing w:before="73"/>
      </w:pPr>
      <w:r>
        <w:rPr/>
        <w:t>ЕОК/ЕОА</w:t>
      </w:r>
      <w:r>
        <w:rPr>
          <w:spacing w:val="-2"/>
        </w:rPr>
        <w:t> </w:t>
      </w:r>
      <w:r>
        <w:rPr/>
        <w:t>I</w:t>
      </w:r>
      <w:r>
        <w:rPr>
          <w:spacing w:val="-1"/>
        </w:rPr>
        <w:t> </w:t>
      </w:r>
      <w:r>
        <w:rPr/>
        <w:t>A</w:t>
      </w:r>
      <w:r>
        <w:rPr>
          <w:spacing w:val="-2"/>
        </w:rPr>
        <w:t> </w:t>
      </w:r>
      <w:r>
        <w:rPr/>
        <w:t>(УУР</w:t>
      </w:r>
      <w:r>
        <w:rPr>
          <w:spacing w:val="-2"/>
        </w:rPr>
        <w:t> </w:t>
      </w:r>
      <w:r>
        <w:rPr/>
        <w:t>А,</w:t>
      </w:r>
      <w:r>
        <w:rPr>
          <w:spacing w:val="1"/>
        </w:rPr>
        <w:t> </w:t>
      </w:r>
      <w:r>
        <w:rPr/>
        <w:t>УДД</w:t>
      </w:r>
      <w:r>
        <w:rPr>
          <w:spacing w:val="-1"/>
        </w:rPr>
        <w:t> </w:t>
      </w:r>
      <w:r>
        <w:rPr>
          <w:spacing w:val="-5"/>
        </w:rPr>
        <w:t>1)</w:t>
      </w:r>
    </w:p>
    <w:p>
      <w:pPr>
        <w:pStyle w:val="Heading3"/>
        <w:spacing w:before="139"/>
      </w:pPr>
      <w:r>
        <w:rPr/>
        <w:t>Антитромботическая</w:t>
      </w:r>
      <w:r>
        <w:rPr>
          <w:spacing w:val="-11"/>
        </w:rPr>
        <w:t> </w:t>
      </w:r>
      <w:r>
        <w:rPr>
          <w:spacing w:val="-2"/>
        </w:rPr>
        <w:t>терапия</w:t>
      </w:r>
    </w:p>
    <w:p>
      <w:pPr>
        <w:pStyle w:val="BodyText"/>
        <w:ind w:left="0"/>
        <w:rPr>
          <w:b/>
          <w:sz w:val="33"/>
        </w:rPr>
      </w:pPr>
    </w:p>
    <w:p>
      <w:pPr>
        <w:pStyle w:val="ListParagraph"/>
        <w:numPr>
          <w:ilvl w:val="0"/>
          <w:numId w:val="23"/>
        </w:numPr>
        <w:tabs>
          <w:tab w:pos="1981" w:val="left" w:leader="none"/>
          <w:tab w:pos="1982" w:val="left" w:leader="none"/>
        </w:tabs>
        <w:spacing w:line="240" w:lineRule="auto" w:before="0" w:after="0"/>
        <w:ind w:left="1981" w:right="0" w:hanging="361"/>
        <w:jc w:val="left"/>
        <w:rPr>
          <w:sz w:val="24"/>
        </w:rPr>
      </w:pPr>
      <w:r>
        <w:rPr>
          <w:sz w:val="24"/>
        </w:rPr>
        <w:t>Антитромботическая</w:t>
      </w:r>
      <w:r>
        <w:rPr>
          <w:spacing w:val="64"/>
          <w:sz w:val="24"/>
        </w:rPr>
        <w:t> </w:t>
      </w:r>
      <w:r>
        <w:rPr>
          <w:sz w:val="24"/>
        </w:rPr>
        <w:t>терапия</w:t>
      </w:r>
      <w:r>
        <w:rPr>
          <w:spacing w:val="65"/>
          <w:sz w:val="24"/>
        </w:rPr>
        <w:t> </w:t>
      </w:r>
      <w:r>
        <w:rPr>
          <w:sz w:val="24"/>
        </w:rPr>
        <w:t>рекомендована</w:t>
      </w:r>
      <w:r>
        <w:rPr>
          <w:spacing w:val="64"/>
          <w:sz w:val="24"/>
        </w:rPr>
        <w:t> </w:t>
      </w:r>
      <w:r>
        <w:rPr>
          <w:sz w:val="24"/>
        </w:rPr>
        <w:t>для</w:t>
      </w:r>
      <w:r>
        <w:rPr>
          <w:spacing w:val="65"/>
          <w:sz w:val="24"/>
        </w:rPr>
        <w:t> </w:t>
      </w:r>
      <w:r>
        <w:rPr>
          <w:sz w:val="24"/>
        </w:rPr>
        <w:t>вторичной</w:t>
      </w:r>
      <w:r>
        <w:rPr>
          <w:spacing w:val="64"/>
          <w:sz w:val="24"/>
        </w:rPr>
        <w:t> </w:t>
      </w:r>
      <w:r>
        <w:rPr>
          <w:sz w:val="24"/>
        </w:rPr>
        <w:t>профилактики</w:t>
      </w:r>
      <w:r>
        <w:rPr>
          <w:spacing w:val="64"/>
          <w:sz w:val="24"/>
        </w:rPr>
        <w:t> </w:t>
      </w:r>
      <w:r>
        <w:rPr>
          <w:spacing w:val="-5"/>
          <w:sz w:val="24"/>
        </w:rPr>
        <w:t>ССЗ</w:t>
      </w:r>
    </w:p>
    <w:p>
      <w:pPr>
        <w:pStyle w:val="BodyText"/>
        <w:spacing w:before="136"/>
      </w:pPr>
      <w:r>
        <w:rPr>
          <w:spacing w:val="-2"/>
        </w:rPr>
        <w:t>[</w:t>
      </w:r>
      <w:hyperlink w:history="true" w:anchor="_bookmark232">
        <w:r>
          <w:rPr>
            <w:spacing w:val="-2"/>
          </w:rPr>
          <w:t>191</w:t>
        </w:r>
      </w:hyperlink>
      <w:r>
        <w:rPr>
          <w:spacing w:val="-2"/>
        </w:rPr>
        <w:t>].</w:t>
      </w:r>
    </w:p>
    <w:p>
      <w:pPr>
        <w:pStyle w:val="Heading2"/>
        <w:spacing w:before="139"/>
      </w:pPr>
      <w:r>
        <w:rPr/>
        <w:t>ЕОК/ЕОА</w:t>
      </w:r>
      <w:r>
        <w:rPr>
          <w:spacing w:val="-2"/>
        </w:rPr>
        <w:t> </w:t>
      </w:r>
      <w:r>
        <w:rPr/>
        <w:t>I</w:t>
      </w:r>
      <w:r>
        <w:rPr>
          <w:spacing w:val="-1"/>
        </w:rPr>
        <w:t> </w:t>
      </w:r>
      <w:r>
        <w:rPr/>
        <w:t>A</w:t>
      </w:r>
      <w:r>
        <w:rPr>
          <w:spacing w:val="-2"/>
        </w:rPr>
        <w:t> </w:t>
      </w:r>
      <w:r>
        <w:rPr/>
        <w:t>(УУР</w:t>
      </w:r>
      <w:r>
        <w:rPr>
          <w:spacing w:val="-2"/>
        </w:rPr>
        <w:t> </w:t>
      </w:r>
      <w:r>
        <w:rPr/>
        <w:t>А,</w:t>
      </w:r>
      <w:r>
        <w:rPr>
          <w:spacing w:val="1"/>
        </w:rPr>
        <w:t> </w:t>
      </w:r>
      <w:r>
        <w:rPr/>
        <w:t>УДД</w:t>
      </w:r>
      <w:r>
        <w:rPr>
          <w:spacing w:val="-1"/>
        </w:rPr>
        <w:t> </w:t>
      </w:r>
      <w:r>
        <w:rPr>
          <w:spacing w:val="-5"/>
        </w:rPr>
        <w:t>1)</w:t>
      </w:r>
    </w:p>
    <w:p>
      <w:pPr>
        <w:pStyle w:val="Heading3"/>
        <w:spacing w:before="137"/>
      </w:pPr>
      <w:r>
        <w:rPr/>
        <w:t>Профилактика</w:t>
      </w:r>
      <w:r>
        <w:rPr>
          <w:spacing w:val="-8"/>
        </w:rPr>
        <w:t> </w:t>
      </w:r>
      <w:r>
        <w:rPr/>
        <w:t>при</w:t>
      </w:r>
      <w:r>
        <w:rPr>
          <w:spacing w:val="-5"/>
        </w:rPr>
        <w:t> </w:t>
      </w:r>
      <w:r>
        <w:rPr/>
        <w:t>различных</w:t>
      </w:r>
      <w:r>
        <w:rPr>
          <w:spacing w:val="-5"/>
        </w:rPr>
        <w:t> </w:t>
      </w:r>
      <w:r>
        <w:rPr/>
        <w:t>клинических</w:t>
      </w:r>
      <w:r>
        <w:rPr>
          <w:spacing w:val="-7"/>
        </w:rPr>
        <w:t> </w:t>
      </w:r>
      <w:r>
        <w:rPr>
          <w:spacing w:val="-2"/>
        </w:rPr>
        <w:t>состояниях</w:t>
      </w:r>
    </w:p>
    <w:p>
      <w:pPr>
        <w:pStyle w:val="BodyText"/>
        <w:spacing w:before="1"/>
        <w:ind w:left="0"/>
        <w:rPr>
          <w:b/>
          <w:sz w:val="33"/>
        </w:rPr>
      </w:pPr>
    </w:p>
    <w:p>
      <w:pPr>
        <w:pStyle w:val="ListParagraph"/>
        <w:numPr>
          <w:ilvl w:val="0"/>
          <w:numId w:val="23"/>
        </w:numPr>
        <w:tabs>
          <w:tab w:pos="1982" w:val="left" w:leader="none"/>
        </w:tabs>
        <w:spacing w:line="348" w:lineRule="auto" w:before="1" w:after="0"/>
        <w:ind w:left="1981" w:right="568" w:hanging="360"/>
        <w:jc w:val="both"/>
        <w:rPr>
          <w:sz w:val="24"/>
        </w:rPr>
      </w:pPr>
      <w:r>
        <w:rPr>
          <w:sz w:val="24"/>
        </w:rPr>
        <w:t>Пациентам с онкологическими заболеваниями рекомендуется выявление и контроль факторов риска АССЗ [</w:t>
      </w:r>
      <w:hyperlink w:history="true" w:anchor="_bookmark233">
        <w:r>
          <w:rPr>
            <w:sz w:val="24"/>
          </w:rPr>
          <w:t>192</w:t>
        </w:r>
      </w:hyperlink>
      <w:r>
        <w:rPr>
          <w:sz w:val="24"/>
        </w:rPr>
        <w:t>].</w:t>
      </w:r>
    </w:p>
    <w:p>
      <w:pPr>
        <w:pStyle w:val="Heading2"/>
        <w:spacing w:before="16"/>
      </w:pPr>
      <w:r>
        <w:rPr/>
        <w:t>ЕОК/ЕОА</w:t>
      </w:r>
      <w:r>
        <w:rPr>
          <w:spacing w:val="-2"/>
        </w:rPr>
        <w:t> </w:t>
      </w:r>
      <w:r>
        <w:rPr/>
        <w:t>I</w:t>
      </w:r>
      <w:r>
        <w:rPr>
          <w:spacing w:val="-1"/>
        </w:rPr>
        <w:t> </w:t>
      </w:r>
      <w:r>
        <w:rPr/>
        <w:t>С</w:t>
      </w:r>
      <w:r>
        <w:rPr>
          <w:spacing w:val="-2"/>
        </w:rPr>
        <w:t> </w:t>
      </w:r>
      <w:r>
        <w:rPr/>
        <w:t>(УУР</w:t>
      </w:r>
      <w:r>
        <w:rPr>
          <w:spacing w:val="-2"/>
        </w:rPr>
        <w:t> </w:t>
      </w:r>
      <w:r>
        <w:rPr/>
        <w:t>С,</w:t>
      </w:r>
      <w:r>
        <w:rPr>
          <w:spacing w:val="1"/>
        </w:rPr>
        <w:t> </w:t>
      </w:r>
      <w:r>
        <w:rPr/>
        <w:t>УДД</w:t>
      </w:r>
      <w:r>
        <w:rPr>
          <w:spacing w:val="-1"/>
        </w:rPr>
        <w:t> </w:t>
      </w:r>
      <w:r>
        <w:rPr>
          <w:spacing w:val="-5"/>
        </w:rPr>
        <w:t>4)</w:t>
      </w:r>
    </w:p>
    <w:p>
      <w:pPr>
        <w:pStyle w:val="BodyText"/>
        <w:spacing w:before="11"/>
        <w:ind w:left="0"/>
        <w:rPr>
          <w:b/>
          <w:sz w:val="32"/>
        </w:rPr>
      </w:pPr>
    </w:p>
    <w:p>
      <w:pPr>
        <w:pStyle w:val="ListParagraph"/>
        <w:numPr>
          <w:ilvl w:val="0"/>
          <w:numId w:val="23"/>
        </w:numPr>
        <w:tabs>
          <w:tab w:pos="1982" w:val="left" w:leader="none"/>
        </w:tabs>
        <w:spacing w:line="350" w:lineRule="auto" w:before="0" w:after="0"/>
        <w:ind w:left="1981" w:right="566" w:hanging="360"/>
        <w:jc w:val="both"/>
        <w:rPr>
          <w:sz w:val="24"/>
        </w:rPr>
      </w:pPr>
      <w:r>
        <w:rPr>
          <w:sz w:val="24"/>
        </w:rPr>
        <w:t>Всем пациентам с ХОБЛ рекомендовано обследование на АССЗ и факторы риска АССЗ [</w:t>
      </w:r>
      <w:hyperlink w:history="true" w:anchor="_bookmark234">
        <w:r>
          <w:rPr>
            <w:sz w:val="24"/>
          </w:rPr>
          <w:t>193</w:t>
        </w:r>
      </w:hyperlink>
      <w:r>
        <w:rPr>
          <w:sz w:val="24"/>
        </w:rPr>
        <w:t>].</w:t>
      </w:r>
    </w:p>
    <w:p>
      <w:pPr>
        <w:pStyle w:val="Heading2"/>
        <w:spacing w:before="10"/>
      </w:pPr>
      <w:r>
        <w:rPr/>
        <w:t>ЕОК/ЕОА</w:t>
      </w:r>
      <w:r>
        <w:rPr>
          <w:spacing w:val="-2"/>
        </w:rPr>
        <w:t> </w:t>
      </w:r>
      <w:r>
        <w:rPr/>
        <w:t>I</w:t>
      </w:r>
      <w:r>
        <w:rPr>
          <w:spacing w:val="-1"/>
        </w:rPr>
        <w:t> </w:t>
      </w:r>
      <w:r>
        <w:rPr/>
        <w:t>С</w:t>
      </w:r>
      <w:r>
        <w:rPr>
          <w:spacing w:val="-2"/>
        </w:rPr>
        <w:t> </w:t>
      </w:r>
      <w:r>
        <w:rPr/>
        <w:t>(УУР</w:t>
      </w:r>
      <w:r>
        <w:rPr>
          <w:spacing w:val="-2"/>
        </w:rPr>
        <w:t> </w:t>
      </w:r>
      <w:r>
        <w:rPr/>
        <w:t>В,</w:t>
      </w:r>
      <w:r>
        <w:rPr>
          <w:spacing w:val="1"/>
        </w:rPr>
        <w:t> </w:t>
      </w:r>
      <w:r>
        <w:rPr/>
        <w:t>УДД </w:t>
      </w:r>
      <w:r>
        <w:rPr>
          <w:spacing w:val="-5"/>
        </w:rPr>
        <w:t>2)</w:t>
      </w:r>
    </w:p>
    <w:p>
      <w:pPr>
        <w:pStyle w:val="BodyText"/>
        <w:spacing w:before="2"/>
        <w:ind w:left="0"/>
        <w:rPr>
          <w:b/>
          <w:sz w:val="33"/>
        </w:rPr>
      </w:pPr>
    </w:p>
    <w:p>
      <w:pPr>
        <w:pStyle w:val="ListParagraph"/>
        <w:numPr>
          <w:ilvl w:val="0"/>
          <w:numId w:val="23"/>
        </w:numPr>
        <w:tabs>
          <w:tab w:pos="1982" w:val="left" w:leader="none"/>
        </w:tabs>
        <w:spacing w:line="350" w:lineRule="auto" w:before="0" w:after="0"/>
        <w:ind w:left="1981" w:right="573" w:hanging="360"/>
        <w:jc w:val="both"/>
        <w:rPr>
          <w:sz w:val="24"/>
        </w:rPr>
      </w:pPr>
      <w:r>
        <w:rPr>
          <w:sz w:val="24"/>
        </w:rPr>
        <w:t>У взрослых с ревматоидным артритом рекомендуется умножение имеющегося риска сердечно-сосудистых осложнений на 1,5 [</w:t>
      </w:r>
      <w:hyperlink w:history="true" w:anchor="_bookmark235">
        <w:r>
          <w:rPr>
            <w:sz w:val="24"/>
          </w:rPr>
          <w:t>194</w:t>
        </w:r>
      </w:hyperlink>
      <w:r>
        <w:rPr>
          <w:sz w:val="24"/>
        </w:rPr>
        <w:t>].</w:t>
      </w:r>
    </w:p>
    <w:p>
      <w:pPr>
        <w:pStyle w:val="Heading3"/>
        <w:spacing w:before="11"/>
      </w:pPr>
      <w:r>
        <w:rPr/>
        <w:t>ЕОК/ЕОА</w:t>
      </w:r>
      <w:r>
        <w:rPr>
          <w:spacing w:val="-4"/>
        </w:rPr>
        <w:t> </w:t>
      </w:r>
      <w:r>
        <w:rPr/>
        <w:t>IIa</w:t>
      </w:r>
      <w:r>
        <w:rPr>
          <w:spacing w:val="-1"/>
        </w:rPr>
        <w:t> </w:t>
      </w:r>
      <w:r>
        <w:rPr/>
        <w:t>B</w:t>
      </w:r>
      <w:r>
        <w:rPr>
          <w:spacing w:val="-1"/>
        </w:rPr>
        <w:t> </w:t>
      </w:r>
      <w:r>
        <w:rPr/>
        <w:t>(УУР</w:t>
      </w:r>
      <w:r>
        <w:rPr>
          <w:spacing w:val="-2"/>
        </w:rPr>
        <w:t> </w:t>
      </w:r>
      <w:r>
        <w:rPr/>
        <w:t>B,</w:t>
      </w:r>
      <w:r>
        <w:rPr>
          <w:spacing w:val="-1"/>
        </w:rPr>
        <w:t> </w:t>
      </w:r>
      <w:r>
        <w:rPr/>
        <w:t>УДД </w:t>
      </w:r>
      <w:r>
        <w:rPr>
          <w:spacing w:val="-5"/>
        </w:rPr>
        <w:t>3)</w:t>
      </w:r>
    </w:p>
    <w:p>
      <w:pPr>
        <w:pStyle w:val="BodyText"/>
        <w:spacing w:before="10"/>
        <w:ind w:left="0"/>
        <w:rPr>
          <w:b/>
          <w:sz w:val="32"/>
        </w:rPr>
      </w:pPr>
    </w:p>
    <w:p>
      <w:pPr>
        <w:pStyle w:val="ListParagraph"/>
        <w:numPr>
          <w:ilvl w:val="0"/>
          <w:numId w:val="23"/>
        </w:numPr>
        <w:tabs>
          <w:tab w:pos="1982" w:val="left" w:leader="none"/>
        </w:tabs>
        <w:spacing w:line="357" w:lineRule="auto" w:before="1" w:after="0"/>
        <w:ind w:left="1981" w:right="567" w:hanging="360"/>
        <w:jc w:val="both"/>
        <w:rPr>
          <w:sz w:val="24"/>
        </w:rPr>
      </w:pPr>
      <w:r>
        <w:rPr>
          <w:sz w:val="24"/>
        </w:rPr>
        <w:t>У пациентов с АССЗ, ожирением и гипертонической болезнью, рекомендуется регулярный скрининг на полноценность сна (например, с помощью вопроса: «Как часто вас беспокоили проблемы с засыпанием, сонливостью или слишком долгого сна?») [</w:t>
      </w:r>
      <w:hyperlink w:history="true" w:anchor="_bookmark236">
        <w:r>
          <w:rPr>
            <w:sz w:val="24"/>
          </w:rPr>
          <w:t>195</w:t>
        </w:r>
      </w:hyperlink>
      <w:r>
        <w:rPr>
          <w:sz w:val="24"/>
        </w:rPr>
        <w:t>].</w:t>
      </w:r>
    </w:p>
    <w:p>
      <w:pPr>
        <w:pStyle w:val="Heading2"/>
        <w:spacing w:before="1"/>
      </w:pPr>
      <w:r>
        <w:rPr/>
        <w:t>ЕОК/ЕОА</w:t>
      </w:r>
      <w:r>
        <w:rPr>
          <w:spacing w:val="-2"/>
        </w:rPr>
        <w:t> </w:t>
      </w:r>
      <w:r>
        <w:rPr/>
        <w:t>I</w:t>
      </w:r>
      <w:r>
        <w:rPr>
          <w:spacing w:val="-1"/>
        </w:rPr>
        <w:t> </w:t>
      </w:r>
      <w:r>
        <w:rPr/>
        <w:t>С</w:t>
      </w:r>
      <w:r>
        <w:rPr>
          <w:spacing w:val="-2"/>
        </w:rPr>
        <w:t> </w:t>
      </w:r>
      <w:r>
        <w:rPr/>
        <w:t>(УУР</w:t>
      </w:r>
      <w:r>
        <w:rPr>
          <w:spacing w:val="-2"/>
        </w:rPr>
        <w:t> </w:t>
      </w:r>
      <w:r>
        <w:rPr/>
        <w:t>С,</w:t>
      </w:r>
      <w:r>
        <w:rPr>
          <w:spacing w:val="1"/>
        </w:rPr>
        <w:t> </w:t>
      </w:r>
      <w:r>
        <w:rPr/>
        <w:t>УДД</w:t>
      </w:r>
      <w:r>
        <w:rPr>
          <w:spacing w:val="-1"/>
        </w:rPr>
        <w:t> </w:t>
      </w:r>
      <w:r>
        <w:rPr>
          <w:spacing w:val="-5"/>
        </w:rPr>
        <w:t>5)</w:t>
      </w:r>
    </w:p>
    <w:p>
      <w:pPr>
        <w:pStyle w:val="BodyText"/>
        <w:spacing w:before="11"/>
        <w:ind w:left="0"/>
        <w:rPr>
          <w:b/>
          <w:sz w:val="32"/>
        </w:rPr>
      </w:pPr>
    </w:p>
    <w:p>
      <w:pPr>
        <w:pStyle w:val="ListParagraph"/>
        <w:numPr>
          <w:ilvl w:val="0"/>
          <w:numId w:val="23"/>
        </w:numPr>
        <w:tabs>
          <w:tab w:pos="1981" w:val="left" w:leader="none"/>
          <w:tab w:pos="1982" w:val="left" w:leader="none"/>
        </w:tabs>
        <w:spacing w:line="240" w:lineRule="auto" w:before="0" w:after="0"/>
        <w:ind w:left="1981" w:right="0" w:hanging="361"/>
        <w:jc w:val="left"/>
        <w:rPr>
          <w:sz w:val="24"/>
        </w:rPr>
      </w:pPr>
      <w:r>
        <w:rPr>
          <w:sz w:val="24"/>
        </w:rPr>
        <w:t>У</w:t>
      </w:r>
      <w:r>
        <w:rPr>
          <w:spacing w:val="-4"/>
          <w:sz w:val="24"/>
        </w:rPr>
        <w:t> </w:t>
      </w:r>
      <w:r>
        <w:rPr>
          <w:sz w:val="24"/>
        </w:rPr>
        <w:t>мужчин</w:t>
      </w:r>
      <w:r>
        <w:rPr>
          <w:spacing w:val="-1"/>
          <w:sz w:val="24"/>
        </w:rPr>
        <w:t> </w:t>
      </w:r>
      <w:r>
        <w:rPr>
          <w:sz w:val="24"/>
        </w:rPr>
        <w:t>с</w:t>
      </w:r>
      <w:r>
        <w:rPr>
          <w:spacing w:val="-2"/>
          <w:sz w:val="24"/>
        </w:rPr>
        <w:t> </w:t>
      </w:r>
      <w:r>
        <w:rPr>
          <w:sz w:val="24"/>
        </w:rPr>
        <w:t>эректильной</w:t>
      </w:r>
      <w:r>
        <w:rPr>
          <w:spacing w:val="-1"/>
          <w:sz w:val="24"/>
        </w:rPr>
        <w:t> </w:t>
      </w:r>
      <w:r>
        <w:rPr>
          <w:sz w:val="24"/>
        </w:rPr>
        <w:t>дисфункцией следует</w:t>
      </w:r>
      <w:r>
        <w:rPr>
          <w:spacing w:val="-2"/>
          <w:sz w:val="24"/>
        </w:rPr>
        <w:t> </w:t>
      </w:r>
      <w:r>
        <w:rPr>
          <w:sz w:val="24"/>
        </w:rPr>
        <w:t>оценивать</w:t>
      </w:r>
      <w:r>
        <w:rPr>
          <w:spacing w:val="-1"/>
          <w:sz w:val="24"/>
        </w:rPr>
        <w:t> </w:t>
      </w:r>
      <w:r>
        <w:rPr>
          <w:sz w:val="24"/>
        </w:rPr>
        <w:t>ССР</w:t>
      </w:r>
      <w:r>
        <w:rPr>
          <w:spacing w:val="-2"/>
          <w:sz w:val="24"/>
        </w:rPr>
        <w:t> </w:t>
      </w:r>
      <w:r>
        <w:rPr>
          <w:sz w:val="24"/>
        </w:rPr>
        <w:t>[</w:t>
      </w:r>
      <w:hyperlink w:history="true" w:anchor="_bookmark237">
        <w:r>
          <w:rPr>
            <w:sz w:val="24"/>
          </w:rPr>
          <w:t>196</w:t>
        </w:r>
      </w:hyperlink>
      <w:r>
        <w:rPr>
          <w:sz w:val="24"/>
        </w:rPr>
        <w:t>,</w:t>
      </w:r>
      <w:r>
        <w:rPr>
          <w:spacing w:val="-1"/>
          <w:sz w:val="24"/>
        </w:rPr>
        <w:t> </w:t>
      </w:r>
      <w:hyperlink w:history="true" w:anchor="_bookmark238">
        <w:r>
          <w:rPr>
            <w:spacing w:val="-2"/>
            <w:sz w:val="24"/>
          </w:rPr>
          <w:t>197</w:t>
        </w:r>
      </w:hyperlink>
      <w:r>
        <w:rPr>
          <w:spacing w:val="-2"/>
          <w:sz w:val="24"/>
        </w:rPr>
        <w:t>].</w:t>
      </w:r>
    </w:p>
    <w:p>
      <w:pPr>
        <w:pStyle w:val="Heading3"/>
        <w:spacing w:before="136"/>
      </w:pPr>
      <w:r>
        <w:rPr/>
        <w:t>ЕОК/ЕОА</w:t>
      </w:r>
      <w:r>
        <w:rPr>
          <w:spacing w:val="-2"/>
        </w:rPr>
        <w:t> </w:t>
      </w:r>
      <w:r>
        <w:rPr/>
        <w:t>IIa</w:t>
      </w:r>
      <w:r>
        <w:rPr>
          <w:spacing w:val="-1"/>
        </w:rPr>
        <w:t> </w:t>
      </w:r>
      <w:r>
        <w:rPr/>
        <w:t>С</w:t>
      </w:r>
      <w:r>
        <w:rPr>
          <w:spacing w:val="-2"/>
        </w:rPr>
        <w:t> </w:t>
      </w:r>
      <w:r>
        <w:rPr/>
        <w:t>(УУР</w:t>
      </w:r>
      <w:r>
        <w:rPr>
          <w:spacing w:val="1"/>
        </w:rPr>
        <w:t> </w:t>
      </w:r>
      <w:r>
        <w:rPr/>
        <w:t>В,</w:t>
      </w:r>
      <w:r>
        <w:rPr>
          <w:spacing w:val="-1"/>
        </w:rPr>
        <w:t> </w:t>
      </w:r>
      <w:r>
        <w:rPr/>
        <w:t>УДД </w:t>
      </w:r>
      <w:r>
        <w:rPr>
          <w:spacing w:val="-5"/>
        </w:rPr>
        <w:t>3)</w:t>
      </w:r>
    </w:p>
    <w:p>
      <w:pPr>
        <w:pStyle w:val="BodyText"/>
        <w:spacing w:line="360" w:lineRule="auto" w:before="137"/>
        <w:ind w:left="1261" w:right="566" w:firstLine="708"/>
        <w:jc w:val="both"/>
      </w:pPr>
      <w:r>
        <w:rPr/>
        <w:t>Динамическое наблюдение — чрезвычайно важная составляющая медицинской помощи пациентам с ДЛП, задачами которого являются: поддержание ЦУ ЛНП, ТГ, контроль выполнения врачебных рекомендаций по коррекции ФР, контроль за соблюдением режима приема медикаментозной терапии. Все рекомендации, даваемые пациенту, должны быть ясными, четкими и соответствовать его интеллектуальному уровню. С целью обеспечить осознанное участие пациента в лечебно-профилактическом процессе и повысить эффективность лечения целесообразно для ряда пациентов, для которых устных рекомендаций недостаточно, продублировать их в письменном виде.</w:t>
      </w:r>
    </w:p>
    <w:p>
      <w:pPr>
        <w:spacing w:after="0" w:line="360" w:lineRule="auto"/>
        <w:jc w:val="both"/>
        <w:sectPr>
          <w:pgSz w:w="11910" w:h="16840"/>
          <w:pgMar w:header="0" w:footer="710" w:top="1040" w:bottom="900" w:left="440" w:right="280"/>
        </w:sectPr>
      </w:pPr>
    </w:p>
    <w:p>
      <w:pPr>
        <w:pStyle w:val="BodyText"/>
        <w:spacing w:line="360" w:lineRule="auto" w:before="73"/>
        <w:ind w:left="1261" w:right="567" w:firstLine="708"/>
        <w:jc w:val="both"/>
      </w:pPr>
      <w:r>
        <w:rPr/>
        <w:t>После старта или изменения дозировок гиполипидемической терапии необходим контроль</w:t>
      </w:r>
      <w:r>
        <w:rPr>
          <w:spacing w:val="-1"/>
        </w:rPr>
        <w:t> </w:t>
      </w:r>
      <w:r>
        <w:rPr/>
        <w:t>липидов</w:t>
      </w:r>
      <w:r>
        <w:rPr>
          <w:spacing w:val="-2"/>
        </w:rPr>
        <w:t> </w:t>
      </w:r>
      <w:r>
        <w:rPr/>
        <w:t>сыворотки</w:t>
      </w:r>
      <w:r>
        <w:rPr>
          <w:spacing w:val="-1"/>
        </w:rPr>
        <w:t> </w:t>
      </w:r>
      <w:r>
        <w:rPr/>
        <w:t>через</w:t>
      </w:r>
      <w:r>
        <w:rPr>
          <w:spacing w:val="-1"/>
        </w:rPr>
        <w:t> </w:t>
      </w:r>
      <w:r>
        <w:rPr/>
        <w:t>8</w:t>
      </w:r>
      <w:r>
        <w:rPr>
          <w:spacing w:val="-2"/>
        </w:rPr>
        <w:t> </w:t>
      </w:r>
      <w:r>
        <w:rPr/>
        <w:t>(±4)</w:t>
      </w:r>
      <w:r>
        <w:rPr>
          <w:spacing w:val="-2"/>
        </w:rPr>
        <w:t> </w:t>
      </w:r>
      <w:r>
        <w:rPr/>
        <w:t>недель</w:t>
      </w:r>
      <w:r>
        <w:rPr>
          <w:spacing w:val="-1"/>
        </w:rPr>
        <w:t> </w:t>
      </w:r>
      <w:r>
        <w:rPr/>
        <w:t>до</w:t>
      </w:r>
      <w:r>
        <w:rPr>
          <w:spacing w:val="-2"/>
        </w:rPr>
        <w:t> </w:t>
      </w:r>
      <w:r>
        <w:rPr/>
        <w:t>достижения</w:t>
      </w:r>
      <w:r>
        <w:rPr>
          <w:spacing w:val="-3"/>
        </w:rPr>
        <w:t> </w:t>
      </w:r>
      <w:r>
        <w:rPr/>
        <w:t>целевого</w:t>
      </w:r>
      <w:r>
        <w:rPr>
          <w:spacing w:val="-2"/>
        </w:rPr>
        <w:t> </w:t>
      </w:r>
      <w:r>
        <w:rPr/>
        <w:t>уровня</w:t>
      </w:r>
      <w:r>
        <w:rPr>
          <w:spacing w:val="-2"/>
        </w:rPr>
        <w:t> </w:t>
      </w:r>
      <w:r>
        <w:rPr/>
        <w:t>липидов, далее ежегодно (если нет проблем с приверженностью или других причин для более частого контроля). Контроль АЛТ, АСТ, билирубин, КФК проводится через 4–6 недель после изменения гиполипидемической терапии, после достижения целевого уровня липидов рутинный контроль не требуется, только при наличии жалоб, характерных для поражения печени или мышц.</w:t>
      </w:r>
    </w:p>
    <w:p>
      <w:pPr>
        <w:pStyle w:val="BodyText"/>
        <w:spacing w:line="360" w:lineRule="auto" w:before="2"/>
        <w:ind w:left="1261" w:right="568" w:firstLine="708"/>
        <w:jc w:val="both"/>
      </w:pPr>
      <w:r>
        <w:rPr/>
        <w:t>Согласно рекомендациям по диспансерному наблюдению пациентов с АГ, стабильной ИБС, перенесенным ОНМК в анамнезе требуется контроль уровня ХС ЛНП и АД дважды в год. При гиперхолестеринемии выше 8,0 ммоль/л рекомендован контроль</w:t>
      </w:r>
      <w:r>
        <w:rPr>
          <w:spacing w:val="40"/>
        </w:rPr>
        <w:t> </w:t>
      </w:r>
      <w:r>
        <w:rPr/>
        <w:t>ХС ЛНП не реже 1 раза в год. У пациентов со стенозом сонной артерией более 50% требуется контроль ХС ЛНП дважды в год [</w:t>
      </w:r>
      <w:hyperlink w:history="true" w:anchor="_bookmark239">
        <w:r>
          <w:rPr/>
          <w:t>198</w:t>
        </w:r>
      </w:hyperlink>
      <w:r>
        <w:rPr/>
        <w:t>].</w:t>
      </w:r>
    </w:p>
    <w:p>
      <w:pPr>
        <w:pStyle w:val="BodyText"/>
        <w:spacing w:line="360" w:lineRule="auto"/>
        <w:ind w:left="1261" w:right="567" w:firstLine="708"/>
        <w:jc w:val="both"/>
      </w:pPr>
      <w:r>
        <w:rPr/>
        <w:t>Регулярный мониторинг HbA1c</w:t>
      </w:r>
      <w:r>
        <w:rPr>
          <w:spacing w:val="-1"/>
        </w:rPr>
        <w:t> </w:t>
      </w:r>
      <w:r>
        <w:rPr/>
        <w:t>и/или</w:t>
      </w:r>
      <w:r>
        <w:rPr>
          <w:spacing w:val="-1"/>
        </w:rPr>
        <w:t> </w:t>
      </w:r>
      <w:r>
        <w:rPr/>
        <w:t>уровня глюкозы</w:t>
      </w:r>
      <w:r>
        <w:rPr>
          <w:spacing w:val="-2"/>
        </w:rPr>
        <w:t> </w:t>
      </w:r>
      <w:r>
        <w:rPr/>
        <w:t>плазмы должен</w:t>
      </w:r>
      <w:r>
        <w:rPr>
          <w:spacing w:val="-1"/>
        </w:rPr>
        <w:t> </w:t>
      </w:r>
      <w:r>
        <w:rPr/>
        <w:t>проводиться пациентам с высоким риском развития СД и при высокодозной терапии </w:t>
      </w:r>
      <w:r>
        <w:rPr>
          <w:rFonts w:ascii="Calibri" w:hAnsi="Calibri"/>
          <w:sz w:val="22"/>
        </w:rPr>
        <w:t>с</w:t>
      </w:r>
      <w:r>
        <w:rPr/>
        <w:t>татин</w:t>
      </w:r>
      <w:r>
        <w:rPr>
          <w:rFonts w:ascii="Calibri" w:hAnsi="Calibri"/>
          <w:sz w:val="22"/>
        </w:rPr>
        <w:t>ами</w:t>
      </w:r>
      <w:r>
        <w:rPr/>
        <w:t>.</w:t>
      </w:r>
    </w:p>
    <w:p>
      <w:pPr>
        <w:pStyle w:val="BodyText"/>
        <w:spacing w:line="360" w:lineRule="auto"/>
        <w:ind w:left="1261" w:right="566" w:firstLine="708"/>
        <w:jc w:val="both"/>
      </w:pPr>
      <w:r>
        <w:rPr/>
        <w:t>С целью своевременной модификации сердечно-сосудистого риска у больных с ДЛП рекомендуется динамическое наблюдение за выраженностью атеросклеротического процесса. Согласно консенсусу российких экспертов [</w:t>
      </w:r>
      <w:hyperlink w:history="true" w:anchor="_bookmark286">
        <w:r>
          <w:rPr/>
          <w:t>246</w:t>
        </w:r>
      </w:hyperlink>
      <w:r>
        <w:rPr/>
        <w:t>], при отсутствии АСБ в сонных и бедренных артериях</w:t>
      </w:r>
      <w:r>
        <w:rPr>
          <w:spacing w:val="-1"/>
        </w:rPr>
        <w:t> </w:t>
      </w:r>
      <w:r>
        <w:rPr/>
        <w:t>пациенту</w:t>
      </w:r>
      <w:r>
        <w:rPr>
          <w:spacing w:val="-1"/>
        </w:rPr>
        <w:t> </w:t>
      </w:r>
      <w:r>
        <w:rPr/>
        <w:t>должно</w:t>
      </w:r>
      <w:r>
        <w:rPr>
          <w:spacing w:val="-1"/>
        </w:rPr>
        <w:t> </w:t>
      </w:r>
      <w:r>
        <w:rPr/>
        <w:t>быть рекомендовано повторное УЗИ через 3 года. При наличии АСБ высотой &lt;1,5 мм и максимальном стенозе &lt;25% в сонных артериях, а также при максимальном стенозе &lt;25% в бедренных артериях повторное УЗИ артерий следует провести через 2 года. При АСБ высотой ≥1,5 мм и максимальном стенозе &lt;50% в сонных артериях, а также при максимальном стенозе 25-49% в бедренных артериях повторное УЗИ рекомендуется проводить через 1 год, при отсутствии динамики атеросклеротического процесса</w:t>
      </w:r>
      <w:r>
        <w:rPr>
          <w:spacing w:val="-3"/>
        </w:rPr>
        <w:t> </w:t>
      </w:r>
      <w:r>
        <w:rPr/>
        <w:t>частоту</w:t>
      </w:r>
      <w:r>
        <w:rPr>
          <w:spacing w:val="-2"/>
        </w:rPr>
        <w:t> </w:t>
      </w:r>
      <w:r>
        <w:rPr/>
        <w:t>исследований</w:t>
      </w:r>
      <w:r>
        <w:rPr>
          <w:spacing w:val="-1"/>
        </w:rPr>
        <w:t> </w:t>
      </w:r>
      <w:r>
        <w:rPr/>
        <w:t>можно</w:t>
      </w:r>
      <w:r>
        <w:rPr>
          <w:spacing w:val="-2"/>
        </w:rPr>
        <w:t> </w:t>
      </w:r>
      <w:r>
        <w:rPr/>
        <w:t>сократить</w:t>
      </w:r>
      <w:r>
        <w:rPr>
          <w:spacing w:val="-1"/>
        </w:rPr>
        <w:t> </w:t>
      </w:r>
      <w:r>
        <w:rPr/>
        <w:t>до</w:t>
      </w:r>
      <w:r>
        <w:rPr>
          <w:spacing w:val="-2"/>
        </w:rPr>
        <w:t> </w:t>
      </w:r>
      <w:r>
        <w:rPr/>
        <w:t>1</w:t>
      </w:r>
      <w:r>
        <w:rPr>
          <w:spacing w:val="-4"/>
        </w:rPr>
        <w:t> </w:t>
      </w:r>
      <w:r>
        <w:rPr/>
        <w:t>исследования в 2–3 года. При выявлении максимального стеноза ≥50% в сонных артериях следует ежегодно проводить стандартное дуплексное сканирование экстракраниального отдела брахиоцефальных артерий, частоту которого можно сократить до 1 раза в 2 года при отсутствии динамики атеросклеротического процесса.</w:t>
      </w:r>
    </w:p>
    <w:p>
      <w:pPr>
        <w:pStyle w:val="BodyText"/>
        <w:ind w:left="0"/>
        <w:rPr>
          <w:sz w:val="26"/>
        </w:rPr>
      </w:pPr>
    </w:p>
    <w:p>
      <w:pPr>
        <w:pStyle w:val="BodyText"/>
        <w:spacing w:before="8"/>
        <w:ind w:left="0"/>
        <w:rPr>
          <w:sz w:val="20"/>
        </w:rPr>
      </w:pPr>
    </w:p>
    <w:p>
      <w:pPr>
        <w:pStyle w:val="ListParagraph"/>
        <w:numPr>
          <w:ilvl w:val="0"/>
          <w:numId w:val="7"/>
        </w:numPr>
        <w:tabs>
          <w:tab w:pos="3578" w:val="left" w:leader="none"/>
        </w:tabs>
        <w:spacing w:line="360" w:lineRule="auto" w:before="0" w:after="0"/>
        <w:ind w:left="1969" w:right="2108" w:firstLine="1368"/>
        <w:jc w:val="left"/>
        <w:rPr>
          <w:b/>
          <w:sz w:val="24"/>
        </w:rPr>
      </w:pPr>
      <w:bookmarkStart w:name="6. Организация оказания медицинской помо" w:id="88"/>
      <w:bookmarkEnd w:id="88"/>
      <w:r>
        <w:rPr/>
      </w:r>
      <w:bookmarkStart w:name="_bookmark43" w:id="89"/>
      <w:bookmarkEnd w:id="89"/>
      <w:r>
        <w:rPr>
          <w:b/>
          <w:sz w:val="24"/>
        </w:rPr>
        <w:t>Ор</w:t>
      </w:r>
      <w:r>
        <w:rPr>
          <w:b/>
          <w:sz w:val="24"/>
        </w:rPr>
        <w:t>ганизация оказания медицинской помощи </w:t>
      </w:r>
      <w:r>
        <w:rPr>
          <w:b/>
          <w:sz w:val="24"/>
          <w:u w:val="thick"/>
        </w:rPr>
        <w:t>Показания для плановой госпитализации:</w:t>
      </w:r>
      <w:r>
        <w:rPr>
          <w:b/>
          <w:sz w:val="24"/>
        </w:rPr>
        <w:t> </w:t>
      </w:r>
      <w:r>
        <w:rPr>
          <w:sz w:val="24"/>
        </w:rPr>
        <w:t>не предусмотрены </w:t>
      </w:r>
      <w:r>
        <w:rPr>
          <w:b/>
          <w:sz w:val="24"/>
          <w:u w:val="thick"/>
        </w:rPr>
        <w:t>Показания для экстренной госпитализации:</w:t>
      </w:r>
      <w:r>
        <w:rPr>
          <w:b/>
          <w:sz w:val="24"/>
        </w:rPr>
        <w:t> </w:t>
      </w:r>
      <w:r>
        <w:rPr>
          <w:sz w:val="24"/>
        </w:rPr>
        <w:t>не предусмотрены </w:t>
      </w:r>
      <w:r>
        <w:rPr>
          <w:b/>
          <w:sz w:val="24"/>
          <w:u w:val="thick"/>
        </w:rPr>
        <w:t>Показания</w:t>
      </w:r>
      <w:r>
        <w:rPr>
          <w:b/>
          <w:spacing w:val="-5"/>
          <w:sz w:val="24"/>
          <w:u w:val="thick"/>
        </w:rPr>
        <w:t> </w:t>
      </w:r>
      <w:r>
        <w:rPr>
          <w:b/>
          <w:sz w:val="24"/>
          <w:u w:val="thick"/>
        </w:rPr>
        <w:t>к</w:t>
      </w:r>
      <w:r>
        <w:rPr>
          <w:b/>
          <w:spacing w:val="-4"/>
          <w:sz w:val="24"/>
          <w:u w:val="thick"/>
        </w:rPr>
        <w:t> </w:t>
      </w:r>
      <w:r>
        <w:rPr>
          <w:b/>
          <w:sz w:val="24"/>
          <w:u w:val="thick"/>
        </w:rPr>
        <w:t>выписке</w:t>
      </w:r>
      <w:r>
        <w:rPr>
          <w:b/>
          <w:spacing w:val="-8"/>
          <w:sz w:val="24"/>
          <w:u w:val="thick"/>
        </w:rPr>
        <w:t> </w:t>
      </w:r>
      <w:r>
        <w:rPr>
          <w:b/>
          <w:sz w:val="24"/>
          <w:u w:val="thick"/>
        </w:rPr>
        <w:t>пациента</w:t>
      </w:r>
      <w:r>
        <w:rPr>
          <w:b/>
          <w:spacing w:val="-4"/>
          <w:sz w:val="24"/>
          <w:u w:val="thick"/>
        </w:rPr>
        <w:t> </w:t>
      </w:r>
      <w:r>
        <w:rPr>
          <w:b/>
          <w:sz w:val="24"/>
          <w:u w:val="thick"/>
        </w:rPr>
        <w:t>из</w:t>
      </w:r>
      <w:r>
        <w:rPr>
          <w:b/>
          <w:spacing w:val="-5"/>
          <w:sz w:val="24"/>
          <w:u w:val="thick"/>
        </w:rPr>
        <w:t> </w:t>
      </w:r>
      <w:r>
        <w:rPr>
          <w:b/>
          <w:sz w:val="24"/>
          <w:u w:val="thick"/>
        </w:rPr>
        <w:t>стационара:</w:t>
      </w:r>
      <w:r>
        <w:rPr>
          <w:b/>
          <w:spacing w:val="-5"/>
          <w:sz w:val="24"/>
        </w:rPr>
        <w:t> </w:t>
      </w:r>
      <w:r>
        <w:rPr>
          <w:sz w:val="24"/>
        </w:rPr>
        <w:t>не</w:t>
      </w:r>
      <w:r>
        <w:rPr>
          <w:spacing w:val="-5"/>
          <w:sz w:val="24"/>
        </w:rPr>
        <w:t> </w:t>
      </w:r>
      <w:r>
        <w:rPr>
          <w:sz w:val="24"/>
        </w:rPr>
        <w:t>предусмотрены </w:t>
      </w:r>
      <w:r>
        <w:rPr>
          <w:b/>
          <w:sz w:val="24"/>
          <w:u w:val="thick"/>
        </w:rPr>
        <w:t>Иные организационные технологии</w:t>
      </w:r>
    </w:p>
    <w:p>
      <w:pPr>
        <w:pStyle w:val="BodyText"/>
        <w:spacing w:line="275" w:lineRule="exact"/>
        <w:ind w:left="1969"/>
      </w:pPr>
      <w:r>
        <w:rPr/>
        <w:t>При</w:t>
      </w:r>
      <w:r>
        <w:rPr>
          <w:spacing w:val="-3"/>
        </w:rPr>
        <w:t> </w:t>
      </w:r>
      <w:r>
        <w:rPr/>
        <w:t>анализе</w:t>
      </w:r>
      <w:r>
        <w:rPr>
          <w:spacing w:val="-3"/>
        </w:rPr>
        <w:t> </w:t>
      </w:r>
      <w:r>
        <w:rPr/>
        <w:t>работы</w:t>
      </w:r>
      <w:r>
        <w:rPr>
          <w:spacing w:val="-2"/>
        </w:rPr>
        <w:t> </w:t>
      </w:r>
      <w:r>
        <w:rPr/>
        <w:t>медицинской</w:t>
      </w:r>
      <w:r>
        <w:rPr>
          <w:spacing w:val="-1"/>
        </w:rPr>
        <w:t> </w:t>
      </w:r>
      <w:r>
        <w:rPr/>
        <w:t>организации</w:t>
      </w:r>
      <w:r>
        <w:rPr>
          <w:spacing w:val="-3"/>
        </w:rPr>
        <w:t> </w:t>
      </w:r>
      <w:r>
        <w:rPr/>
        <w:t>с</w:t>
      </w:r>
      <w:r>
        <w:rPr>
          <w:spacing w:val="-2"/>
        </w:rPr>
        <w:t> </w:t>
      </w:r>
      <w:r>
        <w:rPr/>
        <w:t>пациентами с</w:t>
      </w:r>
      <w:r>
        <w:rPr>
          <w:spacing w:val="-2"/>
        </w:rPr>
        <w:t> нарушениями</w:t>
      </w:r>
    </w:p>
    <w:p>
      <w:pPr>
        <w:spacing w:after="0" w:line="275" w:lineRule="exact"/>
        <w:sectPr>
          <w:pgSz w:w="11910" w:h="16840"/>
          <w:pgMar w:header="0" w:footer="710" w:top="1040" w:bottom="900" w:left="440" w:right="280"/>
        </w:sectPr>
      </w:pPr>
    </w:p>
    <w:p>
      <w:pPr>
        <w:pStyle w:val="BodyText"/>
        <w:spacing w:before="73"/>
        <w:ind w:left="1261"/>
      </w:pPr>
      <w:r>
        <w:rPr/>
        <w:t>липидного</w:t>
      </w:r>
      <w:r>
        <w:rPr>
          <w:spacing w:val="-3"/>
        </w:rPr>
        <w:t> </w:t>
      </w:r>
      <w:r>
        <w:rPr/>
        <w:t>обмена</w:t>
      </w:r>
      <w:r>
        <w:rPr>
          <w:spacing w:val="-2"/>
        </w:rPr>
        <w:t> </w:t>
      </w:r>
      <w:r>
        <w:rPr/>
        <w:t>целесообразно</w:t>
      </w:r>
      <w:r>
        <w:rPr>
          <w:spacing w:val="-1"/>
        </w:rPr>
        <w:t> </w:t>
      </w:r>
      <w:r>
        <w:rPr/>
        <w:t>анализировать</w:t>
      </w:r>
      <w:r>
        <w:rPr>
          <w:spacing w:val="-2"/>
        </w:rPr>
        <w:t> </w:t>
      </w:r>
      <w:r>
        <w:rPr/>
        <w:t>следующие</w:t>
      </w:r>
      <w:r>
        <w:rPr>
          <w:spacing w:val="-1"/>
        </w:rPr>
        <w:t> </w:t>
      </w:r>
      <w:r>
        <w:rPr>
          <w:spacing w:val="-2"/>
        </w:rPr>
        <w:t>показатели:</w:t>
      </w:r>
    </w:p>
    <w:p>
      <w:pPr>
        <w:pStyle w:val="ListParagraph"/>
        <w:numPr>
          <w:ilvl w:val="0"/>
          <w:numId w:val="24"/>
        </w:numPr>
        <w:tabs>
          <w:tab w:pos="1622" w:val="left" w:leader="none"/>
        </w:tabs>
        <w:spacing w:line="240" w:lineRule="auto" w:before="139" w:after="0"/>
        <w:ind w:left="1621" w:right="0" w:hanging="361"/>
        <w:jc w:val="both"/>
        <w:rPr>
          <w:sz w:val="24"/>
        </w:rPr>
      </w:pPr>
      <w:r>
        <w:rPr>
          <w:sz w:val="24"/>
        </w:rPr>
        <w:t>процент</w:t>
      </w:r>
      <w:r>
        <w:rPr>
          <w:spacing w:val="-6"/>
          <w:sz w:val="24"/>
        </w:rPr>
        <w:t> </w:t>
      </w:r>
      <w:r>
        <w:rPr>
          <w:sz w:val="24"/>
        </w:rPr>
        <w:t>пациентов</w:t>
      </w:r>
      <w:r>
        <w:rPr>
          <w:spacing w:val="-2"/>
          <w:sz w:val="24"/>
        </w:rPr>
        <w:t> </w:t>
      </w:r>
      <w:r>
        <w:rPr>
          <w:sz w:val="24"/>
        </w:rPr>
        <w:t>высокого</w:t>
      </w:r>
      <w:r>
        <w:rPr>
          <w:spacing w:val="-1"/>
          <w:sz w:val="24"/>
        </w:rPr>
        <w:t> </w:t>
      </w:r>
      <w:r>
        <w:rPr>
          <w:sz w:val="24"/>
        </w:rPr>
        <w:t>риска,</w:t>
      </w:r>
      <w:r>
        <w:rPr>
          <w:spacing w:val="-1"/>
          <w:sz w:val="24"/>
        </w:rPr>
        <w:t> </w:t>
      </w:r>
      <w:r>
        <w:rPr>
          <w:sz w:val="24"/>
        </w:rPr>
        <w:t>достигших</w:t>
      </w:r>
      <w:r>
        <w:rPr>
          <w:spacing w:val="-5"/>
          <w:sz w:val="24"/>
        </w:rPr>
        <w:t> </w:t>
      </w:r>
      <w:r>
        <w:rPr>
          <w:sz w:val="24"/>
        </w:rPr>
        <w:t>ЦУ</w:t>
      </w:r>
      <w:r>
        <w:rPr>
          <w:spacing w:val="-1"/>
          <w:sz w:val="24"/>
        </w:rPr>
        <w:t> </w:t>
      </w:r>
      <w:r>
        <w:rPr>
          <w:sz w:val="24"/>
        </w:rPr>
        <w:t>ХС</w:t>
      </w:r>
      <w:r>
        <w:rPr>
          <w:spacing w:val="-1"/>
          <w:sz w:val="24"/>
        </w:rPr>
        <w:t> </w:t>
      </w:r>
      <w:r>
        <w:rPr>
          <w:sz w:val="24"/>
        </w:rPr>
        <w:t>ЛНП</w:t>
      </w:r>
      <w:r>
        <w:rPr>
          <w:spacing w:val="-2"/>
          <w:sz w:val="24"/>
        </w:rPr>
        <w:t> </w:t>
      </w:r>
      <w:r>
        <w:rPr>
          <w:sz w:val="24"/>
        </w:rPr>
        <w:t>менее</w:t>
      </w:r>
      <w:r>
        <w:rPr>
          <w:spacing w:val="-3"/>
          <w:sz w:val="24"/>
        </w:rPr>
        <w:t> </w:t>
      </w:r>
      <w:r>
        <w:rPr>
          <w:sz w:val="24"/>
        </w:rPr>
        <w:t>1,8</w:t>
      </w:r>
      <w:r>
        <w:rPr>
          <w:spacing w:val="1"/>
          <w:sz w:val="24"/>
        </w:rPr>
        <w:t> </w:t>
      </w:r>
      <w:r>
        <w:rPr>
          <w:sz w:val="24"/>
        </w:rPr>
        <w:t>ммоль/л</w:t>
      </w:r>
      <w:r>
        <w:rPr>
          <w:spacing w:val="-1"/>
          <w:sz w:val="24"/>
        </w:rPr>
        <w:t> </w:t>
      </w:r>
      <w:r>
        <w:rPr>
          <w:sz w:val="24"/>
        </w:rPr>
        <w:t>через </w:t>
      </w:r>
      <w:r>
        <w:rPr>
          <w:spacing w:val="-10"/>
          <w:sz w:val="24"/>
        </w:rPr>
        <w:t>8</w:t>
      </w:r>
    </w:p>
    <w:p>
      <w:pPr>
        <w:pStyle w:val="BodyText"/>
        <w:spacing w:before="137"/>
        <w:ind w:left="1621"/>
      </w:pPr>
      <w:r>
        <w:rPr/>
        <w:t>и 52 недели</w:t>
      </w:r>
      <w:r>
        <w:rPr>
          <w:spacing w:val="1"/>
        </w:rPr>
        <w:t> </w:t>
      </w:r>
      <w:r>
        <w:rPr>
          <w:spacing w:val="-2"/>
        </w:rPr>
        <w:t>наблюдения;</w:t>
      </w:r>
    </w:p>
    <w:p>
      <w:pPr>
        <w:pStyle w:val="ListParagraph"/>
        <w:numPr>
          <w:ilvl w:val="0"/>
          <w:numId w:val="24"/>
        </w:numPr>
        <w:tabs>
          <w:tab w:pos="1622" w:val="left" w:leader="none"/>
        </w:tabs>
        <w:spacing w:line="240" w:lineRule="auto" w:before="140" w:after="0"/>
        <w:ind w:left="1621" w:right="0" w:hanging="361"/>
        <w:jc w:val="both"/>
        <w:rPr>
          <w:sz w:val="24"/>
        </w:rPr>
      </w:pPr>
      <w:r>
        <w:rPr>
          <w:sz w:val="24"/>
        </w:rPr>
        <w:t>процент</w:t>
      </w:r>
      <w:r>
        <w:rPr>
          <w:spacing w:val="-7"/>
          <w:sz w:val="24"/>
        </w:rPr>
        <w:t> </w:t>
      </w:r>
      <w:r>
        <w:rPr>
          <w:sz w:val="24"/>
        </w:rPr>
        <w:t>пациентов,</w:t>
      </w:r>
      <w:r>
        <w:rPr>
          <w:spacing w:val="-2"/>
          <w:sz w:val="24"/>
        </w:rPr>
        <w:t> </w:t>
      </w:r>
      <w:r>
        <w:rPr>
          <w:sz w:val="24"/>
        </w:rPr>
        <w:t>получающих</w:t>
      </w:r>
      <w:r>
        <w:rPr>
          <w:spacing w:val="-2"/>
          <w:sz w:val="24"/>
        </w:rPr>
        <w:t> </w:t>
      </w:r>
      <w:r>
        <w:rPr>
          <w:sz w:val="24"/>
        </w:rPr>
        <w:t>комбинированную</w:t>
      </w:r>
      <w:r>
        <w:rPr>
          <w:spacing w:val="-2"/>
          <w:sz w:val="24"/>
        </w:rPr>
        <w:t> </w:t>
      </w:r>
      <w:r>
        <w:rPr>
          <w:sz w:val="24"/>
        </w:rPr>
        <w:t>гиполипидемическую</w:t>
      </w:r>
      <w:r>
        <w:rPr>
          <w:spacing w:val="-2"/>
          <w:sz w:val="24"/>
        </w:rPr>
        <w:t> терапию.</w:t>
      </w:r>
    </w:p>
    <w:p>
      <w:pPr>
        <w:pStyle w:val="Heading3"/>
        <w:numPr>
          <w:ilvl w:val="0"/>
          <w:numId w:val="7"/>
        </w:numPr>
        <w:tabs>
          <w:tab w:pos="2059" w:val="left" w:leader="none"/>
        </w:tabs>
        <w:spacing w:line="360" w:lineRule="auto" w:before="136" w:after="0"/>
        <w:ind w:left="4400" w:right="1127" w:hanging="2583"/>
        <w:jc w:val="both"/>
      </w:pPr>
      <w:bookmarkStart w:name="7. Дополнительная информация (в том числ" w:id="90"/>
      <w:bookmarkEnd w:id="90"/>
      <w:r>
        <w:rPr>
          <w:b w:val="0"/>
        </w:rPr>
      </w:r>
      <w:bookmarkStart w:name="_bookmark44" w:id="91"/>
      <w:bookmarkEnd w:id="91"/>
      <w:r>
        <w:rPr/>
        <w:t>Допо</w:t>
      </w:r>
      <w:r>
        <w:rPr/>
        <w:t>лнительная</w:t>
      </w:r>
      <w:r>
        <w:rPr>
          <w:spacing w:val="-5"/>
        </w:rPr>
        <w:t> </w:t>
      </w:r>
      <w:r>
        <w:rPr/>
        <w:t>информация</w:t>
      </w:r>
      <w:r>
        <w:rPr>
          <w:spacing w:val="-5"/>
        </w:rPr>
        <w:t> </w:t>
      </w:r>
      <w:r>
        <w:rPr/>
        <w:t>(в</w:t>
      </w:r>
      <w:r>
        <w:rPr>
          <w:spacing w:val="-5"/>
        </w:rPr>
        <w:t> </w:t>
      </w:r>
      <w:r>
        <w:rPr/>
        <w:t>том</w:t>
      </w:r>
      <w:r>
        <w:rPr>
          <w:spacing w:val="-5"/>
        </w:rPr>
        <w:t> </w:t>
      </w:r>
      <w:r>
        <w:rPr/>
        <w:t>числе</w:t>
      </w:r>
      <w:r>
        <w:rPr>
          <w:spacing w:val="-5"/>
        </w:rPr>
        <w:t> </w:t>
      </w:r>
      <w:r>
        <w:rPr/>
        <w:t>факторы,</w:t>
      </w:r>
      <w:r>
        <w:rPr>
          <w:spacing w:val="-4"/>
        </w:rPr>
        <w:t> </w:t>
      </w:r>
      <w:r>
        <w:rPr/>
        <w:t>влияющие</w:t>
      </w:r>
      <w:r>
        <w:rPr>
          <w:spacing w:val="-3"/>
        </w:rPr>
        <w:t> </w:t>
      </w:r>
      <w:r>
        <w:rPr/>
        <w:t>на</w:t>
      </w:r>
      <w:r>
        <w:rPr>
          <w:spacing w:val="-4"/>
        </w:rPr>
        <w:t> </w:t>
      </w:r>
      <w:r>
        <w:rPr/>
        <w:t>исход заболевания или состояния)</w:t>
      </w:r>
    </w:p>
    <w:p>
      <w:pPr>
        <w:pStyle w:val="BodyText"/>
        <w:spacing w:line="360" w:lineRule="auto"/>
        <w:ind w:left="1261" w:right="569" w:firstLine="708"/>
        <w:jc w:val="both"/>
      </w:pPr>
      <w:r>
        <w:rPr/>
        <w:t>Достижение и удержание ЦУ ХС ЛНП, ТГ является ключевым фактором, влияющим на прогноз и улучшающим сердечно-сосудистые исходы у пациентов как с ССЗ, так и СД.</w:t>
      </w:r>
    </w:p>
    <w:p>
      <w:pPr>
        <w:pStyle w:val="BodyText"/>
        <w:spacing w:before="2"/>
        <w:ind w:left="1969"/>
      </w:pPr>
      <w:r>
        <w:rPr/>
        <w:t>Важными</w:t>
      </w:r>
      <w:r>
        <w:rPr>
          <w:spacing w:val="-2"/>
        </w:rPr>
        <w:t> </w:t>
      </w:r>
      <w:r>
        <w:rPr/>
        <w:t>целями</w:t>
      </w:r>
      <w:r>
        <w:rPr>
          <w:spacing w:val="-1"/>
        </w:rPr>
        <w:t> </w:t>
      </w:r>
      <w:r>
        <w:rPr/>
        <w:t>при</w:t>
      </w:r>
      <w:r>
        <w:rPr>
          <w:spacing w:val="-1"/>
        </w:rPr>
        <w:t> </w:t>
      </w:r>
      <w:r>
        <w:rPr/>
        <w:t>лечении</w:t>
      </w:r>
      <w:r>
        <w:rPr>
          <w:spacing w:val="-1"/>
        </w:rPr>
        <w:t> </w:t>
      </w:r>
      <w:r>
        <w:rPr/>
        <w:t>ДЛП</w:t>
      </w:r>
      <w:r>
        <w:rPr>
          <w:spacing w:val="-3"/>
        </w:rPr>
        <w:t> </w:t>
      </w:r>
      <w:r>
        <w:rPr>
          <w:spacing w:val="-2"/>
        </w:rPr>
        <w:t>являются:</w:t>
      </w:r>
    </w:p>
    <w:p>
      <w:pPr>
        <w:pStyle w:val="ListParagraph"/>
        <w:numPr>
          <w:ilvl w:val="1"/>
          <w:numId w:val="24"/>
        </w:numPr>
        <w:tabs>
          <w:tab w:pos="1761" w:val="left" w:leader="none"/>
        </w:tabs>
        <w:spacing w:line="240" w:lineRule="auto" w:before="137" w:after="0"/>
        <w:ind w:left="1760" w:right="0" w:hanging="140"/>
        <w:jc w:val="left"/>
        <w:rPr>
          <w:sz w:val="24"/>
        </w:rPr>
      </w:pPr>
      <w:r>
        <w:rPr>
          <w:sz w:val="24"/>
        </w:rPr>
        <w:t>максимальное</w:t>
      </w:r>
      <w:r>
        <w:rPr>
          <w:spacing w:val="-4"/>
          <w:sz w:val="24"/>
        </w:rPr>
        <w:t> </w:t>
      </w:r>
      <w:r>
        <w:rPr>
          <w:sz w:val="24"/>
        </w:rPr>
        <w:t>снижение</w:t>
      </w:r>
      <w:r>
        <w:rPr>
          <w:spacing w:val="-2"/>
          <w:sz w:val="24"/>
        </w:rPr>
        <w:t> </w:t>
      </w:r>
      <w:r>
        <w:rPr>
          <w:sz w:val="24"/>
        </w:rPr>
        <w:t>риска</w:t>
      </w:r>
      <w:r>
        <w:rPr>
          <w:spacing w:val="-1"/>
          <w:sz w:val="24"/>
        </w:rPr>
        <w:t> </w:t>
      </w:r>
      <w:r>
        <w:rPr>
          <w:sz w:val="24"/>
        </w:rPr>
        <w:t>развития</w:t>
      </w:r>
      <w:r>
        <w:rPr>
          <w:spacing w:val="-4"/>
          <w:sz w:val="24"/>
        </w:rPr>
        <w:t> </w:t>
      </w:r>
      <w:r>
        <w:rPr>
          <w:sz w:val="24"/>
        </w:rPr>
        <w:t>ССО</w:t>
      </w:r>
      <w:r>
        <w:rPr>
          <w:spacing w:val="-3"/>
          <w:sz w:val="24"/>
        </w:rPr>
        <w:t> </w:t>
      </w:r>
      <w:r>
        <w:rPr>
          <w:sz w:val="24"/>
        </w:rPr>
        <w:t>и смертельных </w:t>
      </w:r>
      <w:r>
        <w:rPr>
          <w:spacing w:val="-2"/>
          <w:sz w:val="24"/>
        </w:rPr>
        <w:t>исходов;</w:t>
      </w:r>
    </w:p>
    <w:p>
      <w:pPr>
        <w:pStyle w:val="ListParagraph"/>
        <w:numPr>
          <w:ilvl w:val="1"/>
          <w:numId w:val="24"/>
        </w:numPr>
        <w:tabs>
          <w:tab w:pos="1761" w:val="left" w:leader="none"/>
        </w:tabs>
        <w:spacing w:line="360" w:lineRule="auto" w:before="139" w:after="0"/>
        <w:ind w:left="1621" w:right="961" w:firstLine="0"/>
        <w:jc w:val="left"/>
        <w:rPr>
          <w:sz w:val="24"/>
        </w:rPr>
      </w:pPr>
      <w:r>
        <w:rPr>
          <w:sz w:val="24"/>
        </w:rPr>
        <w:t>коррекция</w:t>
      </w:r>
      <w:r>
        <w:rPr>
          <w:spacing w:val="-5"/>
          <w:sz w:val="24"/>
        </w:rPr>
        <w:t> </w:t>
      </w:r>
      <w:r>
        <w:rPr>
          <w:sz w:val="24"/>
        </w:rPr>
        <w:t>всех</w:t>
      </w:r>
      <w:r>
        <w:rPr>
          <w:spacing w:val="-5"/>
          <w:sz w:val="24"/>
        </w:rPr>
        <w:t> </w:t>
      </w:r>
      <w:r>
        <w:rPr>
          <w:sz w:val="24"/>
        </w:rPr>
        <w:t>модифицируемых</w:t>
      </w:r>
      <w:r>
        <w:rPr>
          <w:spacing w:val="-5"/>
          <w:sz w:val="24"/>
        </w:rPr>
        <w:t> </w:t>
      </w:r>
      <w:r>
        <w:rPr>
          <w:sz w:val="24"/>
        </w:rPr>
        <w:t>ФР</w:t>
      </w:r>
      <w:r>
        <w:rPr>
          <w:spacing w:val="-5"/>
          <w:sz w:val="24"/>
        </w:rPr>
        <w:t> </w:t>
      </w:r>
      <w:r>
        <w:rPr>
          <w:sz w:val="24"/>
        </w:rPr>
        <w:t>(курение,</w:t>
      </w:r>
      <w:r>
        <w:rPr>
          <w:spacing w:val="-5"/>
          <w:sz w:val="24"/>
        </w:rPr>
        <w:t> </w:t>
      </w:r>
      <w:r>
        <w:rPr>
          <w:sz w:val="24"/>
        </w:rPr>
        <w:t>избыточная</w:t>
      </w:r>
      <w:r>
        <w:rPr>
          <w:spacing w:val="-5"/>
          <w:sz w:val="24"/>
        </w:rPr>
        <w:t> </w:t>
      </w:r>
      <w:r>
        <w:rPr>
          <w:sz w:val="24"/>
        </w:rPr>
        <w:t>масса</w:t>
      </w:r>
      <w:r>
        <w:rPr>
          <w:spacing w:val="-6"/>
          <w:sz w:val="24"/>
        </w:rPr>
        <w:t> </w:t>
      </w:r>
      <w:r>
        <w:rPr>
          <w:sz w:val="24"/>
        </w:rPr>
        <w:t>тела,</w:t>
      </w:r>
      <w:r>
        <w:rPr>
          <w:spacing w:val="-5"/>
          <w:sz w:val="24"/>
        </w:rPr>
        <w:t> </w:t>
      </w:r>
      <w:r>
        <w:rPr>
          <w:sz w:val="24"/>
        </w:rPr>
        <w:t>ожирение, гипергликемия, АГ).</w:t>
      </w:r>
    </w:p>
    <w:p>
      <w:pPr>
        <w:pStyle w:val="Heading3"/>
        <w:numPr>
          <w:ilvl w:val="1"/>
          <w:numId w:val="7"/>
        </w:numPr>
        <w:tabs>
          <w:tab w:pos="3415" w:val="left" w:leader="none"/>
        </w:tabs>
        <w:spacing w:line="240" w:lineRule="auto" w:before="0" w:after="0"/>
        <w:ind w:left="3414" w:right="0" w:hanging="361"/>
        <w:jc w:val="left"/>
      </w:pPr>
      <w:bookmarkStart w:name="7.1 Критерии оценки качества медицинской" w:id="92"/>
      <w:bookmarkEnd w:id="92"/>
      <w:r>
        <w:rPr>
          <w:b w:val="0"/>
        </w:rPr>
      </w:r>
      <w:bookmarkStart w:name="_bookmark45" w:id="93"/>
      <w:bookmarkEnd w:id="93"/>
      <w:r>
        <w:rPr/>
        <w:t>К</w:t>
      </w:r>
      <w:r>
        <w:rPr/>
        <w:t>ритерии</w:t>
      </w:r>
      <w:r>
        <w:rPr>
          <w:spacing w:val="-3"/>
        </w:rPr>
        <w:t> </w:t>
      </w:r>
      <w:r>
        <w:rPr/>
        <w:t>оценки</w:t>
      </w:r>
      <w:r>
        <w:rPr>
          <w:spacing w:val="-4"/>
        </w:rPr>
        <w:t> </w:t>
      </w:r>
      <w:r>
        <w:rPr/>
        <w:t>качества</w:t>
      </w:r>
      <w:r>
        <w:rPr>
          <w:spacing w:val="-3"/>
        </w:rPr>
        <w:t> </w:t>
      </w:r>
      <w:r>
        <w:rPr/>
        <w:t>медицинской</w:t>
      </w:r>
      <w:r>
        <w:rPr>
          <w:spacing w:val="-2"/>
        </w:rPr>
        <w:t> помощи</w:t>
      </w:r>
    </w:p>
    <w:p>
      <w:pPr>
        <w:pStyle w:val="BodyText"/>
        <w:spacing w:before="11"/>
        <w:ind w:left="0"/>
        <w:rPr>
          <w:b/>
          <w:sz w:val="11"/>
        </w:rPr>
      </w:pPr>
    </w:p>
    <w:tbl>
      <w:tblPr>
        <w:tblW w:w="0" w:type="auto"/>
        <w:jc w:val="left"/>
        <w:tblInd w:w="8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52"/>
        <w:gridCol w:w="5071"/>
        <w:gridCol w:w="1092"/>
        <w:gridCol w:w="715"/>
        <w:gridCol w:w="725"/>
        <w:gridCol w:w="1435"/>
      </w:tblGrid>
      <w:tr>
        <w:trPr>
          <w:trHeight w:val="827" w:hRule="atLeast"/>
        </w:trPr>
        <w:tc>
          <w:tcPr>
            <w:tcW w:w="852" w:type="dxa"/>
          </w:tcPr>
          <w:p>
            <w:pPr>
              <w:pStyle w:val="TableParagraph"/>
              <w:spacing w:line="275" w:lineRule="exact"/>
              <w:rPr>
                <w:b/>
                <w:sz w:val="24"/>
              </w:rPr>
            </w:pPr>
            <w:r>
              <w:rPr>
                <w:b/>
                <w:sz w:val="24"/>
              </w:rPr>
              <w:t>№</w:t>
            </w:r>
          </w:p>
        </w:tc>
        <w:tc>
          <w:tcPr>
            <w:tcW w:w="5071" w:type="dxa"/>
          </w:tcPr>
          <w:p>
            <w:pPr>
              <w:pStyle w:val="TableParagraph"/>
              <w:spacing w:line="275" w:lineRule="exact"/>
              <w:rPr>
                <w:b/>
                <w:sz w:val="24"/>
              </w:rPr>
            </w:pPr>
            <w:r>
              <w:rPr>
                <w:b/>
                <w:sz w:val="24"/>
              </w:rPr>
              <w:t>Критерий</w:t>
            </w:r>
            <w:r>
              <w:rPr>
                <w:b/>
                <w:spacing w:val="-3"/>
                <w:sz w:val="24"/>
              </w:rPr>
              <w:t> </w:t>
            </w:r>
            <w:r>
              <w:rPr>
                <w:b/>
                <w:spacing w:val="-2"/>
                <w:sz w:val="24"/>
              </w:rPr>
              <w:t>качества</w:t>
            </w:r>
          </w:p>
        </w:tc>
        <w:tc>
          <w:tcPr>
            <w:tcW w:w="1092" w:type="dxa"/>
          </w:tcPr>
          <w:p>
            <w:pPr>
              <w:pStyle w:val="TableParagraph"/>
              <w:spacing w:line="275" w:lineRule="exact"/>
              <w:ind w:left="273" w:right="262"/>
              <w:jc w:val="center"/>
              <w:rPr>
                <w:b/>
                <w:sz w:val="24"/>
              </w:rPr>
            </w:pPr>
            <w:r>
              <w:rPr>
                <w:b/>
                <w:spacing w:val="-5"/>
                <w:sz w:val="24"/>
              </w:rPr>
              <w:t>EОК</w:t>
            </w:r>
          </w:p>
          <w:p>
            <w:pPr>
              <w:pStyle w:val="TableParagraph"/>
              <w:spacing w:line="270" w:lineRule="atLeast"/>
              <w:ind w:right="96" w:hanging="3"/>
              <w:jc w:val="center"/>
              <w:rPr>
                <w:b/>
                <w:sz w:val="24"/>
              </w:rPr>
            </w:pPr>
            <w:r>
              <w:rPr>
                <w:b/>
                <w:sz w:val="24"/>
              </w:rPr>
              <w:t>Класс и </w:t>
            </w:r>
            <w:r>
              <w:rPr>
                <w:b/>
                <w:spacing w:val="-2"/>
                <w:sz w:val="24"/>
              </w:rPr>
              <w:t>уровень</w:t>
            </w:r>
          </w:p>
        </w:tc>
        <w:tc>
          <w:tcPr>
            <w:tcW w:w="715" w:type="dxa"/>
          </w:tcPr>
          <w:p>
            <w:pPr>
              <w:pStyle w:val="TableParagraph"/>
              <w:spacing w:line="275" w:lineRule="exact"/>
              <w:rPr>
                <w:b/>
                <w:sz w:val="24"/>
              </w:rPr>
            </w:pPr>
            <w:r>
              <w:rPr>
                <w:b/>
                <w:spacing w:val="-5"/>
                <w:sz w:val="24"/>
              </w:rPr>
              <w:t>УУР</w:t>
            </w:r>
          </w:p>
        </w:tc>
        <w:tc>
          <w:tcPr>
            <w:tcW w:w="725" w:type="dxa"/>
          </w:tcPr>
          <w:p>
            <w:pPr>
              <w:pStyle w:val="TableParagraph"/>
              <w:spacing w:line="275" w:lineRule="exact"/>
              <w:ind w:left="108"/>
              <w:rPr>
                <w:b/>
                <w:sz w:val="24"/>
              </w:rPr>
            </w:pPr>
            <w:r>
              <w:rPr>
                <w:b/>
                <w:spacing w:val="-5"/>
                <w:sz w:val="24"/>
              </w:rPr>
              <w:t>УДД</w:t>
            </w:r>
          </w:p>
        </w:tc>
        <w:tc>
          <w:tcPr>
            <w:tcW w:w="1435" w:type="dxa"/>
          </w:tcPr>
          <w:p>
            <w:pPr>
              <w:pStyle w:val="TableParagraph"/>
              <w:ind w:left="535" w:right="526"/>
              <w:jc w:val="center"/>
              <w:rPr>
                <w:b/>
                <w:sz w:val="24"/>
              </w:rPr>
            </w:pPr>
            <w:r>
              <w:rPr>
                <w:b/>
                <w:spacing w:val="-4"/>
                <w:sz w:val="24"/>
              </w:rPr>
              <w:t>Да/ </w:t>
            </w:r>
            <w:r>
              <w:rPr>
                <w:b/>
                <w:spacing w:val="-5"/>
                <w:sz w:val="24"/>
              </w:rPr>
              <w:t>нет</w:t>
            </w:r>
          </w:p>
        </w:tc>
      </w:tr>
      <w:tr>
        <w:trPr>
          <w:trHeight w:val="830" w:hRule="atLeast"/>
        </w:trPr>
        <w:tc>
          <w:tcPr>
            <w:tcW w:w="852" w:type="dxa"/>
          </w:tcPr>
          <w:p>
            <w:pPr>
              <w:pStyle w:val="TableParagraph"/>
              <w:spacing w:before="1"/>
              <w:ind w:left="0" w:right="96"/>
              <w:jc w:val="right"/>
              <w:rPr>
                <w:sz w:val="24"/>
              </w:rPr>
            </w:pPr>
            <w:r>
              <w:rPr>
                <w:spacing w:val="-5"/>
                <w:sz w:val="24"/>
              </w:rPr>
              <w:t>1.</w:t>
            </w:r>
          </w:p>
        </w:tc>
        <w:tc>
          <w:tcPr>
            <w:tcW w:w="5071" w:type="dxa"/>
          </w:tcPr>
          <w:p>
            <w:pPr>
              <w:pStyle w:val="TableParagraph"/>
              <w:spacing w:before="1"/>
              <w:rPr>
                <w:sz w:val="24"/>
              </w:rPr>
            </w:pPr>
            <w:r>
              <w:rPr>
                <w:sz w:val="24"/>
              </w:rPr>
              <w:t>У</w:t>
            </w:r>
            <w:r>
              <w:rPr>
                <w:spacing w:val="-1"/>
                <w:sz w:val="24"/>
              </w:rPr>
              <w:t> </w:t>
            </w:r>
            <w:r>
              <w:rPr>
                <w:sz w:val="24"/>
              </w:rPr>
              <w:t>лиц</w:t>
            </w:r>
            <w:r>
              <w:rPr>
                <w:spacing w:val="1"/>
                <w:sz w:val="24"/>
              </w:rPr>
              <w:t> </w:t>
            </w:r>
            <w:r>
              <w:rPr>
                <w:sz w:val="24"/>
              </w:rPr>
              <w:t>старше</w:t>
            </w:r>
            <w:r>
              <w:rPr>
                <w:spacing w:val="-1"/>
                <w:sz w:val="24"/>
              </w:rPr>
              <w:t> </w:t>
            </w:r>
            <w:r>
              <w:rPr>
                <w:sz w:val="24"/>
              </w:rPr>
              <w:t>40</w:t>
            </w:r>
            <w:r>
              <w:rPr>
                <w:spacing w:val="-1"/>
                <w:sz w:val="24"/>
              </w:rPr>
              <w:t> </w:t>
            </w:r>
            <w:r>
              <w:rPr>
                <w:sz w:val="24"/>
              </w:rPr>
              <w:t>лет выполнено </w:t>
            </w:r>
            <w:r>
              <w:rPr>
                <w:spacing w:val="-2"/>
                <w:sz w:val="24"/>
              </w:rPr>
              <w:t>лабораторное</w:t>
            </w:r>
          </w:p>
          <w:p>
            <w:pPr>
              <w:pStyle w:val="TableParagraph"/>
              <w:spacing w:before="137"/>
              <w:rPr>
                <w:sz w:val="24"/>
              </w:rPr>
            </w:pPr>
            <w:r>
              <w:rPr>
                <w:sz w:val="24"/>
              </w:rPr>
              <w:t>исследование</w:t>
            </w:r>
            <w:r>
              <w:rPr>
                <w:spacing w:val="-4"/>
                <w:sz w:val="24"/>
              </w:rPr>
              <w:t> </w:t>
            </w:r>
            <w:r>
              <w:rPr>
                <w:sz w:val="24"/>
              </w:rPr>
              <w:t>уровня</w:t>
            </w:r>
            <w:r>
              <w:rPr>
                <w:spacing w:val="-1"/>
                <w:sz w:val="24"/>
              </w:rPr>
              <w:t> </w:t>
            </w:r>
            <w:r>
              <w:rPr>
                <w:sz w:val="24"/>
              </w:rPr>
              <w:t>холестерина</w:t>
            </w:r>
            <w:r>
              <w:rPr>
                <w:spacing w:val="-2"/>
                <w:sz w:val="24"/>
              </w:rPr>
              <w:t> </w:t>
            </w:r>
            <w:r>
              <w:rPr>
                <w:sz w:val="24"/>
              </w:rPr>
              <w:t>и ХС </w:t>
            </w:r>
            <w:r>
              <w:rPr>
                <w:spacing w:val="-5"/>
                <w:sz w:val="24"/>
              </w:rPr>
              <w:t>ЛНП</w:t>
            </w:r>
          </w:p>
        </w:tc>
        <w:tc>
          <w:tcPr>
            <w:tcW w:w="1092" w:type="dxa"/>
          </w:tcPr>
          <w:p>
            <w:pPr>
              <w:pStyle w:val="TableParagraph"/>
              <w:spacing w:before="1"/>
              <w:ind w:left="424"/>
              <w:rPr>
                <w:sz w:val="24"/>
              </w:rPr>
            </w:pPr>
            <w:r>
              <w:rPr>
                <w:spacing w:val="-5"/>
                <w:sz w:val="24"/>
              </w:rPr>
              <w:t>IС</w:t>
            </w:r>
          </w:p>
        </w:tc>
        <w:tc>
          <w:tcPr>
            <w:tcW w:w="715" w:type="dxa"/>
          </w:tcPr>
          <w:p>
            <w:pPr>
              <w:pStyle w:val="TableParagraph"/>
              <w:spacing w:before="1"/>
              <w:rPr>
                <w:b/>
                <w:sz w:val="24"/>
              </w:rPr>
            </w:pPr>
            <w:r>
              <w:rPr>
                <w:b/>
                <w:sz w:val="24"/>
              </w:rPr>
              <w:t>С</w:t>
            </w:r>
          </w:p>
        </w:tc>
        <w:tc>
          <w:tcPr>
            <w:tcW w:w="725" w:type="dxa"/>
          </w:tcPr>
          <w:p>
            <w:pPr>
              <w:pStyle w:val="TableParagraph"/>
              <w:spacing w:before="1"/>
              <w:ind w:left="108"/>
              <w:rPr>
                <w:b/>
                <w:sz w:val="24"/>
              </w:rPr>
            </w:pPr>
            <w:r>
              <w:rPr>
                <w:b/>
                <w:sz w:val="24"/>
              </w:rPr>
              <w:t>1</w:t>
            </w:r>
          </w:p>
        </w:tc>
        <w:tc>
          <w:tcPr>
            <w:tcW w:w="1435" w:type="dxa"/>
          </w:tcPr>
          <w:p>
            <w:pPr>
              <w:pStyle w:val="TableParagraph"/>
              <w:spacing w:before="1"/>
              <w:rPr>
                <w:b/>
                <w:sz w:val="24"/>
              </w:rPr>
            </w:pPr>
            <w:r>
              <w:rPr>
                <w:b/>
                <w:spacing w:val="-2"/>
                <w:sz w:val="24"/>
              </w:rPr>
              <w:t>Да/нет</w:t>
            </w:r>
          </w:p>
        </w:tc>
      </w:tr>
      <w:tr>
        <w:trPr>
          <w:trHeight w:val="1655" w:hRule="atLeast"/>
        </w:trPr>
        <w:tc>
          <w:tcPr>
            <w:tcW w:w="852" w:type="dxa"/>
          </w:tcPr>
          <w:p>
            <w:pPr>
              <w:pStyle w:val="TableParagraph"/>
              <w:spacing w:line="275" w:lineRule="exact"/>
              <w:ind w:left="0" w:right="96"/>
              <w:jc w:val="right"/>
              <w:rPr>
                <w:sz w:val="24"/>
              </w:rPr>
            </w:pPr>
            <w:r>
              <w:rPr>
                <w:spacing w:val="-5"/>
                <w:sz w:val="24"/>
              </w:rPr>
              <w:t>2.</w:t>
            </w:r>
          </w:p>
        </w:tc>
        <w:tc>
          <w:tcPr>
            <w:tcW w:w="5071" w:type="dxa"/>
          </w:tcPr>
          <w:p>
            <w:pPr>
              <w:pStyle w:val="TableParagraph"/>
              <w:spacing w:line="360" w:lineRule="auto"/>
              <w:ind w:right="104"/>
              <w:rPr>
                <w:sz w:val="24"/>
              </w:rPr>
            </w:pPr>
            <w:r>
              <w:rPr>
                <w:sz w:val="24"/>
              </w:rPr>
              <w:t>У</w:t>
            </w:r>
            <w:r>
              <w:rPr>
                <w:spacing w:val="-7"/>
                <w:sz w:val="24"/>
              </w:rPr>
              <w:t> </w:t>
            </w:r>
            <w:r>
              <w:rPr>
                <w:sz w:val="24"/>
              </w:rPr>
              <w:t>пациентов</w:t>
            </w:r>
            <w:r>
              <w:rPr>
                <w:spacing w:val="-8"/>
                <w:sz w:val="24"/>
              </w:rPr>
              <w:t> </w:t>
            </w:r>
            <w:r>
              <w:rPr>
                <w:sz w:val="24"/>
              </w:rPr>
              <w:t>при</w:t>
            </w:r>
            <w:r>
              <w:rPr>
                <w:spacing w:val="-6"/>
                <w:sz w:val="24"/>
              </w:rPr>
              <w:t> </w:t>
            </w:r>
            <w:r>
              <w:rPr>
                <w:sz w:val="24"/>
              </w:rPr>
              <w:t>высоких</w:t>
            </w:r>
            <w:r>
              <w:rPr>
                <w:spacing w:val="-7"/>
                <w:sz w:val="24"/>
              </w:rPr>
              <w:t> </w:t>
            </w:r>
            <w:r>
              <w:rPr>
                <w:sz w:val="24"/>
              </w:rPr>
              <w:t>триглицеридах,</w:t>
            </w:r>
            <w:r>
              <w:rPr>
                <w:spacing w:val="-7"/>
                <w:sz w:val="24"/>
              </w:rPr>
              <w:t> </w:t>
            </w:r>
            <w:r>
              <w:rPr>
                <w:sz w:val="24"/>
              </w:rPr>
              <w:t>СД, ожирении, метаболическом синдроме или очень низком ХС ЛНП проведена</w:t>
            </w:r>
          </w:p>
          <w:p>
            <w:pPr>
              <w:pStyle w:val="TableParagraph"/>
              <w:spacing w:line="275" w:lineRule="exact"/>
              <w:rPr>
                <w:sz w:val="24"/>
              </w:rPr>
            </w:pPr>
            <w:r>
              <w:rPr>
                <w:sz w:val="24"/>
              </w:rPr>
              <w:t>лабораторная</w:t>
            </w:r>
            <w:r>
              <w:rPr>
                <w:spacing w:val="-1"/>
                <w:sz w:val="24"/>
              </w:rPr>
              <w:t> </w:t>
            </w:r>
            <w:r>
              <w:rPr>
                <w:sz w:val="24"/>
              </w:rPr>
              <w:t>оценка</w:t>
            </w:r>
            <w:r>
              <w:rPr>
                <w:spacing w:val="-1"/>
                <w:sz w:val="24"/>
              </w:rPr>
              <w:t> </w:t>
            </w:r>
            <w:r>
              <w:rPr>
                <w:sz w:val="24"/>
              </w:rPr>
              <w:t>ХС </w:t>
            </w:r>
            <w:r>
              <w:rPr>
                <w:spacing w:val="-2"/>
                <w:sz w:val="24"/>
              </w:rPr>
              <w:t>неЛВП</w:t>
            </w:r>
          </w:p>
        </w:tc>
        <w:tc>
          <w:tcPr>
            <w:tcW w:w="1092" w:type="dxa"/>
          </w:tcPr>
          <w:p>
            <w:pPr>
              <w:pStyle w:val="TableParagraph"/>
              <w:spacing w:line="275" w:lineRule="exact"/>
              <w:ind w:left="424"/>
              <w:rPr>
                <w:sz w:val="24"/>
              </w:rPr>
            </w:pPr>
            <w:r>
              <w:rPr>
                <w:spacing w:val="-5"/>
                <w:sz w:val="24"/>
              </w:rPr>
              <w:t>IС</w:t>
            </w:r>
          </w:p>
        </w:tc>
        <w:tc>
          <w:tcPr>
            <w:tcW w:w="715" w:type="dxa"/>
          </w:tcPr>
          <w:p>
            <w:pPr>
              <w:pStyle w:val="TableParagraph"/>
              <w:spacing w:line="275" w:lineRule="exact"/>
              <w:rPr>
                <w:b/>
                <w:sz w:val="24"/>
              </w:rPr>
            </w:pPr>
            <w:r>
              <w:rPr>
                <w:b/>
                <w:sz w:val="24"/>
              </w:rPr>
              <w:t>С</w:t>
            </w:r>
          </w:p>
        </w:tc>
        <w:tc>
          <w:tcPr>
            <w:tcW w:w="725" w:type="dxa"/>
          </w:tcPr>
          <w:p>
            <w:pPr>
              <w:pStyle w:val="TableParagraph"/>
              <w:spacing w:line="275" w:lineRule="exact"/>
              <w:ind w:left="108"/>
              <w:rPr>
                <w:b/>
                <w:sz w:val="24"/>
              </w:rPr>
            </w:pPr>
            <w:r>
              <w:rPr>
                <w:b/>
                <w:sz w:val="24"/>
              </w:rPr>
              <w:t>1</w:t>
            </w:r>
          </w:p>
        </w:tc>
        <w:tc>
          <w:tcPr>
            <w:tcW w:w="1435" w:type="dxa"/>
          </w:tcPr>
          <w:p>
            <w:pPr>
              <w:pStyle w:val="TableParagraph"/>
              <w:spacing w:line="275" w:lineRule="exact"/>
              <w:rPr>
                <w:b/>
                <w:sz w:val="24"/>
              </w:rPr>
            </w:pPr>
            <w:r>
              <w:rPr>
                <w:b/>
                <w:spacing w:val="-2"/>
                <w:sz w:val="24"/>
              </w:rPr>
              <w:t>Да/нет</w:t>
            </w:r>
          </w:p>
        </w:tc>
      </w:tr>
      <w:tr>
        <w:trPr>
          <w:trHeight w:val="1655" w:hRule="atLeast"/>
        </w:trPr>
        <w:tc>
          <w:tcPr>
            <w:tcW w:w="852" w:type="dxa"/>
          </w:tcPr>
          <w:p>
            <w:pPr>
              <w:pStyle w:val="TableParagraph"/>
              <w:spacing w:line="275" w:lineRule="exact"/>
              <w:ind w:left="0" w:right="96"/>
              <w:jc w:val="right"/>
              <w:rPr>
                <w:sz w:val="24"/>
              </w:rPr>
            </w:pPr>
            <w:r>
              <w:rPr>
                <w:spacing w:val="-5"/>
                <w:sz w:val="24"/>
              </w:rPr>
              <w:t>3.</w:t>
            </w:r>
          </w:p>
        </w:tc>
        <w:tc>
          <w:tcPr>
            <w:tcW w:w="5071" w:type="dxa"/>
          </w:tcPr>
          <w:p>
            <w:pPr>
              <w:pStyle w:val="TableParagraph"/>
              <w:spacing w:line="360" w:lineRule="auto"/>
              <w:ind w:right="104"/>
              <w:rPr>
                <w:sz w:val="24"/>
              </w:rPr>
            </w:pPr>
            <w:r>
              <w:rPr>
                <w:sz w:val="24"/>
              </w:rPr>
              <w:t>У всех бессимптомных взрослых старше 40 лет,</w:t>
            </w:r>
            <w:r>
              <w:rPr>
                <w:spacing w:val="-4"/>
                <w:sz w:val="24"/>
              </w:rPr>
              <w:t> </w:t>
            </w:r>
            <w:r>
              <w:rPr>
                <w:sz w:val="24"/>
              </w:rPr>
              <w:t>без</w:t>
            </w:r>
            <w:r>
              <w:rPr>
                <w:spacing w:val="-3"/>
                <w:sz w:val="24"/>
              </w:rPr>
              <w:t> </w:t>
            </w:r>
            <w:r>
              <w:rPr>
                <w:sz w:val="24"/>
              </w:rPr>
              <w:t>ССЗ,</w:t>
            </w:r>
            <w:r>
              <w:rPr>
                <w:spacing w:val="-4"/>
                <w:sz w:val="24"/>
              </w:rPr>
              <w:t> </w:t>
            </w:r>
            <w:r>
              <w:rPr>
                <w:sz w:val="24"/>
              </w:rPr>
              <w:t>СД,</w:t>
            </w:r>
            <w:r>
              <w:rPr>
                <w:spacing w:val="-4"/>
                <w:sz w:val="24"/>
              </w:rPr>
              <w:t> </w:t>
            </w:r>
            <w:r>
              <w:rPr>
                <w:sz w:val="24"/>
              </w:rPr>
              <w:t>ХБП,</w:t>
            </w:r>
            <w:r>
              <w:rPr>
                <w:spacing w:val="-4"/>
                <w:sz w:val="24"/>
              </w:rPr>
              <w:t> </w:t>
            </w:r>
            <w:r>
              <w:rPr>
                <w:sz w:val="24"/>
              </w:rPr>
              <w:t>СГХС,</w:t>
            </w:r>
            <w:r>
              <w:rPr>
                <w:spacing w:val="-4"/>
                <w:sz w:val="24"/>
              </w:rPr>
              <w:t> </w:t>
            </w:r>
            <w:r>
              <w:rPr>
                <w:sz w:val="24"/>
              </w:rPr>
              <w:t>с</w:t>
            </w:r>
            <w:r>
              <w:rPr>
                <w:spacing w:val="-5"/>
                <w:sz w:val="24"/>
              </w:rPr>
              <w:t> </w:t>
            </w:r>
            <w:r>
              <w:rPr>
                <w:sz w:val="24"/>
              </w:rPr>
              <w:t>ХС</w:t>
            </w:r>
            <w:r>
              <w:rPr>
                <w:spacing w:val="-4"/>
                <w:sz w:val="24"/>
              </w:rPr>
              <w:t> </w:t>
            </w:r>
            <w:r>
              <w:rPr>
                <w:sz w:val="24"/>
              </w:rPr>
              <w:t>ЛНП</w:t>
            </w:r>
            <w:r>
              <w:rPr>
                <w:spacing w:val="-5"/>
                <w:sz w:val="24"/>
              </w:rPr>
              <w:t> </w:t>
            </w:r>
            <w:r>
              <w:rPr>
                <w:sz w:val="24"/>
              </w:rPr>
              <w:t>&lt;</w:t>
            </w:r>
            <w:r>
              <w:rPr>
                <w:spacing w:val="-5"/>
                <w:sz w:val="24"/>
              </w:rPr>
              <w:t> </w:t>
            </w:r>
            <w:r>
              <w:rPr>
                <w:sz w:val="24"/>
              </w:rPr>
              <w:t>4,9</w:t>
            </w:r>
          </w:p>
          <w:p>
            <w:pPr>
              <w:pStyle w:val="TableParagraph"/>
              <w:rPr>
                <w:sz w:val="24"/>
              </w:rPr>
            </w:pPr>
            <w:r>
              <w:rPr>
                <w:sz w:val="24"/>
              </w:rPr>
              <w:t>ммоль/л</w:t>
            </w:r>
            <w:r>
              <w:rPr>
                <w:spacing w:val="-3"/>
                <w:sz w:val="24"/>
              </w:rPr>
              <w:t> </w:t>
            </w:r>
            <w:r>
              <w:rPr>
                <w:sz w:val="24"/>
              </w:rPr>
              <w:t>выполнена</w:t>
            </w:r>
            <w:r>
              <w:rPr>
                <w:spacing w:val="-2"/>
                <w:sz w:val="24"/>
              </w:rPr>
              <w:t> </w:t>
            </w:r>
            <w:r>
              <w:rPr>
                <w:sz w:val="24"/>
              </w:rPr>
              <w:t>оценка</w:t>
            </w:r>
            <w:r>
              <w:rPr>
                <w:spacing w:val="-2"/>
                <w:sz w:val="24"/>
              </w:rPr>
              <w:t> </w:t>
            </w:r>
            <w:r>
              <w:rPr>
                <w:sz w:val="24"/>
              </w:rPr>
              <w:t>общего</w:t>
            </w:r>
            <w:r>
              <w:rPr>
                <w:spacing w:val="-2"/>
                <w:sz w:val="24"/>
              </w:rPr>
              <w:t> </w:t>
            </w:r>
            <w:r>
              <w:rPr>
                <w:sz w:val="24"/>
              </w:rPr>
              <w:t>риска</w:t>
            </w:r>
            <w:r>
              <w:rPr>
                <w:spacing w:val="-1"/>
                <w:sz w:val="24"/>
              </w:rPr>
              <w:t> </w:t>
            </w:r>
            <w:r>
              <w:rPr>
                <w:spacing w:val="-10"/>
                <w:sz w:val="24"/>
              </w:rPr>
              <w:t>с</w:t>
            </w:r>
          </w:p>
          <w:p>
            <w:pPr>
              <w:pStyle w:val="TableParagraph"/>
              <w:spacing w:before="136"/>
              <w:rPr>
                <w:sz w:val="24"/>
              </w:rPr>
            </w:pPr>
            <w:r>
              <w:rPr>
                <w:sz w:val="24"/>
              </w:rPr>
              <w:t>использованием</w:t>
            </w:r>
            <w:r>
              <w:rPr>
                <w:spacing w:val="-2"/>
                <w:sz w:val="24"/>
              </w:rPr>
              <w:t> </w:t>
            </w:r>
            <w:r>
              <w:rPr>
                <w:sz w:val="24"/>
              </w:rPr>
              <w:t>шкалы</w:t>
            </w:r>
            <w:r>
              <w:rPr>
                <w:spacing w:val="-2"/>
                <w:sz w:val="24"/>
              </w:rPr>
              <w:t> SCORE2</w:t>
            </w:r>
          </w:p>
        </w:tc>
        <w:tc>
          <w:tcPr>
            <w:tcW w:w="1092" w:type="dxa"/>
          </w:tcPr>
          <w:p>
            <w:pPr>
              <w:pStyle w:val="TableParagraph"/>
              <w:spacing w:line="275" w:lineRule="exact"/>
              <w:ind w:left="424"/>
              <w:rPr>
                <w:sz w:val="24"/>
              </w:rPr>
            </w:pPr>
            <w:r>
              <w:rPr>
                <w:spacing w:val="-5"/>
                <w:sz w:val="24"/>
              </w:rPr>
              <w:t>IС</w:t>
            </w:r>
          </w:p>
        </w:tc>
        <w:tc>
          <w:tcPr>
            <w:tcW w:w="715" w:type="dxa"/>
          </w:tcPr>
          <w:p>
            <w:pPr>
              <w:pStyle w:val="TableParagraph"/>
              <w:spacing w:line="275" w:lineRule="exact"/>
              <w:rPr>
                <w:b/>
                <w:sz w:val="24"/>
              </w:rPr>
            </w:pPr>
            <w:r>
              <w:rPr>
                <w:b/>
                <w:sz w:val="24"/>
              </w:rPr>
              <w:t>С</w:t>
            </w:r>
          </w:p>
        </w:tc>
        <w:tc>
          <w:tcPr>
            <w:tcW w:w="725" w:type="dxa"/>
          </w:tcPr>
          <w:p>
            <w:pPr>
              <w:pStyle w:val="TableParagraph"/>
              <w:spacing w:line="275" w:lineRule="exact"/>
              <w:ind w:left="108"/>
              <w:rPr>
                <w:b/>
                <w:sz w:val="24"/>
              </w:rPr>
            </w:pPr>
            <w:r>
              <w:rPr>
                <w:b/>
                <w:sz w:val="24"/>
              </w:rPr>
              <w:t>5</w:t>
            </w:r>
          </w:p>
        </w:tc>
        <w:tc>
          <w:tcPr>
            <w:tcW w:w="1435" w:type="dxa"/>
          </w:tcPr>
          <w:p>
            <w:pPr>
              <w:pStyle w:val="TableParagraph"/>
              <w:spacing w:line="275" w:lineRule="exact"/>
              <w:rPr>
                <w:b/>
                <w:sz w:val="24"/>
              </w:rPr>
            </w:pPr>
            <w:r>
              <w:rPr>
                <w:b/>
                <w:spacing w:val="-2"/>
                <w:sz w:val="24"/>
              </w:rPr>
              <w:t>Да/нет</w:t>
            </w:r>
          </w:p>
        </w:tc>
      </w:tr>
      <w:tr>
        <w:trPr>
          <w:trHeight w:val="1655" w:hRule="atLeast"/>
        </w:trPr>
        <w:tc>
          <w:tcPr>
            <w:tcW w:w="852" w:type="dxa"/>
          </w:tcPr>
          <w:p>
            <w:pPr>
              <w:pStyle w:val="TableParagraph"/>
              <w:spacing w:line="275" w:lineRule="exact"/>
              <w:ind w:left="0" w:right="96"/>
              <w:jc w:val="right"/>
              <w:rPr>
                <w:sz w:val="24"/>
              </w:rPr>
            </w:pPr>
            <w:r>
              <w:rPr>
                <w:spacing w:val="-5"/>
                <w:sz w:val="24"/>
              </w:rPr>
              <w:t>4.</w:t>
            </w:r>
          </w:p>
        </w:tc>
        <w:tc>
          <w:tcPr>
            <w:tcW w:w="5071" w:type="dxa"/>
          </w:tcPr>
          <w:p>
            <w:pPr>
              <w:pStyle w:val="TableParagraph"/>
              <w:spacing w:line="360" w:lineRule="auto"/>
              <w:rPr>
                <w:sz w:val="24"/>
              </w:rPr>
            </w:pPr>
            <w:r>
              <w:rPr>
                <w:sz w:val="24"/>
              </w:rPr>
              <w:t>Выполнен</w:t>
            </w:r>
            <w:r>
              <w:rPr>
                <w:spacing w:val="-5"/>
                <w:sz w:val="24"/>
              </w:rPr>
              <w:t> </w:t>
            </w:r>
            <w:r>
              <w:rPr>
                <w:sz w:val="24"/>
              </w:rPr>
              <w:t>сбор</w:t>
            </w:r>
            <w:r>
              <w:rPr>
                <w:spacing w:val="-6"/>
                <w:sz w:val="24"/>
              </w:rPr>
              <w:t> </w:t>
            </w:r>
            <w:r>
              <w:rPr>
                <w:sz w:val="24"/>
              </w:rPr>
              <w:t>анамнеза</w:t>
            </w:r>
            <w:r>
              <w:rPr>
                <w:spacing w:val="-7"/>
                <w:sz w:val="24"/>
              </w:rPr>
              <w:t> </w:t>
            </w:r>
            <w:r>
              <w:rPr>
                <w:sz w:val="24"/>
              </w:rPr>
              <w:t>о</w:t>
            </w:r>
            <w:r>
              <w:rPr>
                <w:spacing w:val="-6"/>
                <w:sz w:val="24"/>
              </w:rPr>
              <w:t> </w:t>
            </w:r>
            <w:r>
              <w:rPr>
                <w:sz w:val="24"/>
              </w:rPr>
              <w:t>наличии</w:t>
            </w:r>
            <w:r>
              <w:rPr>
                <w:spacing w:val="-5"/>
                <w:sz w:val="24"/>
              </w:rPr>
              <w:t> </w:t>
            </w:r>
            <w:r>
              <w:rPr>
                <w:sz w:val="24"/>
              </w:rPr>
              <w:t>у</w:t>
            </w:r>
            <w:r>
              <w:rPr>
                <w:spacing w:val="-9"/>
                <w:sz w:val="24"/>
              </w:rPr>
              <w:t> </w:t>
            </w:r>
            <w:r>
              <w:rPr>
                <w:sz w:val="24"/>
              </w:rPr>
              <w:t>пациента ИБС, АГ, СД, атеросклероза периферических артерий, СГХС, МС, ожирения, хронических</w:t>
            </w:r>
          </w:p>
          <w:p>
            <w:pPr>
              <w:pStyle w:val="TableParagraph"/>
              <w:spacing w:line="275" w:lineRule="exact"/>
              <w:rPr>
                <w:sz w:val="24"/>
              </w:rPr>
            </w:pPr>
            <w:r>
              <w:rPr>
                <w:sz w:val="24"/>
              </w:rPr>
              <w:t>заболеваний</w:t>
            </w:r>
            <w:r>
              <w:rPr>
                <w:spacing w:val="-2"/>
                <w:sz w:val="24"/>
              </w:rPr>
              <w:t> </w:t>
            </w:r>
            <w:r>
              <w:rPr>
                <w:spacing w:val="-4"/>
                <w:sz w:val="24"/>
              </w:rPr>
              <w:t>почек</w:t>
            </w:r>
          </w:p>
        </w:tc>
        <w:tc>
          <w:tcPr>
            <w:tcW w:w="1092" w:type="dxa"/>
          </w:tcPr>
          <w:p>
            <w:pPr>
              <w:pStyle w:val="TableParagraph"/>
              <w:spacing w:line="275" w:lineRule="exact"/>
              <w:ind w:left="424"/>
              <w:rPr>
                <w:sz w:val="24"/>
              </w:rPr>
            </w:pPr>
            <w:r>
              <w:rPr>
                <w:spacing w:val="-5"/>
                <w:sz w:val="24"/>
              </w:rPr>
              <w:t>IС</w:t>
            </w:r>
          </w:p>
        </w:tc>
        <w:tc>
          <w:tcPr>
            <w:tcW w:w="715" w:type="dxa"/>
          </w:tcPr>
          <w:p>
            <w:pPr>
              <w:pStyle w:val="TableParagraph"/>
              <w:spacing w:line="275" w:lineRule="exact"/>
              <w:rPr>
                <w:b/>
                <w:sz w:val="24"/>
              </w:rPr>
            </w:pPr>
            <w:r>
              <w:rPr>
                <w:b/>
                <w:sz w:val="24"/>
              </w:rPr>
              <w:t>С</w:t>
            </w:r>
          </w:p>
        </w:tc>
        <w:tc>
          <w:tcPr>
            <w:tcW w:w="725" w:type="dxa"/>
          </w:tcPr>
          <w:p>
            <w:pPr>
              <w:pStyle w:val="TableParagraph"/>
              <w:spacing w:line="275" w:lineRule="exact"/>
              <w:ind w:left="108"/>
              <w:rPr>
                <w:b/>
                <w:sz w:val="24"/>
              </w:rPr>
            </w:pPr>
            <w:r>
              <w:rPr>
                <w:b/>
                <w:sz w:val="24"/>
              </w:rPr>
              <w:t>5</w:t>
            </w:r>
          </w:p>
        </w:tc>
        <w:tc>
          <w:tcPr>
            <w:tcW w:w="1435" w:type="dxa"/>
          </w:tcPr>
          <w:p>
            <w:pPr>
              <w:pStyle w:val="TableParagraph"/>
              <w:spacing w:line="275" w:lineRule="exact"/>
              <w:rPr>
                <w:b/>
                <w:sz w:val="24"/>
              </w:rPr>
            </w:pPr>
            <w:r>
              <w:rPr>
                <w:b/>
                <w:spacing w:val="-2"/>
                <w:sz w:val="24"/>
              </w:rPr>
              <w:t>Да/нет</w:t>
            </w:r>
          </w:p>
        </w:tc>
      </w:tr>
      <w:tr>
        <w:trPr>
          <w:trHeight w:val="1655" w:hRule="atLeast"/>
        </w:trPr>
        <w:tc>
          <w:tcPr>
            <w:tcW w:w="852" w:type="dxa"/>
          </w:tcPr>
          <w:p>
            <w:pPr>
              <w:pStyle w:val="TableParagraph"/>
              <w:spacing w:line="275" w:lineRule="exact"/>
              <w:ind w:left="0" w:right="96"/>
              <w:jc w:val="right"/>
              <w:rPr>
                <w:sz w:val="24"/>
              </w:rPr>
            </w:pPr>
            <w:r>
              <w:rPr>
                <w:spacing w:val="-5"/>
                <w:sz w:val="24"/>
              </w:rPr>
              <w:t>5.</w:t>
            </w:r>
          </w:p>
        </w:tc>
        <w:tc>
          <w:tcPr>
            <w:tcW w:w="5071" w:type="dxa"/>
          </w:tcPr>
          <w:p>
            <w:pPr>
              <w:pStyle w:val="TableParagraph"/>
              <w:spacing w:line="360" w:lineRule="auto"/>
              <w:rPr>
                <w:sz w:val="24"/>
              </w:rPr>
            </w:pPr>
            <w:r>
              <w:rPr>
                <w:sz w:val="24"/>
              </w:rPr>
              <w:t>Проведено физикальное обследование на предмет</w:t>
            </w:r>
            <w:r>
              <w:rPr>
                <w:spacing w:val="-9"/>
                <w:sz w:val="24"/>
              </w:rPr>
              <w:t> </w:t>
            </w:r>
            <w:r>
              <w:rPr>
                <w:sz w:val="24"/>
              </w:rPr>
              <w:t>выявления</w:t>
            </w:r>
            <w:r>
              <w:rPr>
                <w:spacing w:val="-9"/>
                <w:sz w:val="24"/>
              </w:rPr>
              <w:t> </w:t>
            </w:r>
            <w:r>
              <w:rPr>
                <w:sz w:val="24"/>
              </w:rPr>
              <w:t>кожных</w:t>
            </w:r>
            <w:r>
              <w:rPr>
                <w:spacing w:val="-9"/>
                <w:sz w:val="24"/>
              </w:rPr>
              <w:t> </w:t>
            </w:r>
            <w:r>
              <w:rPr>
                <w:sz w:val="24"/>
              </w:rPr>
              <w:t>и</w:t>
            </w:r>
            <w:r>
              <w:rPr>
                <w:spacing w:val="-9"/>
                <w:sz w:val="24"/>
              </w:rPr>
              <w:t> </w:t>
            </w:r>
            <w:r>
              <w:rPr>
                <w:sz w:val="24"/>
              </w:rPr>
              <w:t>сухожильных ксантом, ксантелазм и липоидной дуги</w:t>
            </w:r>
          </w:p>
          <w:p>
            <w:pPr>
              <w:pStyle w:val="TableParagraph"/>
              <w:rPr>
                <w:sz w:val="24"/>
              </w:rPr>
            </w:pPr>
            <w:r>
              <w:rPr>
                <w:spacing w:val="-2"/>
                <w:sz w:val="24"/>
              </w:rPr>
              <w:t>роговицы</w:t>
            </w:r>
          </w:p>
        </w:tc>
        <w:tc>
          <w:tcPr>
            <w:tcW w:w="1092" w:type="dxa"/>
          </w:tcPr>
          <w:p>
            <w:pPr>
              <w:pStyle w:val="TableParagraph"/>
              <w:spacing w:line="275" w:lineRule="exact"/>
              <w:ind w:left="424"/>
              <w:rPr>
                <w:sz w:val="24"/>
              </w:rPr>
            </w:pPr>
            <w:r>
              <w:rPr>
                <w:spacing w:val="-5"/>
                <w:sz w:val="24"/>
              </w:rPr>
              <w:t>IС</w:t>
            </w:r>
          </w:p>
        </w:tc>
        <w:tc>
          <w:tcPr>
            <w:tcW w:w="715" w:type="dxa"/>
          </w:tcPr>
          <w:p>
            <w:pPr>
              <w:pStyle w:val="TableParagraph"/>
              <w:spacing w:line="275" w:lineRule="exact"/>
              <w:rPr>
                <w:b/>
                <w:sz w:val="24"/>
              </w:rPr>
            </w:pPr>
            <w:r>
              <w:rPr>
                <w:b/>
                <w:sz w:val="24"/>
              </w:rPr>
              <w:t>С</w:t>
            </w:r>
          </w:p>
        </w:tc>
        <w:tc>
          <w:tcPr>
            <w:tcW w:w="725" w:type="dxa"/>
          </w:tcPr>
          <w:p>
            <w:pPr>
              <w:pStyle w:val="TableParagraph"/>
              <w:spacing w:line="275" w:lineRule="exact"/>
              <w:ind w:left="108"/>
              <w:rPr>
                <w:b/>
                <w:sz w:val="24"/>
              </w:rPr>
            </w:pPr>
            <w:r>
              <w:rPr>
                <w:b/>
                <w:sz w:val="24"/>
              </w:rPr>
              <w:t>5</w:t>
            </w:r>
          </w:p>
        </w:tc>
        <w:tc>
          <w:tcPr>
            <w:tcW w:w="1435" w:type="dxa"/>
          </w:tcPr>
          <w:p>
            <w:pPr>
              <w:pStyle w:val="TableParagraph"/>
              <w:spacing w:line="275" w:lineRule="exact"/>
              <w:rPr>
                <w:b/>
                <w:sz w:val="24"/>
              </w:rPr>
            </w:pPr>
            <w:r>
              <w:rPr>
                <w:b/>
                <w:spacing w:val="-2"/>
                <w:sz w:val="24"/>
              </w:rPr>
              <w:t>Да/нет</w:t>
            </w:r>
          </w:p>
        </w:tc>
      </w:tr>
    </w:tbl>
    <w:p>
      <w:pPr>
        <w:spacing w:after="0" w:line="275" w:lineRule="exact"/>
        <w:rPr>
          <w:sz w:val="24"/>
        </w:rPr>
        <w:sectPr>
          <w:pgSz w:w="11910" w:h="16840"/>
          <w:pgMar w:header="0" w:footer="710" w:top="1040" w:bottom="1168" w:left="440" w:right="280"/>
        </w:sectPr>
      </w:pPr>
    </w:p>
    <w:tbl>
      <w:tblPr>
        <w:tblW w:w="0" w:type="auto"/>
        <w:jc w:val="left"/>
        <w:tblInd w:w="8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52"/>
        <w:gridCol w:w="5071"/>
        <w:gridCol w:w="1092"/>
        <w:gridCol w:w="715"/>
        <w:gridCol w:w="725"/>
        <w:gridCol w:w="1435"/>
      </w:tblGrid>
      <w:tr>
        <w:trPr>
          <w:trHeight w:val="829" w:hRule="atLeast"/>
        </w:trPr>
        <w:tc>
          <w:tcPr>
            <w:tcW w:w="852" w:type="dxa"/>
          </w:tcPr>
          <w:p>
            <w:pPr>
              <w:pStyle w:val="TableParagraph"/>
              <w:spacing w:before="1"/>
              <w:ind w:left="0" w:right="96"/>
              <w:jc w:val="right"/>
              <w:rPr>
                <w:sz w:val="24"/>
              </w:rPr>
            </w:pPr>
            <w:r>
              <w:rPr>
                <w:spacing w:val="-5"/>
                <w:sz w:val="24"/>
              </w:rPr>
              <w:t>6.</w:t>
            </w:r>
          </w:p>
        </w:tc>
        <w:tc>
          <w:tcPr>
            <w:tcW w:w="5071" w:type="dxa"/>
          </w:tcPr>
          <w:p>
            <w:pPr>
              <w:pStyle w:val="TableParagraph"/>
              <w:spacing w:before="1"/>
              <w:rPr>
                <w:sz w:val="24"/>
              </w:rPr>
            </w:pPr>
            <w:r>
              <w:rPr>
                <w:sz w:val="24"/>
              </w:rPr>
              <w:t>Ультразвуковое</w:t>
            </w:r>
            <w:r>
              <w:rPr>
                <w:spacing w:val="-5"/>
                <w:sz w:val="24"/>
              </w:rPr>
              <w:t> </w:t>
            </w:r>
            <w:r>
              <w:rPr>
                <w:sz w:val="24"/>
              </w:rPr>
              <w:t>исследование</w:t>
            </w:r>
            <w:r>
              <w:rPr>
                <w:spacing w:val="-2"/>
                <w:sz w:val="24"/>
              </w:rPr>
              <w:t> </w:t>
            </w:r>
            <w:r>
              <w:rPr>
                <w:sz w:val="24"/>
              </w:rPr>
              <w:t>сонных</w:t>
            </w:r>
            <w:r>
              <w:rPr>
                <w:spacing w:val="-1"/>
                <w:sz w:val="24"/>
              </w:rPr>
              <w:t> </w:t>
            </w:r>
            <w:r>
              <w:rPr>
                <w:spacing w:val="-10"/>
                <w:sz w:val="24"/>
              </w:rPr>
              <w:t>и</w:t>
            </w:r>
          </w:p>
          <w:p>
            <w:pPr>
              <w:pStyle w:val="TableParagraph"/>
              <w:spacing w:before="137"/>
              <w:rPr>
                <w:sz w:val="24"/>
              </w:rPr>
            </w:pPr>
            <w:r>
              <w:rPr>
                <w:sz w:val="24"/>
              </w:rPr>
              <w:t>бедренных</w:t>
            </w:r>
            <w:r>
              <w:rPr>
                <w:spacing w:val="-3"/>
                <w:sz w:val="24"/>
              </w:rPr>
              <w:t> </w:t>
            </w:r>
            <w:r>
              <w:rPr>
                <w:sz w:val="24"/>
              </w:rPr>
              <w:t>артерий с</w:t>
            </w:r>
            <w:r>
              <w:rPr>
                <w:spacing w:val="-2"/>
                <w:sz w:val="24"/>
              </w:rPr>
              <w:t> </w:t>
            </w:r>
            <w:r>
              <w:rPr>
                <w:sz w:val="24"/>
              </w:rPr>
              <w:t>целью</w:t>
            </w:r>
            <w:r>
              <w:rPr>
                <w:spacing w:val="-1"/>
                <w:sz w:val="24"/>
              </w:rPr>
              <w:t> </w:t>
            </w:r>
            <w:r>
              <w:rPr>
                <w:sz w:val="24"/>
              </w:rPr>
              <w:t>выявления </w:t>
            </w:r>
            <w:r>
              <w:rPr>
                <w:spacing w:val="-5"/>
                <w:sz w:val="24"/>
              </w:rPr>
              <w:t>АСБ</w:t>
            </w:r>
          </w:p>
        </w:tc>
        <w:tc>
          <w:tcPr>
            <w:tcW w:w="1092" w:type="dxa"/>
          </w:tcPr>
          <w:p>
            <w:pPr>
              <w:pStyle w:val="TableParagraph"/>
              <w:spacing w:before="1"/>
              <w:ind w:left="266" w:right="262"/>
              <w:jc w:val="center"/>
              <w:rPr>
                <w:sz w:val="24"/>
              </w:rPr>
            </w:pPr>
            <w:r>
              <w:rPr>
                <w:spacing w:val="-4"/>
                <w:sz w:val="24"/>
              </w:rPr>
              <w:t>IIaB</w:t>
            </w:r>
          </w:p>
        </w:tc>
        <w:tc>
          <w:tcPr>
            <w:tcW w:w="715" w:type="dxa"/>
          </w:tcPr>
          <w:p>
            <w:pPr>
              <w:pStyle w:val="TableParagraph"/>
              <w:spacing w:before="1"/>
              <w:ind w:left="10"/>
              <w:jc w:val="center"/>
              <w:rPr>
                <w:b/>
                <w:sz w:val="24"/>
              </w:rPr>
            </w:pPr>
            <w:r>
              <w:rPr>
                <w:b/>
                <w:sz w:val="24"/>
              </w:rPr>
              <w:t>А</w:t>
            </w:r>
          </w:p>
        </w:tc>
        <w:tc>
          <w:tcPr>
            <w:tcW w:w="725" w:type="dxa"/>
          </w:tcPr>
          <w:p>
            <w:pPr>
              <w:pStyle w:val="TableParagraph"/>
              <w:spacing w:before="1"/>
              <w:ind w:left="108"/>
              <w:rPr>
                <w:b/>
                <w:sz w:val="24"/>
              </w:rPr>
            </w:pPr>
            <w:r>
              <w:rPr>
                <w:b/>
                <w:sz w:val="24"/>
              </w:rPr>
              <w:t>2</w:t>
            </w:r>
          </w:p>
        </w:tc>
        <w:tc>
          <w:tcPr>
            <w:tcW w:w="1435" w:type="dxa"/>
          </w:tcPr>
          <w:p>
            <w:pPr>
              <w:pStyle w:val="TableParagraph"/>
              <w:spacing w:before="1"/>
              <w:rPr>
                <w:b/>
                <w:sz w:val="24"/>
              </w:rPr>
            </w:pPr>
            <w:r>
              <w:rPr>
                <w:b/>
                <w:spacing w:val="-2"/>
                <w:sz w:val="24"/>
              </w:rPr>
              <w:t>Да/Нет</w:t>
            </w:r>
          </w:p>
        </w:tc>
      </w:tr>
      <w:tr>
        <w:trPr>
          <w:trHeight w:val="2075" w:hRule="atLeast"/>
        </w:trPr>
        <w:tc>
          <w:tcPr>
            <w:tcW w:w="852" w:type="dxa"/>
          </w:tcPr>
          <w:p>
            <w:pPr>
              <w:pStyle w:val="TableParagraph"/>
              <w:spacing w:line="275" w:lineRule="exact"/>
              <w:ind w:left="0" w:right="96"/>
              <w:jc w:val="right"/>
              <w:rPr>
                <w:sz w:val="24"/>
              </w:rPr>
            </w:pPr>
            <w:r>
              <w:rPr>
                <w:spacing w:val="-5"/>
                <w:sz w:val="24"/>
              </w:rPr>
              <w:t>7.</w:t>
            </w:r>
          </w:p>
        </w:tc>
        <w:tc>
          <w:tcPr>
            <w:tcW w:w="5071" w:type="dxa"/>
          </w:tcPr>
          <w:p>
            <w:pPr>
              <w:pStyle w:val="TableParagraph"/>
              <w:spacing w:line="357" w:lineRule="auto"/>
              <w:ind w:right="147"/>
              <w:rPr>
                <w:sz w:val="24"/>
              </w:rPr>
            </w:pPr>
            <w:r>
              <w:rPr>
                <w:sz w:val="24"/>
              </w:rPr>
              <w:t>В качестве стартовой терапии пациенту с установленным нарушением липидного обмена</w:t>
            </w:r>
            <w:r>
              <w:rPr>
                <w:spacing w:val="-9"/>
                <w:sz w:val="24"/>
              </w:rPr>
              <w:t> </w:t>
            </w:r>
            <w:r>
              <w:rPr>
                <w:sz w:val="24"/>
              </w:rPr>
              <w:t>назначена</w:t>
            </w:r>
            <w:r>
              <w:rPr>
                <w:spacing w:val="-8"/>
                <w:sz w:val="24"/>
              </w:rPr>
              <w:t> </w:t>
            </w:r>
            <w:r>
              <w:rPr>
                <w:sz w:val="24"/>
              </w:rPr>
              <w:t>терапия</w:t>
            </w:r>
            <w:r>
              <w:rPr>
                <w:spacing w:val="-8"/>
                <w:sz w:val="24"/>
              </w:rPr>
              <w:t> </w:t>
            </w:r>
            <w:r>
              <w:rPr>
                <w:rFonts w:ascii="Calibri" w:hAnsi="Calibri"/>
                <w:sz w:val="22"/>
              </w:rPr>
              <w:t>с</w:t>
            </w:r>
            <w:r>
              <w:rPr>
                <w:sz w:val="24"/>
              </w:rPr>
              <w:t>татином</w:t>
            </w:r>
            <w:r>
              <w:rPr>
                <w:spacing w:val="-15"/>
                <w:sz w:val="24"/>
              </w:rPr>
              <w:t> </w:t>
            </w:r>
            <w:r>
              <w:rPr>
                <w:sz w:val="24"/>
              </w:rPr>
              <w:t>в</w:t>
            </w:r>
            <w:r>
              <w:rPr>
                <w:spacing w:val="-8"/>
                <w:sz w:val="24"/>
              </w:rPr>
              <w:t> </w:t>
            </w:r>
            <w:r>
              <w:rPr>
                <w:sz w:val="24"/>
              </w:rPr>
              <w:t>дозовом режиме, достаточном для достижения</w:t>
            </w:r>
          </w:p>
          <w:p>
            <w:pPr>
              <w:pStyle w:val="TableParagraph"/>
              <w:spacing w:before="10"/>
              <w:rPr>
                <w:sz w:val="24"/>
              </w:rPr>
            </w:pPr>
            <w:r>
              <w:rPr>
                <w:sz w:val="24"/>
              </w:rPr>
              <w:t>целевого</w:t>
            </w:r>
            <w:r>
              <w:rPr>
                <w:spacing w:val="-1"/>
                <w:sz w:val="24"/>
              </w:rPr>
              <w:t> </w:t>
            </w:r>
            <w:r>
              <w:rPr>
                <w:sz w:val="24"/>
              </w:rPr>
              <w:t>уровня</w:t>
            </w:r>
            <w:r>
              <w:rPr>
                <w:spacing w:val="-1"/>
                <w:sz w:val="24"/>
              </w:rPr>
              <w:t> </w:t>
            </w:r>
            <w:r>
              <w:rPr>
                <w:sz w:val="24"/>
              </w:rPr>
              <w:t>ХС</w:t>
            </w:r>
            <w:r>
              <w:rPr>
                <w:spacing w:val="-1"/>
                <w:sz w:val="24"/>
              </w:rPr>
              <w:t> </w:t>
            </w:r>
            <w:r>
              <w:rPr>
                <w:spacing w:val="-5"/>
                <w:sz w:val="24"/>
              </w:rPr>
              <w:t>ЛНП</w:t>
            </w:r>
          </w:p>
        </w:tc>
        <w:tc>
          <w:tcPr>
            <w:tcW w:w="1092" w:type="dxa"/>
          </w:tcPr>
          <w:p>
            <w:pPr>
              <w:pStyle w:val="TableParagraph"/>
              <w:spacing w:line="275" w:lineRule="exact"/>
              <w:ind w:left="266" w:right="262"/>
              <w:jc w:val="center"/>
              <w:rPr>
                <w:sz w:val="24"/>
              </w:rPr>
            </w:pPr>
            <w:r>
              <w:rPr>
                <w:spacing w:val="-5"/>
                <w:sz w:val="24"/>
              </w:rPr>
              <w:t>IA</w:t>
            </w:r>
          </w:p>
        </w:tc>
        <w:tc>
          <w:tcPr>
            <w:tcW w:w="715" w:type="dxa"/>
          </w:tcPr>
          <w:p>
            <w:pPr>
              <w:pStyle w:val="TableParagraph"/>
              <w:spacing w:line="275" w:lineRule="exact"/>
              <w:rPr>
                <w:b/>
                <w:sz w:val="24"/>
              </w:rPr>
            </w:pPr>
            <w:r>
              <w:rPr>
                <w:b/>
                <w:sz w:val="24"/>
              </w:rPr>
              <w:t>А</w:t>
            </w:r>
          </w:p>
        </w:tc>
        <w:tc>
          <w:tcPr>
            <w:tcW w:w="725" w:type="dxa"/>
          </w:tcPr>
          <w:p>
            <w:pPr>
              <w:pStyle w:val="TableParagraph"/>
              <w:spacing w:line="275" w:lineRule="exact"/>
              <w:ind w:left="108"/>
              <w:rPr>
                <w:b/>
                <w:sz w:val="24"/>
              </w:rPr>
            </w:pPr>
            <w:r>
              <w:rPr>
                <w:b/>
                <w:sz w:val="24"/>
              </w:rPr>
              <w:t>1</w:t>
            </w:r>
          </w:p>
        </w:tc>
        <w:tc>
          <w:tcPr>
            <w:tcW w:w="1435" w:type="dxa"/>
          </w:tcPr>
          <w:p>
            <w:pPr>
              <w:pStyle w:val="TableParagraph"/>
              <w:spacing w:line="275" w:lineRule="exact"/>
              <w:rPr>
                <w:b/>
                <w:sz w:val="24"/>
              </w:rPr>
            </w:pPr>
            <w:r>
              <w:rPr>
                <w:b/>
                <w:spacing w:val="-2"/>
                <w:sz w:val="24"/>
              </w:rPr>
              <w:t>Да/нет</w:t>
            </w:r>
          </w:p>
        </w:tc>
      </w:tr>
      <w:tr>
        <w:trPr>
          <w:trHeight w:val="2490" w:hRule="atLeast"/>
        </w:trPr>
        <w:tc>
          <w:tcPr>
            <w:tcW w:w="852" w:type="dxa"/>
          </w:tcPr>
          <w:p>
            <w:pPr>
              <w:pStyle w:val="TableParagraph"/>
              <w:spacing w:line="275" w:lineRule="exact"/>
              <w:ind w:left="0" w:right="96"/>
              <w:jc w:val="right"/>
              <w:rPr>
                <w:sz w:val="24"/>
              </w:rPr>
            </w:pPr>
            <w:r>
              <w:rPr>
                <w:spacing w:val="-5"/>
                <w:sz w:val="24"/>
              </w:rPr>
              <w:t>8.</w:t>
            </w:r>
          </w:p>
        </w:tc>
        <w:tc>
          <w:tcPr>
            <w:tcW w:w="5071" w:type="dxa"/>
          </w:tcPr>
          <w:p>
            <w:pPr>
              <w:pStyle w:val="TableParagraph"/>
              <w:spacing w:line="360" w:lineRule="auto"/>
              <w:ind w:right="104"/>
              <w:rPr>
                <w:sz w:val="24"/>
              </w:rPr>
            </w:pPr>
            <w:r>
              <w:rPr>
                <w:sz w:val="24"/>
              </w:rPr>
              <w:t>При отсутствии целевого уровня ХС ЛНП на фоне</w:t>
            </w:r>
            <w:r>
              <w:rPr>
                <w:spacing w:val="-10"/>
                <w:sz w:val="24"/>
              </w:rPr>
              <w:t> </w:t>
            </w:r>
            <w:r>
              <w:rPr>
                <w:sz w:val="24"/>
              </w:rPr>
              <w:t>максимально</w:t>
            </w:r>
            <w:r>
              <w:rPr>
                <w:spacing w:val="-9"/>
                <w:sz w:val="24"/>
              </w:rPr>
              <w:t> </w:t>
            </w:r>
            <w:r>
              <w:rPr>
                <w:sz w:val="24"/>
              </w:rPr>
              <w:t>переносимых</w:t>
            </w:r>
            <w:r>
              <w:rPr>
                <w:spacing w:val="-9"/>
                <w:sz w:val="24"/>
              </w:rPr>
              <w:t> </w:t>
            </w:r>
            <w:r>
              <w:rPr>
                <w:sz w:val="24"/>
              </w:rPr>
              <w:t>доз</w:t>
            </w:r>
            <w:r>
              <w:rPr>
                <w:spacing w:val="-8"/>
                <w:sz w:val="24"/>
              </w:rPr>
              <w:t> </w:t>
            </w:r>
            <w:r>
              <w:rPr>
                <w:rFonts w:ascii="Calibri" w:hAnsi="Calibri"/>
                <w:sz w:val="22"/>
              </w:rPr>
              <w:t>с</w:t>
            </w:r>
            <w:r>
              <w:rPr>
                <w:sz w:val="24"/>
              </w:rPr>
              <w:t>татином через 8±4 нед. к терапии добавлен эзетимиб или алирокумаб**/эволокумаб**/ инклисиран** (у пациентов очень высокого</w:t>
            </w:r>
          </w:p>
          <w:p>
            <w:pPr>
              <w:pStyle w:val="TableParagraph"/>
              <w:rPr>
                <w:sz w:val="24"/>
              </w:rPr>
            </w:pPr>
            <w:r>
              <w:rPr>
                <w:spacing w:val="-2"/>
                <w:sz w:val="24"/>
              </w:rPr>
              <w:t>риска)</w:t>
            </w:r>
          </w:p>
        </w:tc>
        <w:tc>
          <w:tcPr>
            <w:tcW w:w="1092" w:type="dxa"/>
          </w:tcPr>
          <w:p>
            <w:pPr>
              <w:pStyle w:val="TableParagraph"/>
              <w:spacing w:line="275" w:lineRule="exact"/>
              <w:ind w:left="263" w:right="262"/>
              <w:jc w:val="center"/>
              <w:rPr>
                <w:sz w:val="24"/>
              </w:rPr>
            </w:pPr>
            <w:r>
              <w:rPr>
                <w:spacing w:val="-5"/>
                <w:sz w:val="24"/>
              </w:rPr>
              <w:t>IВ</w:t>
            </w:r>
          </w:p>
        </w:tc>
        <w:tc>
          <w:tcPr>
            <w:tcW w:w="715" w:type="dxa"/>
          </w:tcPr>
          <w:p>
            <w:pPr>
              <w:pStyle w:val="TableParagraph"/>
              <w:spacing w:line="275" w:lineRule="exact"/>
              <w:rPr>
                <w:b/>
                <w:sz w:val="24"/>
              </w:rPr>
            </w:pPr>
            <w:r>
              <w:rPr>
                <w:b/>
                <w:sz w:val="24"/>
              </w:rPr>
              <w:t>В</w:t>
            </w:r>
          </w:p>
        </w:tc>
        <w:tc>
          <w:tcPr>
            <w:tcW w:w="725" w:type="dxa"/>
          </w:tcPr>
          <w:p>
            <w:pPr>
              <w:pStyle w:val="TableParagraph"/>
              <w:spacing w:line="275" w:lineRule="exact"/>
              <w:ind w:left="108"/>
              <w:rPr>
                <w:b/>
                <w:sz w:val="24"/>
              </w:rPr>
            </w:pPr>
            <w:r>
              <w:rPr>
                <w:b/>
                <w:sz w:val="24"/>
              </w:rPr>
              <w:t>2</w:t>
            </w:r>
          </w:p>
        </w:tc>
        <w:tc>
          <w:tcPr>
            <w:tcW w:w="1435" w:type="dxa"/>
          </w:tcPr>
          <w:p>
            <w:pPr>
              <w:pStyle w:val="TableParagraph"/>
              <w:spacing w:line="275" w:lineRule="exact"/>
              <w:rPr>
                <w:b/>
                <w:sz w:val="24"/>
              </w:rPr>
            </w:pPr>
            <w:r>
              <w:rPr>
                <w:b/>
                <w:spacing w:val="-2"/>
                <w:sz w:val="24"/>
              </w:rPr>
              <w:t>Да/нет</w:t>
            </w:r>
          </w:p>
        </w:tc>
      </w:tr>
      <w:tr>
        <w:trPr>
          <w:trHeight w:val="1662" w:hRule="atLeast"/>
        </w:trPr>
        <w:tc>
          <w:tcPr>
            <w:tcW w:w="852" w:type="dxa"/>
          </w:tcPr>
          <w:p>
            <w:pPr>
              <w:pStyle w:val="TableParagraph"/>
              <w:spacing w:line="275" w:lineRule="exact"/>
              <w:ind w:left="0" w:right="96"/>
              <w:jc w:val="right"/>
              <w:rPr>
                <w:sz w:val="24"/>
              </w:rPr>
            </w:pPr>
            <w:r>
              <w:rPr>
                <w:spacing w:val="-5"/>
                <w:sz w:val="24"/>
              </w:rPr>
              <w:t>9.</w:t>
            </w:r>
          </w:p>
        </w:tc>
        <w:tc>
          <w:tcPr>
            <w:tcW w:w="5071" w:type="dxa"/>
          </w:tcPr>
          <w:p>
            <w:pPr>
              <w:pStyle w:val="TableParagraph"/>
              <w:spacing w:line="357" w:lineRule="auto"/>
              <w:ind w:right="104"/>
              <w:rPr>
                <w:sz w:val="24"/>
              </w:rPr>
            </w:pPr>
            <w:r>
              <w:rPr>
                <w:sz w:val="24"/>
              </w:rPr>
              <w:t>При отсутствии целевого уровня ХС ЛНП на фоне максимально переносимых доз </w:t>
            </w:r>
            <w:r>
              <w:rPr>
                <w:rFonts w:ascii="Calibri" w:hAnsi="Calibri"/>
                <w:sz w:val="22"/>
              </w:rPr>
              <w:t>с</w:t>
            </w:r>
            <w:r>
              <w:rPr>
                <w:sz w:val="24"/>
              </w:rPr>
              <w:t>татином и</w:t>
            </w:r>
            <w:r>
              <w:rPr>
                <w:spacing w:val="-5"/>
                <w:sz w:val="24"/>
              </w:rPr>
              <w:t> </w:t>
            </w:r>
            <w:r>
              <w:rPr>
                <w:sz w:val="24"/>
              </w:rPr>
              <w:t>эзетимиба</w:t>
            </w:r>
            <w:r>
              <w:rPr>
                <w:spacing w:val="-7"/>
                <w:sz w:val="24"/>
              </w:rPr>
              <w:t> </w:t>
            </w:r>
            <w:r>
              <w:rPr>
                <w:sz w:val="24"/>
              </w:rPr>
              <w:t>через</w:t>
            </w:r>
            <w:r>
              <w:rPr>
                <w:spacing w:val="-5"/>
                <w:sz w:val="24"/>
              </w:rPr>
              <w:t> </w:t>
            </w:r>
            <w:r>
              <w:rPr>
                <w:sz w:val="24"/>
              </w:rPr>
              <w:t>8±4</w:t>
            </w:r>
            <w:r>
              <w:rPr>
                <w:spacing w:val="-6"/>
                <w:sz w:val="24"/>
              </w:rPr>
              <w:t> </w:t>
            </w:r>
            <w:r>
              <w:rPr>
                <w:sz w:val="24"/>
              </w:rPr>
              <w:t>нед.</w:t>
            </w:r>
            <w:r>
              <w:rPr>
                <w:spacing w:val="-6"/>
                <w:sz w:val="24"/>
              </w:rPr>
              <w:t> </w:t>
            </w:r>
            <w:r>
              <w:rPr>
                <w:sz w:val="24"/>
              </w:rPr>
              <w:t>к</w:t>
            </w:r>
            <w:r>
              <w:rPr>
                <w:spacing w:val="-5"/>
                <w:sz w:val="24"/>
              </w:rPr>
              <w:t> </w:t>
            </w:r>
            <w:r>
              <w:rPr>
                <w:sz w:val="24"/>
              </w:rPr>
              <w:t>терапии</w:t>
            </w:r>
            <w:r>
              <w:rPr>
                <w:spacing w:val="-5"/>
                <w:sz w:val="24"/>
              </w:rPr>
              <w:t> </w:t>
            </w:r>
            <w:r>
              <w:rPr>
                <w:sz w:val="24"/>
              </w:rPr>
              <w:t>добавлен</w:t>
            </w:r>
          </w:p>
          <w:p>
            <w:pPr>
              <w:pStyle w:val="TableParagraph"/>
              <w:spacing w:before="8"/>
              <w:rPr>
                <w:sz w:val="24"/>
              </w:rPr>
            </w:pPr>
            <w:r>
              <w:rPr>
                <w:spacing w:val="-2"/>
                <w:sz w:val="24"/>
              </w:rPr>
              <w:t>алирокумаб**/эволокумаб**/инклисиран**</w:t>
            </w:r>
          </w:p>
        </w:tc>
        <w:tc>
          <w:tcPr>
            <w:tcW w:w="1092" w:type="dxa"/>
          </w:tcPr>
          <w:p>
            <w:pPr>
              <w:pStyle w:val="TableParagraph"/>
              <w:spacing w:line="275" w:lineRule="exact"/>
              <w:ind w:left="266" w:right="262"/>
              <w:jc w:val="center"/>
              <w:rPr>
                <w:sz w:val="24"/>
              </w:rPr>
            </w:pPr>
            <w:r>
              <w:rPr>
                <w:spacing w:val="-5"/>
                <w:sz w:val="24"/>
              </w:rPr>
              <w:t>IA</w:t>
            </w:r>
          </w:p>
        </w:tc>
        <w:tc>
          <w:tcPr>
            <w:tcW w:w="715" w:type="dxa"/>
          </w:tcPr>
          <w:p>
            <w:pPr>
              <w:pStyle w:val="TableParagraph"/>
              <w:spacing w:line="275" w:lineRule="exact"/>
              <w:rPr>
                <w:b/>
                <w:sz w:val="24"/>
              </w:rPr>
            </w:pPr>
            <w:r>
              <w:rPr>
                <w:b/>
                <w:sz w:val="24"/>
              </w:rPr>
              <w:t>A</w:t>
            </w:r>
          </w:p>
        </w:tc>
        <w:tc>
          <w:tcPr>
            <w:tcW w:w="725" w:type="dxa"/>
          </w:tcPr>
          <w:p>
            <w:pPr>
              <w:pStyle w:val="TableParagraph"/>
              <w:spacing w:line="275" w:lineRule="exact"/>
              <w:ind w:left="108"/>
              <w:rPr>
                <w:b/>
                <w:sz w:val="24"/>
              </w:rPr>
            </w:pPr>
            <w:r>
              <w:rPr>
                <w:b/>
                <w:sz w:val="24"/>
              </w:rPr>
              <w:t>1</w:t>
            </w:r>
          </w:p>
        </w:tc>
        <w:tc>
          <w:tcPr>
            <w:tcW w:w="1435" w:type="dxa"/>
          </w:tcPr>
          <w:p>
            <w:pPr>
              <w:pStyle w:val="TableParagraph"/>
              <w:spacing w:line="275" w:lineRule="exact"/>
              <w:rPr>
                <w:b/>
                <w:sz w:val="24"/>
              </w:rPr>
            </w:pPr>
            <w:r>
              <w:rPr>
                <w:b/>
                <w:spacing w:val="-2"/>
                <w:sz w:val="24"/>
              </w:rPr>
              <w:t>Да/нет</w:t>
            </w:r>
          </w:p>
        </w:tc>
      </w:tr>
      <w:tr>
        <w:trPr>
          <w:trHeight w:val="1655" w:hRule="atLeast"/>
        </w:trPr>
        <w:tc>
          <w:tcPr>
            <w:tcW w:w="852" w:type="dxa"/>
          </w:tcPr>
          <w:p>
            <w:pPr>
              <w:pStyle w:val="TableParagraph"/>
              <w:spacing w:before="1"/>
              <w:ind w:left="0" w:right="96"/>
              <w:jc w:val="right"/>
              <w:rPr>
                <w:sz w:val="24"/>
              </w:rPr>
            </w:pPr>
            <w:r>
              <w:rPr>
                <w:spacing w:val="-5"/>
                <w:sz w:val="24"/>
              </w:rPr>
              <w:t>10</w:t>
            </w:r>
          </w:p>
        </w:tc>
        <w:tc>
          <w:tcPr>
            <w:tcW w:w="5071" w:type="dxa"/>
          </w:tcPr>
          <w:p>
            <w:pPr>
              <w:pStyle w:val="TableParagraph"/>
              <w:spacing w:line="360" w:lineRule="auto" w:before="1"/>
              <w:ind w:right="147"/>
              <w:rPr>
                <w:sz w:val="24"/>
              </w:rPr>
            </w:pPr>
            <w:r>
              <w:rPr>
                <w:sz w:val="24"/>
              </w:rPr>
              <w:t>Достигнут целевой уровень ХС ЛНП &lt; 1,8 ммоль/л</w:t>
            </w:r>
            <w:r>
              <w:rPr>
                <w:spacing w:val="-6"/>
                <w:sz w:val="24"/>
              </w:rPr>
              <w:t> </w:t>
            </w:r>
            <w:r>
              <w:rPr>
                <w:sz w:val="24"/>
              </w:rPr>
              <w:t>(или</w:t>
            </w:r>
            <w:r>
              <w:rPr>
                <w:spacing w:val="-6"/>
                <w:sz w:val="24"/>
              </w:rPr>
              <w:t> </w:t>
            </w:r>
            <w:r>
              <w:rPr>
                <w:sz w:val="24"/>
              </w:rPr>
              <w:t>его</w:t>
            </w:r>
            <w:r>
              <w:rPr>
                <w:spacing w:val="-7"/>
                <w:sz w:val="24"/>
              </w:rPr>
              <w:t> </w:t>
            </w:r>
            <w:r>
              <w:rPr>
                <w:sz w:val="24"/>
              </w:rPr>
              <w:t>снижение</w:t>
            </w:r>
            <w:r>
              <w:rPr>
                <w:spacing w:val="-7"/>
                <w:sz w:val="24"/>
              </w:rPr>
              <w:t> </w:t>
            </w:r>
            <w:r>
              <w:rPr>
                <w:sz w:val="24"/>
              </w:rPr>
              <w:t>по</w:t>
            </w:r>
            <w:r>
              <w:rPr>
                <w:spacing w:val="-6"/>
                <w:sz w:val="24"/>
              </w:rPr>
              <w:t> </w:t>
            </w:r>
            <w:r>
              <w:rPr>
                <w:sz w:val="24"/>
              </w:rPr>
              <w:t>меньшей</w:t>
            </w:r>
            <w:r>
              <w:rPr>
                <w:spacing w:val="-6"/>
                <w:sz w:val="24"/>
              </w:rPr>
              <w:t> </w:t>
            </w:r>
            <w:r>
              <w:rPr>
                <w:sz w:val="24"/>
              </w:rPr>
              <w:t>мере на 50% от исходного) у пациентов высокого</w:t>
            </w:r>
          </w:p>
          <w:p>
            <w:pPr>
              <w:pStyle w:val="TableParagraph"/>
              <w:spacing w:line="275" w:lineRule="exact"/>
              <w:rPr>
                <w:sz w:val="24"/>
              </w:rPr>
            </w:pPr>
            <w:r>
              <w:rPr>
                <w:sz w:val="24"/>
              </w:rPr>
              <w:t>риска</w:t>
            </w:r>
            <w:r>
              <w:rPr>
                <w:spacing w:val="-2"/>
                <w:sz w:val="24"/>
              </w:rPr>
              <w:t> </w:t>
            </w:r>
            <w:r>
              <w:rPr>
                <w:sz w:val="24"/>
              </w:rPr>
              <w:t>через 8±4 </w:t>
            </w:r>
            <w:r>
              <w:rPr>
                <w:spacing w:val="-2"/>
                <w:sz w:val="24"/>
              </w:rPr>
              <w:t>нед.терапии</w:t>
            </w:r>
          </w:p>
        </w:tc>
        <w:tc>
          <w:tcPr>
            <w:tcW w:w="1092" w:type="dxa"/>
          </w:tcPr>
          <w:p>
            <w:pPr>
              <w:pStyle w:val="TableParagraph"/>
              <w:spacing w:before="1"/>
              <w:ind w:left="266" w:right="262"/>
              <w:jc w:val="center"/>
              <w:rPr>
                <w:sz w:val="24"/>
              </w:rPr>
            </w:pPr>
            <w:r>
              <w:rPr>
                <w:spacing w:val="-5"/>
                <w:sz w:val="24"/>
              </w:rPr>
              <w:t>IA</w:t>
            </w:r>
          </w:p>
        </w:tc>
        <w:tc>
          <w:tcPr>
            <w:tcW w:w="715" w:type="dxa"/>
          </w:tcPr>
          <w:p>
            <w:pPr>
              <w:pStyle w:val="TableParagraph"/>
              <w:spacing w:before="1"/>
              <w:rPr>
                <w:b/>
                <w:sz w:val="24"/>
              </w:rPr>
            </w:pPr>
            <w:r>
              <w:rPr>
                <w:b/>
                <w:sz w:val="24"/>
              </w:rPr>
              <w:t>А</w:t>
            </w:r>
          </w:p>
        </w:tc>
        <w:tc>
          <w:tcPr>
            <w:tcW w:w="725" w:type="dxa"/>
          </w:tcPr>
          <w:p>
            <w:pPr>
              <w:pStyle w:val="TableParagraph"/>
              <w:spacing w:before="1"/>
              <w:ind w:left="108"/>
              <w:rPr>
                <w:b/>
                <w:sz w:val="24"/>
              </w:rPr>
            </w:pPr>
            <w:r>
              <w:rPr>
                <w:b/>
                <w:sz w:val="24"/>
              </w:rPr>
              <w:t>1</w:t>
            </w:r>
          </w:p>
        </w:tc>
        <w:tc>
          <w:tcPr>
            <w:tcW w:w="1435" w:type="dxa"/>
          </w:tcPr>
          <w:p>
            <w:pPr>
              <w:pStyle w:val="TableParagraph"/>
              <w:spacing w:before="1"/>
              <w:rPr>
                <w:b/>
                <w:sz w:val="24"/>
              </w:rPr>
            </w:pPr>
            <w:r>
              <w:rPr>
                <w:b/>
                <w:spacing w:val="-2"/>
                <w:sz w:val="24"/>
              </w:rPr>
              <w:t>Да/нет</w:t>
            </w:r>
          </w:p>
        </w:tc>
      </w:tr>
      <w:tr>
        <w:trPr>
          <w:trHeight w:val="2070" w:hRule="atLeast"/>
        </w:trPr>
        <w:tc>
          <w:tcPr>
            <w:tcW w:w="852" w:type="dxa"/>
          </w:tcPr>
          <w:p>
            <w:pPr>
              <w:pStyle w:val="TableParagraph"/>
              <w:spacing w:before="1"/>
              <w:ind w:left="0" w:right="96"/>
              <w:jc w:val="right"/>
              <w:rPr>
                <w:sz w:val="24"/>
              </w:rPr>
            </w:pPr>
            <w:r>
              <w:rPr>
                <w:spacing w:val="-5"/>
                <w:sz w:val="24"/>
              </w:rPr>
              <w:t>11</w:t>
            </w:r>
          </w:p>
          <w:p>
            <w:pPr>
              <w:pStyle w:val="TableParagraph"/>
              <w:ind w:left="0" w:right="96"/>
              <w:jc w:val="right"/>
              <w:rPr>
                <w:sz w:val="24"/>
              </w:rPr>
            </w:pPr>
            <w:r>
              <w:rPr>
                <w:sz w:val="24"/>
              </w:rPr>
              <w:t>.</w:t>
            </w:r>
          </w:p>
        </w:tc>
        <w:tc>
          <w:tcPr>
            <w:tcW w:w="5071" w:type="dxa"/>
          </w:tcPr>
          <w:p>
            <w:pPr>
              <w:pStyle w:val="TableParagraph"/>
              <w:spacing w:line="360" w:lineRule="auto" w:before="1"/>
              <w:ind w:right="147"/>
              <w:rPr>
                <w:sz w:val="24"/>
              </w:rPr>
            </w:pPr>
            <w:r>
              <w:rPr>
                <w:sz w:val="24"/>
              </w:rPr>
              <w:t>Достигнут целевой уровень ХС ЛНП &lt; 1,4 ммоль/л</w:t>
            </w:r>
            <w:r>
              <w:rPr>
                <w:spacing w:val="-6"/>
                <w:sz w:val="24"/>
              </w:rPr>
              <w:t> </w:t>
            </w:r>
            <w:r>
              <w:rPr>
                <w:sz w:val="24"/>
              </w:rPr>
              <w:t>(или</w:t>
            </w:r>
            <w:r>
              <w:rPr>
                <w:spacing w:val="-5"/>
                <w:sz w:val="24"/>
              </w:rPr>
              <w:t> </w:t>
            </w:r>
            <w:r>
              <w:rPr>
                <w:sz w:val="24"/>
              </w:rPr>
              <w:t>снижение</w:t>
            </w:r>
            <w:r>
              <w:rPr>
                <w:spacing w:val="-10"/>
                <w:sz w:val="24"/>
              </w:rPr>
              <w:t> </w:t>
            </w:r>
            <w:r>
              <w:rPr>
                <w:sz w:val="24"/>
              </w:rPr>
              <w:t>по</w:t>
            </w:r>
            <w:r>
              <w:rPr>
                <w:spacing w:val="-6"/>
                <w:sz w:val="24"/>
              </w:rPr>
              <w:t> </w:t>
            </w:r>
            <w:r>
              <w:rPr>
                <w:sz w:val="24"/>
              </w:rPr>
              <w:t>меньшей</w:t>
            </w:r>
            <w:r>
              <w:rPr>
                <w:spacing w:val="-5"/>
                <w:sz w:val="24"/>
              </w:rPr>
              <w:t> </w:t>
            </w:r>
            <w:r>
              <w:rPr>
                <w:sz w:val="24"/>
              </w:rPr>
              <w:t>мере</w:t>
            </w:r>
            <w:r>
              <w:rPr>
                <w:spacing w:val="-7"/>
                <w:sz w:val="24"/>
              </w:rPr>
              <w:t> </w:t>
            </w:r>
            <w:r>
              <w:rPr>
                <w:sz w:val="24"/>
              </w:rPr>
              <w:t>на 50% от исходного) у пациентов очень высокого риска (кроме пациентов с СГХС)</w:t>
            </w:r>
          </w:p>
          <w:p>
            <w:pPr>
              <w:pStyle w:val="TableParagraph"/>
              <w:rPr>
                <w:sz w:val="24"/>
              </w:rPr>
            </w:pPr>
            <w:r>
              <w:rPr>
                <w:sz w:val="24"/>
              </w:rPr>
              <w:t>через</w:t>
            </w:r>
            <w:r>
              <w:rPr>
                <w:spacing w:val="-1"/>
                <w:sz w:val="24"/>
              </w:rPr>
              <w:t> </w:t>
            </w:r>
            <w:r>
              <w:rPr>
                <w:sz w:val="24"/>
              </w:rPr>
              <w:t>8±4</w:t>
            </w:r>
            <w:r>
              <w:rPr>
                <w:spacing w:val="-1"/>
                <w:sz w:val="24"/>
              </w:rPr>
              <w:t> </w:t>
            </w:r>
            <w:r>
              <w:rPr>
                <w:sz w:val="24"/>
              </w:rPr>
              <w:t>нед.</w:t>
            </w:r>
            <w:r>
              <w:rPr>
                <w:spacing w:val="-1"/>
                <w:sz w:val="24"/>
              </w:rPr>
              <w:t> </w:t>
            </w:r>
            <w:r>
              <w:rPr>
                <w:spacing w:val="-2"/>
                <w:sz w:val="24"/>
              </w:rPr>
              <w:t>терапии</w:t>
            </w:r>
          </w:p>
        </w:tc>
        <w:tc>
          <w:tcPr>
            <w:tcW w:w="1092" w:type="dxa"/>
          </w:tcPr>
          <w:p>
            <w:pPr>
              <w:pStyle w:val="TableParagraph"/>
              <w:spacing w:before="1"/>
              <w:ind w:left="263" w:right="262"/>
              <w:jc w:val="center"/>
              <w:rPr>
                <w:sz w:val="24"/>
              </w:rPr>
            </w:pPr>
            <w:r>
              <w:rPr>
                <w:spacing w:val="-5"/>
                <w:sz w:val="24"/>
              </w:rPr>
              <w:t>IС</w:t>
            </w:r>
          </w:p>
        </w:tc>
        <w:tc>
          <w:tcPr>
            <w:tcW w:w="715" w:type="dxa"/>
          </w:tcPr>
          <w:p>
            <w:pPr>
              <w:pStyle w:val="TableParagraph"/>
              <w:spacing w:before="1"/>
              <w:rPr>
                <w:b/>
                <w:sz w:val="24"/>
              </w:rPr>
            </w:pPr>
            <w:r>
              <w:rPr>
                <w:b/>
                <w:sz w:val="24"/>
              </w:rPr>
              <w:t>С</w:t>
            </w:r>
          </w:p>
        </w:tc>
        <w:tc>
          <w:tcPr>
            <w:tcW w:w="725" w:type="dxa"/>
          </w:tcPr>
          <w:p>
            <w:pPr>
              <w:pStyle w:val="TableParagraph"/>
              <w:spacing w:before="1"/>
              <w:ind w:left="108"/>
              <w:rPr>
                <w:b/>
                <w:sz w:val="24"/>
              </w:rPr>
            </w:pPr>
            <w:r>
              <w:rPr>
                <w:b/>
                <w:sz w:val="24"/>
              </w:rPr>
              <w:t>1</w:t>
            </w:r>
          </w:p>
        </w:tc>
        <w:tc>
          <w:tcPr>
            <w:tcW w:w="1435" w:type="dxa"/>
          </w:tcPr>
          <w:p>
            <w:pPr>
              <w:pStyle w:val="TableParagraph"/>
              <w:spacing w:before="1"/>
              <w:rPr>
                <w:b/>
                <w:sz w:val="24"/>
              </w:rPr>
            </w:pPr>
            <w:r>
              <w:rPr>
                <w:b/>
                <w:spacing w:val="-2"/>
                <w:sz w:val="24"/>
              </w:rPr>
              <w:t>Да/нет</w:t>
            </w:r>
          </w:p>
        </w:tc>
      </w:tr>
    </w:tbl>
    <w:p>
      <w:pPr>
        <w:spacing w:after="0"/>
        <w:rPr>
          <w:sz w:val="24"/>
        </w:rPr>
        <w:sectPr>
          <w:type w:val="continuous"/>
          <w:pgSz w:w="11910" w:h="16840"/>
          <w:pgMar w:header="0" w:footer="710" w:top="1100" w:bottom="900" w:left="440" w:right="280"/>
        </w:sectPr>
      </w:pPr>
    </w:p>
    <w:p>
      <w:pPr>
        <w:pStyle w:val="Heading3"/>
        <w:spacing w:before="73"/>
        <w:ind w:left="1253" w:right="702"/>
        <w:jc w:val="center"/>
      </w:pPr>
      <w:bookmarkStart w:name="Список литературы" w:id="94"/>
      <w:bookmarkEnd w:id="94"/>
      <w:r>
        <w:rPr>
          <w:b w:val="0"/>
        </w:rPr>
      </w:r>
      <w:bookmarkStart w:name="_bookmark46" w:id="95"/>
      <w:bookmarkEnd w:id="95"/>
      <w:r>
        <w:rPr>
          <w:b w:val="0"/>
        </w:rPr>
      </w:r>
      <w:r>
        <w:rPr/>
        <w:t>Список</w:t>
      </w:r>
      <w:r>
        <w:rPr>
          <w:spacing w:val="-2"/>
        </w:rPr>
        <w:t> литературы</w:t>
      </w:r>
    </w:p>
    <w:p>
      <w:pPr>
        <w:pStyle w:val="BodyText"/>
        <w:ind w:left="0"/>
        <w:rPr>
          <w:b/>
          <w:sz w:val="26"/>
        </w:rPr>
      </w:pPr>
    </w:p>
    <w:p>
      <w:pPr>
        <w:pStyle w:val="BodyText"/>
        <w:spacing w:before="10"/>
        <w:ind w:left="0"/>
        <w:rPr>
          <w:b/>
          <w:sz w:val="32"/>
        </w:rPr>
      </w:pPr>
    </w:p>
    <w:p>
      <w:pPr>
        <w:pStyle w:val="ListParagraph"/>
        <w:numPr>
          <w:ilvl w:val="0"/>
          <w:numId w:val="25"/>
        </w:numPr>
        <w:tabs>
          <w:tab w:pos="1982" w:val="left" w:leader="none"/>
        </w:tabs>
        <w:spacing w:line="360" w:lineRule="auto" w:before="0" w:after="0"/>
        <w:ind w:left="1981" w:right="1081" w:hanging="360"/>
        <w:jc w:val="left"/>
        <w:rPr>
          <w:sz w:val="24"/>
        </w:rPr>
      </w:pPr>
      <w:bookmarkStart w:name="_bookmark47" w:id="96"/>
      <w:bookmarkEnd w:id="96"/>
      <w:r>
        <w:rPr>
          <w:sz w:val="24"/>
        </w:rPr>
        <w:t>Ros</w:t>
      </w:r>
      <w:r>
        <w:rPr>
          <w:sz w:val="24"/>
        </w:rPr>
        <w:t>enberg</w:t>
      </w:r>
      <w:r>
        <w:rPr>
          <w:spacing w:val="-3"/>
          <w:sz w:val="24"/>
        </w:rPr>
        <w:t> </w:t>
      </w:r>
      <w:r>
        <w:rPr>
          <w:sz w:val="24"/>
        </w:rPr>
        <w:t>WM,</w:t>
      </w:r>
      <w:r>
        <w:rPr>
          <w:spacing w:val="-3"/>
          <w:sz w:val="24"/>
        </w:rPr>
        <w:t> </w:t>
      </w:r>
      <w:r>
        <w:rPr>
          <w:sz w:val="24"/>
        </w:rPr>
        <w:t>Gray</w:t>
      </w:r>
      <w:r>
        <w:rPr>
          <w:spacing w:val="-3"/>
          <w:sz w:val="24"/>
        </w:rPr>
        <w:t> </w:t>
      </w:r>
      <w:r>
        <w:rPr>
          <w:sz w:val="24"/>
        </w:rPr>
        <w:t>JA</w:t>
      </w:r>
      <w:r>
        <w:rPr>
          <w:spacing w:val="-2"/>
          <w:sz w:val="24"/>
        </w:rPr>
        <w:t> </w:t>
      </w:r>
      <w:r>
        <w:rPr>
          <w:sz w:val="24"/>
        </w:rPr>
        <w:t>et</w:t>
      </w:r>
      <w:r>
        <w:rPr>
          <w:spacing w:val="-3"/>
          <w:sz w:val="24"/>
        </w:rPr>
        <w:t> </w:t>
      </w:r>
      <w:r>
        <w:rPr>
          <w:sz w:val="24"/>
        </w:rPr>
        <w:t>al.</w:t>
      </w:r>
      <w:r>
        <w:rPr>
          <w:spacing w:val="-3"/>
          <w:sz w:val="24"/>
        </w:rPr>
        <w:t> </w:t>
      </w:r>
      <w:r>
        <w:rPr>
          <w:sz w:val="24"/>
        </w:rPr>
        <w:t>Evidence</w:t>
      </w:r>
      <w:r>
        <w:rPr>
          <w:spacing w:val="-4"/>
          <w:sz w:val="24"/>
        </w:rPr>
        <w:t> </w:t>
      </w:r>
      <w:r>
        <w:rPr>
          <w:sz w:val="24"/>
        </w:rPr>
        <w:t>based</w:t>
      </w:r>
      <w:r>
        <w:rPr>
          <w:spacing w:val="-3"/>
          <w:sz w:val="24"/>
        </w:rPr>
        <w:t> </w:t>
      </w:r>
      <w:r>
        <w:rPr>
          <w:sz w:val="24"/>
        </w:rPr>
        <w:t>medicine:</w:t>
      </w:r>
      <w:r>
        <w:rPr>
          <w:spacing w:val="-3"/>
          <w:sz w:val="24"/>
        </w:rPr>
        <w:t> </w:t>
      </w:r>
      <w:r>
        <w:rPr>
          <w:sz w:val="24"/>
        </w:rPr>
        <w:t>what</w:t>
      </w:r>
      <w:r>
        <w:rPr>
          <w:spacing w:val="-3"/>
          <w:sz w:val="24"/>
        </w:rPr>
        <w:t> </w:t>
      </w:r>
      <w:r>
        <w:rPr>
          <w:sz w:val="24"/>
        </w:rPr>
        <w:t>it</w:t>
      </w:r>
      <w:r>
        <w:rPr>
          <w:spacing w:val="-3"/>
          <w:sz w:val="24"/>
        </w:rPr>
        <w:t> </w:t>
      </w:r>
      <w:r>
        <w:rPr>
          <w:sz w:val="24"/>
        </w:rPr>
        <w:t>is</w:t>
      </w:r>
      <w:r>
        <w:rPr>
          <w:spacing w:val="-3"/>
          <w:sz w:val="24"/>
        </w:rPr>
        <w:t> </w:t>
      </w:r>
      <w:r>
        <w:rPr>
          <w:sz w:val="24"/>
        </w:rPr>
        <w:t>and</w:t>
      </w:r>
      <w:r>
        <w:rPr>
          <w:spacing w:val="-3"/>
          <w:sz w:val="24"/>
        </w:rPr>
        <w:t> </w:t>
      </w:r>
      <w:r>
        <w:rPr>
          <w:sz w:val="24"/>
        </w:rPr>
        <w:t>what</w:t>
      </w:r>
      <w:r>
        <w:rPr>
          <w:spacing w:val="-3"/>
          <w:sz w:val="24"/>
        </w:rPr>
        <w:t> </w:t>
      </w:r>
      <w:r>
        <w:rPr>
          <w:sz w:val="24"/>
        </w:rPr>
        <w:t>it</w:t>
      </w:r>
      <w:r>
        <w:rPr>
          <w:spacing w:val="-3"/>
          <w:sz w:val="24"/>
        </w:rPr>
        <w:t> </w:t>
      </w:r>
      <w:r>
        <w:rPr>
          <w:sz w:val="24"/>
        </w:rPr>
        <w:t>isn't. BMJ 1996, January; 312 (7023): 71–72.</w:t>
      </w:r>
    </w:p>
    <w:p>
      <w:pPr>
        <w:pStyle w:val="ListParagraph"/>
        <w:numPr>
          <w:ilvl w:val="0"/>
          <w:numId w:val="25"/>
        </w:numPr>
        <w:tabs>
          <w:tab w:pos="1982" w:val="left" w:leader="none"/>
        </w:tabs>
        <w:spacing w:line="360" w:lineRule="auto" w:before="0" w:after="0"/>
        <w:ind w:left="1981" w:right="1251" w:hanging="360"/>
        <w:jc w:val="left"/>
        <w:rPr>
          <w:sz w:val="24"/>
        </w:rPr>
      </w:pPr>
      <w:bookmarkStart w:name="_bookmark48" w:id="97"/>
      <w:bookmarkEnd w:id="97"/>
      <w:r>
        <w:rPr>
          <w:sz w:val="24"/>
        </w:rPr>
        <w:t>Ф</w:t>
      </w:r>
      <w:r>
        <w:rPr>
          <w:sz w:val="24"/>
        </w:rPr>
        <w:t>едеральный</w:t>
      </w:r>
      <w:r>
        <w:rPr>
          <w:spacing w:val="-3"/>
          <w:sz w:val="24"/>
        </w:rPr>
        <w:t> </w:t>
      </w:r>
      <w:r>
        <w:rPr>
          <w:sz w:val="24"/>
        </w:rPr>
        <w:t>закон</w:t>
      </w:r>
      <w:r>
        <w:rPr>
          <w:spacing w:val="-3"/>
          <w:sz w:val="24"/>
        </w:rPr>
        <w:t> </w:t>
      </w:r>
      <w:r>
        <w:rPr>
          <w:sz w:val="24"/>
        </w:rPr>
        <w:t>от</w:t>
      </w:r>
      <w:r>
        <w:rPr>
          <w:spacing w:val="-6"/>
          <w:sz w:val="24"/>
        </w:rPr>
        <w:t> </w:t>
      </w:r>
      <w:r>
        <w:rPr>
          <w:sz w:val="24"/>
        </w:rPr>
        <w:t>21.11.2011</w:t>
      </w:r>
      <w:r>
        <w:rPr>
          <w:spacing w:val="-4"/>
          <w:sz w:val="24"/>
        </w:rPr>
        <w:t> </w:t>
      </w:r>
      <w:r>
        <w:rPr>
          <w:sz w:val="24"/>
        </w:rPr>
        <w:t>№</w:t>
      </w:r>
      <w:r>
        <w:rPr>
          <w:spacing w:val="-5"/>
          <w:sz w:val="24"/>
        </w:rPr>
        <w:t> </w:t>
      </w:r>
      <w:r>
        <w:rPr>
          <w:sz w:val="24"/>
        </w:rPr>
        <w:t>323-ФЗ</w:t>
      </w:r>
      <w:r>
        <w:rPr>
          <w:spacing w:val="-5"/>
          <w:sz w:val="24"/>
        </w:rPr>
        <w:t> </w:t>
      </w:r>
      <w:r>
        <w:rPr>
          <w:sz w:val="24"/>
        </w:rPr>
        <w:t>(ред.</w:t>
      </w:r>
      <w:r>
        <w:rPr>
          <w:spacing w:val="-4"/>
          <w:sz w:val="24"/>
        </w:rPr>
        <w:t> </w:t>
      </w:r>
      <w:r>
        <w:rPr>
          <w:sz w:val="24"/>
        </w:rPr>
        <w:t>от</w:t>
      </w:r>
      <w:r>
        <w:rPr>
          <w:spacing w:val="-4"/>
          <w:sz w:val="24"/>
        </w:rPr>
        <w:t> </w:t>
      </w:r>
      <w:r>
        <w:rPr>
          <w:sz w:val="24"/>
        </w:rPr>
        <w:t>03.04.2017)</w:t>
      </w:r>
      <w:r>
        <w:rPr>
          <w:spacing w:val="-5"/>
          <w:sz w:val="24"/>
        </w:rPr>
        <w:t> </w:t>
      </w:r>
      <w:r>
        <w:rPr>
          <w:sz w:val="24"/>
        </w:rPr>
        <w:t>«Об</w:t>
      </w:r>
      <w:r>
        <w:rPr>
          <w:spacing w:val="-4"/>
          <w:sz w:val="24"/>
        </w:rPr>
        <w:t> </w:t>
      </w:r>
      <w:r>
        <w:rPr>
          <w:sz w:val="24"/>
        </w:rPr>
        <w:t>основах охраны здоровья граждан в Российской Федерации».</w:t>
      </w:r>
    </w:p>
    <w:p>
      <w:pPr>
        <w:pStyle w:val="ListParagraph"/>
        <w:numPr>
          <w:ilvl w:val="0"/>
          <w:numId w:val="25"/>
        </w:numPr>
        <w:tabs>
          <w:tab w:pos="1982" w:val="left" w:leader="none"/>
        </w:tabs>
        <w:spacing w:line="360" w:lineRule="auto" w:before="0" w:after="0"/>
        <w:ind w:left="1981" w:right="1683" w:hanging="360"/>
        <w:jc w:val="left"/>
        <w:rPr>
          <w:sz w:val="24"/>
        </w:rPr>
      </w:pPr>
      <w:bookmarkStart w:name="_bookmark49" w:id="98"/>
      <w:bookmarkEnd w:id="98"/>
      <w:r>
        <w:rPr>
          <w:sz w:val="24"/>
        </w:rPr>
        <w:t>Э</w:t>
      </w:r>
      <w:r>
        <w:rPr>
          <w:sz w:val="24"/>
        </w:rPr>
        <w:t>пидемиологический</w:t>
      </w:r>
      <w:r>
        <w:rPr>
          <w:spacing w:val="-3"/>
          <w:sz w:val="24"/>
        </w:rPr>
        <w:t> </w:t>
      </w:r>
      <w:r>
        <w:rPr>
          <w:sz w:val="24"/>
        </w:rPr>
        <w:t>словарь,</w:t>
      </w:r>
      <w:r>
        <w:rPr>
          <w:spacing w:val="-4"/>
          <w:sz w:val="24"/>
        </w:rPr>
        <w:t> </w:t>
      </w:r>
      <w:r>
        <w:rPr>
          <w:sz w:val="24"/>
        </w:rPr>
        <w:t>4-е</w:t>
      </w:r>
      <w:r>
        <w:rPr>
          <w:spacing w:val="-5"/>
          <w:sz w:val="24"/>
        </w:rPr>
        <w:t> </w:t>
      </w:r>
      <w:r>
        <w:rPr>
          <w:sz w:val="24"/>
        </w:rPr>
        <w:t>издание.</w:t>
      </w:r>
      <w:r>
        <w:rPr>
          <w:spacing w:val="-4"/>
          <w:sz w:val="24"/>
        </w:rPr>
        <w:t> </w:t>
      </w:r>
      <w:r>
        <w:rPr>
          <w:sz w:val="24"/>
        </w:rPr>
        <w:t>Под</w:t>
      </w:r>
      <w:r>
        <w:rPr>
          <w:spacing w:val="-4"/>
          <w:sz w:val="24"/>
        </w:rPr>
        <w:t> </w:t>
      </w:r>
      <w:r>
        <w:rPr>
          <w:sz w:val="24"/>
        </w:rPr>
        <w:t>ред.</w:t>
      </w:r>
      <w:r>
        <w:rPr>
          <w:spacing w:val="-4"/>
          <w:sz w:val="24"/>
        </w:rPr>
        <w:t> </w:t>
      </w:r>
      <w:r>
        <w:rPr>
          <w:sz w:val="24"/>
        </w:rPr>
        <w:t>Джона</w:t>
      </w:r>
      <w:r>
        <w:rPr>
          <w:spacing w:val="-5"/>
          <w:sz w:val="24"/>
        </w:rPr>
        <w:t> </w:t>
      </w:r>
      <w:r>
        <w:rPr>
          <w:sz w:val="24"/>
        </w:rPr>
        <w:t>М.</w:t>
      </w:r>
      <w:r>
        <w:rPr>
          <w:spacing w:val="-4"/>
          <w:sz w:val="24"/>
        </w:rPr>
        <w:t> </w:t>
      </w:r>
      <w:r>
        <w:rPr>
          <w:sz w:val="24"/>
        </w:rPr>
        <w:t>Ласта</w:t>
      </w:r>
      <w:r>
        <w:rPr>
          <w:spacing w:val="-3"/>
          <w:sz w:val="24"/>
        </w:rPr>
        <w:t> </w:t>
      </w:r>
      <w:r>
        <w:rPr>
          <w:sz w:val="24"/>
        </w:rPr>
        <w:t>для Международной эпидемиологической ассоциации. М, 2009. 316 с.</w:t>
      </w:r>
    </w:p>
    <w:p>
      <w:pPr>
        <w:pStyle w:val="ListParagraph"/>
        <w:numPr>
          <w:ilvl w:val="0"/>
          <w:numId w:val="25"/>
        </w:numPr>
        <w:tabs>
          <w:tab w:pos="1982" w:val="left" w:leader="none"/>
        </w:tabs>
        <w:spacing w:line="360" w:lineRule="auto" w:before="0" w:after="0"/>
        <w:ind w:left="1981" w:right="697" w:hanging="360"/>
        <w:jc w:val="left"/>
        <w:rPr>
          <w:sz w:val="24"/>
        </w:rPr>
      </w:pPr>
      <w:bookmarkStart w:name="_bookmark50" w:id="99"/>
      <w:bookmarkEnd w:id="99"/>
      <w:r>
        <w:rPr>
          <w:sz w:val="24"/>
        </w:rPr>
        <w:t>Ф</w:t>
      </w:r>
      <w:r>
        <w:rPr>
          <w:sz w:val="24"/>
        </w:rPr>
        <w:t>едеральное агентство по техническому регулированию и метрологии. Национальный</w:t>
      </w:r>
      <w:r>
        <w:rPr>
          <w:spacing w:val="-5"/>
          <w:sz w:val="24"/>
        </w:rPr>
        <w:t> </w:t>
      </w:r>
      <w:r>
        <w:rPr>
          <w:sz w:val="24"/>
        </w:rPr>
        <w:t>стандарт</w:t>
      </w:r>
      <w:r>
        <w:rPr>
          <w:spacing w:val="-6"/>
          <w:sz w:val="24"/>
        </w:rPr>
        <w:t> </w:t>
      </w:r>
      <w:r>
        <w:rPr>
          <w:sz w:val="24"/>
        </w:rPr>
        <w:t>Российской</w:t>
      </w:r>
      <w:r>
        <w:rPr>
          <w:spacing w:val="-5"/>
          <w:sz w:val="24"/>
        </w:rPr>
        <w:t> </w:t>
      </w:r>
      <w:r>
        <w:rPr>
          <w:sz w:val="24"/>
        </w:rPr>
        <w:t>Федерации.</w:t>
      </w:r>
      <w:r>
        <w:rPr>
          <w:spacing w:val="-6"/>
          <w:sz w:val="24"/>
        </w:rPr>
        <w:t> </w:t>
      </w:r>
      <w:r>
        <w:rPr>
          <w:sz w:val="24"/>
        </w:rPr>
        <w:t>ГОСТР</w:t>
      </w:r>
      <w:r>
        <w:rPr>
          <w:spacing w:val="-6"/>
          <w:sz w:val="24"/>
        </w:rPr>
        <w:t> </w:t>
      </w:r>
      <w:r>
        <w:rPr>
          <w:sz w:val="24"/>
        </w:rPr>
        <w:t>52379–2005.</w:t>
      </w:r>
      <w:r>
        <w:rPr>
          <w:spacing w:val="-9"/>
          <w:sz w:val="24"/>
        </w:rPr>
        <w:t> </w:t>
      </w:r>
      <w:r>
        <w:rPr>
          <w:sz w:val="24"/>
        </w:rPr>
        <w:t>Надлежащая клиническая практика. Москва, 2005.</w:t>
      </w:r>
    </w:p>
    <w:p>
      <w:pPr>
        <w:pStyle w:val="ListParagraph"/>
        <w:numPr>
          <w:ilvl w:val="0"/>
          <w:numId w:val="25"/>
        </w:numPr>
        <w:tabs>
          <w:tab w:pos="1982" w:val="left" w:leader="none"/>
        </w:tabs>
        <w:spacing w:line="360" w:lineRule="auto" w:before="0" w:after="0"/>
        <w:ind w:left="1981" w:right="1036" w:hanging="360"/>
        <w:jc w:val="left"/>
        <w:rPr>
          <w:sz w:val="24"/>
        </w:rPr>
      </w:pPr>
      <w:bookmarkStart w:name="_bookmark51" w:id="100"/>
      <w:bookmarkEnd w:id="100"/>
      <w:r>
        <w:rPr>
          <w:sz w:val="24"/>
        </w:rPr>
        <w:t>Ф</w:t>
      </w:r>
      <w:r>
        <w:rPr>
          <w:sz w:val="24"/>
        </w:rPr>
        <w:t>едеральный</w:t>
      </w:r>
      <w:r>
        <w:rPr>
          <w:spacing w:val="-2"/>
          <w:sz w:val="24"/>
        </w:rPr>
        <w:t> </w:t>
      </w:r>
      <w:r>
        <w:rPr>
          <w:sz w:val="24"/>
        </w:rPr>
        <w:t>закон</w:t>
      </w:r>
      <w:r>
        <w:rPr>
          <w:spacing w:val="-2"/>
          <w:sz w:val="24"/>
        </w:rPr>
        <w:t> </w:t>
      </w:r>
      <w:r>
        <w:rPr>
          <w:sz w:val="24"/>
        </w:rPr>
        <w:t>от</w:t>
      </w:r>
      <w:r>
        <w:rPr>
          <w:spacing w:val="-5"/>
          <w:sz w:val="24"/>
        </w:rPr>
        <w:t> </w:t>
      </w:r>
      <w:r>
        <w:rPr>
          <w:sz w:val="24"/>
        </w:rPr>
        <w:t>12.04.2010</w:t>
      </w:r>
      <w:r>
        <w:rPr>
          <w:spacing w:val="-3"/>
          <w:sz w:val="24"/>
        </w:rPr>
        <w:t> </w:t>
      </w:r>
      <w:r>
        <w:rPr>
          <w:sz w:val="24"/>
        </w:rPr>
        <w:t>№</w:t>
      </w:r>
      <w:r>
        <w:rPr>
          <w:spacing w:val="-4"/>
          <w:sz w:val="24"/>
        </w:rPr>
        <w:t> </w:t>
      </w:r>
      <w:r>
        <w:rPr>
          <w:sz w:val="24"/>
        </w:rPr>
        <w:t>61-ФЗ</w:t>
      </w:r>
      <w:r>
        <w:rPr>
          <w:spacing w:val="-4"/>
          <w:sz w:val="24"/>
        </w:rPr>
        <w:t> </w:t>
      </w:r>
      <w:r>
        <w:rPr>
          <w:sz w:val="24"/>
        </w:rPr>
        <w:t>(ред.</w:t>
      </w:r>
      <w:r>
        <w:rPr>
          <w:spacing w:val="-3"/>
          <w:sz w:val="24"/>
        </w:rPr>
        <w:t> </w:t>
      </w:r>
      <w:r>
        <w:rPr>
          <w:sz w:val="24"/>
        </w:rPr>
        <w:t>от</w:t>
      </w:r>
      <w:r>
        <w:rPr>
          <w:spacing w:val="-3"/>
          <w:sz w:val="24"/>
        </w:rPr>
        <w:t> </w:t>
      </w:r>
      <w:r>
        <w:rPr>
          <w:sz w:val="24"/>
        </w:rPr>
        <w:t>03.07.2016)</w:t>
      </w:r>
      <w:r>
        <w:rPr>
          <w:spacing w:val="-4"/>
          <w:sz w:val="24"/>
        </w:rPr>
        <w:t> </w:t>
      </w:r>
      <w:r>
        <w:rPr>
          <w:sz w:val="24"/>
        </w:rPr>
        <w:t>«Об</w:t>
      </w:r>
      <w:r>
        <w:rPr>
          <w:spacing w:val="-3"/>
          <w:sz w:val="24"/>
        </w:rPr>
        <w:t> </w:t>
      </w:r>
      <w:r>
        <w:rPr>
          <w:sz w:val="24"/>
        </w:rPr>
        <w:t>обращении лекарственных средств».</w:t>
      </w:r>
    </w:p>
    <w:p>
      <w:pPr>
        <w:pStyle w:val="ListParagraph"/>
        <w:numPr>
          <w:ilvl w:val="0"/>
          <w:numId w:val="25"/>
        </w:numPr>
        <w:tabs>
          <w:tab w:pos="1982" w:val="left" w:leader="none"/>
        </w:tabs>
        <w:spacing w:line="360" w:lineRule="auto" w:before="0" w:after="0"/>
        <w:ind w:left="1981" w:right="836" w:hanging="360"/>
        <w:jc w:val="left"/>
        <w:rPr>
          <w:sz w:val="24"/>
        </w:rPr>
      </w:pPr>
      <w:bookmarkStart w:name="_bookmark52" w:id="101"/>
      <w:bookmarkEnd w:id="101"/>
      <w:r>
        <w:rPr>
          <w:sz w:val="24"/>
        </w:rPr>
        <w:t>М</w:t>
      </w:r>
      <w:r>
        <w:rPr>
          <w:sz w:val="24"/>
        </w:rPr>
        <w:t>алая</w:t>
      </w:r>
      <w:r>
        <w:rPr>
          <w:spacing w:val="-5"/>
          <w:sz w:val="24"/>
        </w:rPr>
        <w:t> </w:t>
      </w:r>
      <w:r>
        <w:rPr>
          <w:sz w:val="24"/>
        </w:rPr>
        <w:t>медицинская</w:t>
      </w:r>
      <w:r>
        <w:rPr>
          <w:spacing w:val="-5"/>
          <w:sz w:val="24"/>
        </w:rPr>
        <w:t> </w:t>
      </w:r>
      <w:r>
        <w:rPr>
          <w:sz w:val="24"/>
        </w:rPr>
        <w:t>энциклопедия.</w:t>
      </w:r>
      <w:r>
        <w:rPr>
          <w:spacing w:val="-5"/>
          <w:sz w:val="24"/>
        </w:rPr>
        <w:t> </w:t>
      </w:r>
      <w:r>
        <w:rPr>
          <w:sz w:val="24"/>
        </w:rPr>
        <w:t>М.:</w:t>
      </w:r>
      <w:r>
        <w:rPr>
          <w:spacing w:val="-7"/>
          <w:sz w:val="24"/>
        </w:rPr>
        <w:t> </w:t>
      </w:r>
      <w:r>
        <w:rPr>
          <w:sz w:val="24"/>
        </w:rPr>
        <w:t>Медицинская</w:t>
      </w:r>
      <w:r>
        <w:rPr>
          <w:spacing w:val="-5"/>
          <w:sz w:val="24"/>
        </w:rPr>
        <w:t> </w:t>
      </w:r>
      <w:r>
        <w:rPr>
          <w:sz w:val="24"/>
        </w:rPr>
        <w:t>энциклопедия,</w:t>
      </w:r>
      <w:r>
        <w:rPr>
          <w:spacing w:val="-5"/>
          <w:sz w:val="24"/>
        </w:rPr>
        <w:t> </w:t>
      </w:r>
      <w:r>
        <w:rPr>
          <w:sz w:val="24"/>
        </w:rPr>
        <w:t>1991—96</w:t>
      </w:r>
      <w:r>
        <w:rPr>
          <w:spacing w:val="-5"/>
          <w:sz w:val="24"/>
        </w:rPr>
        <w:t> </w:t>
      </w:r>
      <w:r>
        <w:rPr>
          <w:sz w:val="24"/>
        </w:rPr>
        <w:t>гг. [Электронный ресурс]. Режим доступа: </w:t>
      </w:r>
      <w:hyperlink r:id="rId6">
        <w:r>
          <w:rPr>
            <w:spacing w:val="-2"/>
            <w:sz w:val="24"/>
          </w:rPr>
          <w:t>http://dic.academic.ru/dic.nsf/enc_medicine/28878/Синдром.</w:t>
        </w:r>
      </w:hyperlink>
    </w:p>
    <w:p>
      <w:pPr>
        <w:pStyle w:val="ListParagraph"/>
        <w:numPr>
          <w:ilvl w:val="0"/>
          <w:numId w:val="25"/>
        </w:numPr>
        <w:tabs>
          <w:tab w:pos="1982" w:val="left" w:leader="none"/>
        </w:tabs>
        <w:spacing w:line="360" w:lineRule="auto" w:before="0" w:after="0"/>
        <w:ind w:left="1981" w:right="739" w:hanging="360"/>
        <w:jc w:val="left"/>
        <w:rPr>
          <w:sz w:val="24"/>
        </w:rPr>
      </w:pPr>
      <w:bookmarkStart w:name="_bookmark53" w:id="102"/>
      <w:bookmarkEnd w:id="102"/>
      <w:r>
        <w:rPr>
          <w:sz w:val="24"/>
        </w:rPr>
        <w:t>A</w:t>
      </w:r>
      <w:r>
        <w:rPr>
          <w:sz w:val="24"/>
        </w:rPr>
        <w:t>ndreeva</w:t>
      </w:r>
      <w:r>
        <w:rPr>
          <w:spacing w:val="-4"/>
          <w:sz w:val="24"/>
        </w:rPr>
        <w:t> </w:t>
      </w:r>
      <w:r>
        <w:rPr>
          <w:sz w:val="24"/>
        </w:rPr>
        <w:t>N.S.,</w:t>
      </w:r>
      <w:r>
        <w:rPr>
          <w:spacing w:val="-3"/>
          <w:sz w:val="24"/>
        </w:rPr>
        <w:t> </w:t>
      </w:r>
      <w:r>
        <w:rPr>
          <w:sz w:val="24"/>
        </w:rPr>
        <w:t>Rebrova</w:t>
      </w:r>
      <w:r>
        <w:rPr>
          <w:spacing w:val="-2"/>
          <w:sz w:val="24"/>
        </w:rPr>
        <w:t> </w:t>
      </w:r>
      <w:r>
        <w:rPr>
          <w:sz w:val="24"/>
        </w:rPr>
        <w:t>O.Yu.,</w:t>
      </w:r>
      <w:r>
        <w:rPr>
          <w:spacing w:val="-3"/>
          <w:sz w:val="24"/>
        </w:rPr>
        <w:t> </w:t>
      </w:r>
      <w:r>
        <w:rPr>
          <w:sz w:val="24"/>
        </w:rPr>
        <w:t>Zorin</w:t>
      </w:r>
      <w:r>
        <w:rPr>
          <w:spacing w:val="-3"/>
          <w:sz w:val="24"/>
        </w:rPr>
        <w:t> </w:t>
      </w:r>
      <w:r>
        <w:rPr>
          <w:sz w:val="24"/>
        </w:rPr>
        <w:t>N.A.</w:t>
      </w:r>
      <w:r>
        <w:rPr>
          <w:spacing w:val="-3"/>
          <w:sz w:val="24"/>
        </w:rPr>
        <w:t> </w:t>
      </w:r>
      <w:r>
        <w:rPr>
          <w:sz w:val="24"/>
        </w:rPr>
        <w:t>et</w:t>
      </w:r>
      <w:r>
        <w:rPr>
          <w:spacing w:val="-1"/>
          <w:sz w:val="24"/>
        </w:rPr>
        <w:t> </w:t>
      </w:r>
      <w:r>
        <w:rPr>
          <w:sz w:val="24"/>
        </w:rPr>
        <w:t>al.</w:t>
      </w:r>
      <w:r>
        <w:rPr>
          <w:spacing w:val="-3"/>
          <w:sz w:val="24"/>
        </w:rPr>
        <w:t> </w:t>
      </w:r>
      <w:r>
        <w:rPr>
          <w:sz w:val="24"/>
        </w:rPr>
        <w:t>Systems</w:t>
      </w:r>
      <w:r>
        <w:rPr>
          <w:spacing w:val="-3"/>
          <w:sz w:val="24"/>
        </w:rPr>
        <w:t> </w:t>
      </w:r>
      <w:r>
        <w:rPr>
          <w:sz w:val="24"/>
        </w:rPr>
        <w:t>for</w:t>
      </w:r>
      <w:r>
        <w:rPr>
          <w:spacing w:val="-4"/>
          <w:sz w:val="24"/>
        </w:rPr>
        <w:t> </w:t>
      </w:r>
      <w:r>
        <w:rPr>
          <w:sz w:val="24"/>
        </w:rPr>
        <w:t>assessing</w:t>
      </w:r>
      <w:r>
        <w:rPr>
          <w:spacing w:val="-3"/>
          <w:sz w:val="24"/>
        </w:rPr>
        <w:t> </w:t>
      </w:r>
      <w:r>
        <w:rPr>
          <w:sz w:val="24"/>
        </w:rPr>
        <w:t>the</w:t>
      </w:r>
      <w:r>
        <w:rPr>
          <w:spacing w:val="-4"/>
          <w:sz w:val="24"/>
        </w:rPr>
        <w:t> </w:t>
      </w:r>
      <w:r>
        <w:rPr>
          <w:sz w:val="24"/>
        </w:rPr>
        <w:t>reliability</w:t>
      </w:r>
      <w:r>
        <w:rPr>
          <w:spacing w:val="-3"/>
          <w:sz w:val="24"/>
        </w:rPr>
        <w:t> </w:t>
      </w:r>
      <w:r>
        <w:rPr>
          <w:sz w:val="24"/>
        </w:rPr>
        <w:t>of scietntifc evidence and the soundness of guidelines: comparison and prospects for unification. Medical technologies. Assessment and choice. 2012; 4:10-24.</w:t>
      </w:r>
    </w:p>
    <w:p>
      <w:pPr>
        <w:pStyle w:val="BodyText"/>
        <w:spacing w:line="360" w:lineRule="auto"/>
        <w:ind w:right="571"/>
      </w:pPr>
      <w:r>
        <w:rPr/>
        <w:t>Андреева Н. С, Реброва О. Ю, Зорин Н. А. и др. Системы оценки достоверности научных доказательств и убедительности рекомендаций: сравнительная характеристика</w:t>
      </w:r>
      <w:r>
        <w:rPr>
          <w:spacing w:val="-5"/>
        </w:rPr>
        <w:t> </w:t>
      </w:r>
      <w:r>
        <w:rPr/>
        <w:t>и</w:t>
      </w:r>
      <w:r>
        <w:rPr>
          <w:spacing w:val="-3"/>
        </w:rPr>
        <w:t> </w:t>
      </w:r>
      <w:r>
        <w:rPr/>
        <w:t>перспективы</w:t>
      </w:r>
      <w:r>
        <w:rPr>
          <w:spacing w:val="-5"/>
        </w:rPr>
        <w:t> </w:t>
      </w:r>
      <w:r>
        <w:rPr/>
        <w:t>унификации.</w:t>
      </w:r>
      <w:r>
        <w:rPr>
          <w:spacing w:val="-7"/>
        </w:rPr>
        <w:t> </w:t>
      </w:r>
      <w:r>
        <w:rPr/>
        <w:t>Медицинские</w:t>
      </w:r>
      <w:r>
        <w:rPr>
          <w:spacing w:val="-6"/>
        </w:rPr>
        <w:t> </w:t>
      </w:r>
      <w:r>
        <w:rPr/>
        <w:t>технологии.</w:t>
      </w:r>
      <w:r>
        <w:rPr>
          <w:spacing w:val="-4"/>
        </w:rPr>
        <w:t> </w:t>
      </w:r>
      <w:r>
        <w:rPr/>
        <w:t>Оценка</w:t>
      </w:r>
      <w:r>
        <w:rPr>
          <w:spacing w:val="-5"/>
        </w:rPr>
        <w:t> </w:t>
      </w:r>
      <w:r>
        <w:rPr/>
        <w:t>и выбор. 2012. №. 4. С. 10–24.</w:t>
      </w:r>
    </w:p>
    <w:p>
      <w:pPr>
        <w:pStyle w:val="ListParagraph"/>
        <w:numPr>
          <w:ilvl w:val="0"/>
          <w:numId w:val="25"/>
        </w:numPr>
        <w:tabs>
          <w:tab w:pos="1982" w:val="left" w:leader="none"/>
        </w:tabs>
        <w:spacing w:line="360" w:lineRule="auto" w:before="0" w:after="0"/>
        <w:ind w:left="1981" w:right="639" w:hanging="360"/>
        <w:jc w:val="left"/>
        <w:rPr>
          <w:sz w:val="24"/>
        </w:rPr>
      </w:pPr>
      <w:bookmarkStart w:name="_bookmark54" w:id="103"/>
      <w:bookmarkEnd w:id="103"/>
      <w:r>
        <w:rPr>
          <w:sz w:val="24"/>
        </w:rPr>
        <w:t>K</w:t>
      </w:r>
      <w:r>
        <w:rPr>
          <w:sz w:val="24"/>
        </w:rPr>
        <w:t>ukharchuk</w:t>
      </w:r>
      <w:r>
        <w:rPr>
          <w:spacing w:val="-2"/>
          <w:sz w:val="24"/>
        </w:rPr>
        <w:t> </w:t>
      </w:r>
      <w:r>
        <w:rPr>
          <w:sz w:val="24"/>
        </w:rPr>
        <w:t>V.V.</w:t>
      </w:r>
      <w:r>
        <w:rPr>
          <w:spacing w:val="-4"/>
          <w:sz w:val="24"/>
        </w:rPr>
        <w:t> </w:t>
      </w:r>
      <w:r>
        <w:rPr>
          <w:sz w:val="24"/>
        </w:rPr>
        <w:t>et</w:t>
      </w:r>
      <w:r>
        <w:rPr>
          <w:spacing w:val="-4"/>
          <w:sz w:val="24"/>
        </w:rPr>
        <w:t> </w:t>
      </w:r>
      <w:r>
        <w:rPr>
          <w:sz w:val="24"/>
        </w:rPr>
        <w:t>al.</w:t>
      </w:r>
      <w:r>
        <w:rPr>
          <w:spacing w:val="-2"/>
          <w:sz w:val="24"/>
        </w:rPr>
        <w:t> </w:t>
      </w:r>
      <w:r>
        <w:rPr>
          <w:sz w:val="24"/>
        </w:rPr>
        <w:t>Diagnostics</w:t>
      </w:r>
      <w:r>
        <w:rPr>
          <w:spacing w:val="-4"/>
          <w:sz w:val="24"/>
        </w:rPr>
        <w:t> </w:t>
      </w:r>
      <w:r>
        <w:rPr>
          <w:sz w:val="24"/>
        </w:rPr>
        <w:t>and</w:t>
      </w:r>
      <w:r>
        <w:rPr>
          <w:spacing w:val="-4"/>
          <w:sz w:val="24"/>
        </w:rPr>
        <w:t> </w:t>
      </w:r>
      <w:r>
        <w:rPr>
          <w:sz w:val="24"/>
        </w:rPr>
        <w:t>correction</w:t>
      </w:r>
      <w:r>
        <w:rPr>
          <w:spacing w:val="-4"/>
          <w:sz w:val="24"/>
        </w:rPr>
        <w:t> </w:t>
      </w:r>
      <w:r>
        <w:rPr>
          <w:sz w:val="24"/>
        </w:rPr>
        <w:t>of</w:t>
      </w:r>
      <w:r>
        <w:rPr>
          <w:spacing w:val="-5"/>
          <w:sz w:val="24"/>
        </w:rPr>
        <w:t> </w:t>
      </w:r>
      <w:r>
        <w:rPr>
          <w:sz w:val="24"/>
        </w:rPr>
        <w:t>lipid</w:t>
      </w:r>
      <w:r>
        <w:rPr>
          <w:spacing w:val="-4"/>
          <w:sz w:val="24"/>
        </w:rPr>
        <w:t> </w:t>
      </w:r>
      <w:r>
        <w:rPr>
          <w:sz w:val="24"/>
        </w:rPr>
        <w:t>metabolism</w:t>
      </w:r>
      <w:r>
        <w:rPr>
          <w:spacing w:val="-4"/>
          <w:sz w:val="24"/>
        </w:rPr>
        <w:t> </w:t>
      </w:r>
      <w:r>
        <w:rPr>
          <w:sz w:val="24"/>
        </w:rPr>
        <w:t>disorders</w:t>
      </w:r>
      <w:r>
        <w:rPr>
          <w:spacing w:val="-4"/>
          <w:sz w:val="24"/>
        </w:rPr>
        <w:t> </w:t>
      </w:r>
      <w:r>
        <w:rPr>
          <w:sz w:val="24"/>
        </w:rPr>
        <w:t>in</w:t>
      </w:r>
      <w:r>
        <w:rPr>
          <w:spacing w:val="-4"/>
          <w:sz w:val="24"/>
        </w:rPr>
        <w:t> </w:t>
      </w:r>
      <w:r>
        <w:rPr>
          <w:sz w:val="24"/>
        </w:rPr>
        <w:t>order to prevent and treat of atherosclerosis Russian recommendations VII revision. Atherosclerosis and dyslipidemias. 2020; 11; 1 (38).</w:t>
      </w:r>
    </w:p>
    <w:p>
      <w:pPr>
        <w:pStyle w:val="BodyText"/>
        <w:spacing w:line="360" w:lineRule="auto"/>
        <w:ind w:right="571"/>
      </w:pPr>
      <w:r>
        <w:rPr/>
        <w:t>Кухарчук</w:t>
      </w:r>
      <w:r>
        <w:rPr>
          <w:spacing w:val="-3"/>
        </w:rPr>
        <w:t> </w:t>
      </w:r>
      <w:r>
        <w:rPr/>
        <w:t>В.</w:t>
      </w:r>
      <w:r>
        <w:rPr>
          <w:spacing w:val="-3"/>
        </w:rPr>
        <w:t> </w:t>
      </w:r>
      <w:r>
        <w:rPr/>
        <w:t>В.</w:t>
      </w:r>
      <w:r>
        <w:rPr>
          <w:spacing w:val="-3"/>
        </w:rPr>
        <w:t> </w:t>
      </w:r>
      <w:r>
        <w:rPr/>
        <w:t>и</w:t>
      </w:r>
      <w:r>
        <w:rPr>
          <w:spacing w:val="-2"/>
        </w:rPr>
        <w:t> </w:t>
      </w:r>
      <w:r>
        <w:rPr/>
        <w:t>др.</w:t>
      </w:r>
      <w:r>
        <w:rPr>
          <w:spacing w:val="-3"/>
        </w:rPr>
        <w:t> </w:t>
      </w:r>
      <w:r>
        <w:rPr/>
        <w:t>Диагностика</w:t>
      </w:r>
      <w:r>
        <w:rPr>
          <w:spacing w:val="-4"/>
        </w:rPr>
        <w:t> </w:t>
      </w:r>
      <w:r>
        <w:rPr/>
        <w:t>и</w:t>
      </w:r>
      <w:r>
        <w:rPr>
          <w:spacing w:val="-2"/>
        </w:rPr>
        <w:t> </w:t>
      </w:r>
      <w:r>
        <w:rPr/>
        <w:t>коррекция</w:t>
      </w:r>
      <w:r>
        <w:rPr>
          <w:spacing w:val="-6"/>
        </w:rPr>
        <w:t> </w:t>
      </w:r>
      <w:r>
        <w:rPr/>
        <w:t>нарушений</w:t>
      </w:r>
      <w:r>
        <w:rPr>
          <w:spacing w:val="-2"/>
        </w:rPr>
        <w:t> </w:t>
      </w:r>
      <w:r>
        <w:rPr/>
        <w:t>липидного</w:t>
      </w:r>
      <w:r>
        <w:rPr>
          <w:spacing w:val="-6"/>
        </w:rPr>
        <w:t> </w:t>
      </w:r>
      <w:r>
        <w:rPr/>
        <w:t>обмена</w:t>
      </w:r>
      <w:r>
        <w:rPr>
          <w:spacing w:val="-4"/>
        </w:rPr>
        <w:t> </w:t>
      </w:r>
      <w:r>
        <w:rPr/>
        <w:t>с целью профилактики и лечения атеросклероза. Российские рекомендации, VII пересмотр //Атеросклероз и дислипидемии. 2020. Т. 11. №. 1 (38).</w:t>
      </w:r>
    </w:p>
    <w:p>
      <w:pPr>
        <w:pStyle w:val="ListParagraph"/>
        <w:numPr>
          <w:ilvl w:val="0"/>
          <w:numId w:val="25"/>
        </w:numPr>
        <w:tabs>
          <w:tab w:pos="1982" w:val="left" w:leader="none"/>
        </w:tabs>
        <w:spacing w:line="360" w:lineRule="auto" w:before="0" w:after="0"/>
        <w:ind w:left="1981" w:right="760" w:hanging="360"/>
        <w:jc w:val="left"/>
        <w:rPr>
          <w:sz w:val="24"/>
        </w:rPr>
      </w:pPr>
      <w:bookmarkStart w:name="_bookmark55" w:id="104"/>
      <w:bookmarkEnd w:id="104"/>
      <w:r>
        <w:rPr>
          <w:sz w:val="24"/>
        </w:rPr>
        <w:t>N</w:t>
      </w:r>
      <w:r>
        <w:rPr>
          <w:sz w:val="24"/>
        </w:rPr>
        <w:t>ordestgaard BG et al. Familial hypercholesterolaemia is underdiagnosed and undertreated</w:t>
      </w:r>
      <w:r>
        <w:rPr>
          <w:spacing w:val="-4"/>
          <w:sz w:val="24"/>
        </w:rPr>
        <w:t> </w:t>
      </w:r>
      <w:r>
        <w:rPr>
          <w:sz w:val="24"/>
        </w:rPr>
        <w:t>in</w:t>
      </w:r>
      <w:r>
        <w:rPr>
          <w:spacing w:val="-4"/>
          <w:sz w:val="24"/>
        </w:rPr>
        <w:t> </w:t>
      </w:r>
      <w:r>
        <w:rPr>
          <w:sz w:val="24"/>
        </w:rPr>
        <w:t>the</w:t>
      </w:r>
      <w:r>
        <w:rPr>
          <w:spacing w:val="-4"/>
          <w:sz w:val="24"/>
        </w:rPr>
        <w:t> </w:t>
      </w:r>
      <w:r>
        <w:rPr>
          <w:sz w:val="24"/>
        </w:rPr>
        <w:t>general</w:t>
      </w:r>
      <w:r>
        <w:rPr>
          <w:spacing w:val="-4"/>
          <w:sz w:val="24"/>
        </w:rPr>
        <w:t> </w:t>
      </w:r>
      <w:r>
        <w:rPr>
          <w:sz w:val="24"/>
        </w:rPr>
        <w:t>population:</w:t>
      </w:r>
      <w:r>
        <w:rPr>
          <w:spacing w:val="-4"/>
          <w:sz w:val="24"/>
        </w:rPr>
        <w:t> </w:t>
      </w:r>
      <w:r>
        <w:rPr>
          <w:sz w:val="24"/>
        </w:rPr>
        <w:t>guidance</w:t>
      </w:r>
      <w:r>
        <w:rPr>
          <w:spacing w:val="-4"/>
          <w:sz w:val="24"/>
        </w:rPr>
        <w:t> </w:t>
      </w:r>
      <w:r>
        <w:rPr>
          <w:sz w:val="24"/>
        </w:rPr>
        <w:t>for</w:t>
      </w:r>
      <w:r>
        <w:rPr>
          <w:spacing w:val="-4"/>
          <w:sz w:val="24"/>
        </w:rPr>
        <w:t> </w:t>
      </w:r>
      <w:r>
        <w:rPr>
          <w:sz w:val="24"/>
        </w:rPr>
        <w:t>clinicians</w:t>
      </w:r>
      <w:r>
        <w:rPr>
          <w:spacing w:val="-4"/>
          <w:sz w:val="24"/>
        </w:rPr>
        <w:t> </w:t>
      </w:r>
      <w:r>
        <w:rPr>
          <w:sz w:val="24"/>
        </w:rPr>
        <w:t>to</w:t>
      </w:r>
      <w:r>
        <w:rPr>
          <w:spacing w:val="-4"/>
          <w:sz w:val="24"/>
        </w:rPr>
        <w:t> </w:t>
      </w:r>
      <w:r>
        <w:rPr>
          <w:sz w:val="24"/>
        </w:rPr>
        <w:t>prevent</w:t>
      </w:r>
      <w:r>
        <w:rPr>
          <w:spacing w:val="-2"/>
          <w:sz w:val="24"/>
        </w:rPr>
        <w:t> </w:t>
      </w:r>
      <w:r>
        <w:rPr>
          <w:sz w:val="24"/>
        </w:rPr>
        <w:t>coronary</w:t>
      </w:r>
      <w:r>
        <w:rPr>
          <w:spacing w:val="-4"/>
          <w:sz w:val="24"/>
        </w:rPr>
        <w:t> </w:t>
      </w:r>
      <w:r>
        <w:rPr>
          <w:sz w:val="24"/>
        </w:rPr>
        <w:t>heart disease: consensus statement of</w:t>
      </w:r>
      <w:r>
        <w:rPr>
          <w:spacing w:val="-1"/>
          <w:sz w:val="24"/>
        </w:rPr>
        <w:t> </w:t>
      </w:r>
      <w:r>
        <w:rPr>
          <w:sz w:val="24"/>
        </w:rPr>
        <w:t>the</w:t>
      </w:r>
      <w:r>
        <w:rPr>
          <w:spacing w:val="-1"/>
          <w:sz w:val="24"/>
        </w:rPr>
        <w:t> </w:t>
      </w:r>
      <w:r>
        <w:rPr>
          <w:sz w:val="24"/>
        </w:rPr>
        <w:t>European Atherosclerosis Society. //European heart journal. 2013. Vol. 34. №. 45. P. 3478–3490.</w:t>
      </w:r>
    </w:p>
    <w:p>
      <w:pPr>
        <w:pStyle w:val="ListParagraph"/>
        <w:numPr>
          <w:ilvl w:val="0"/>
          <w:numId w:val="25"/>
        </w:numPr>
        <w:tabs>
          <w:tab w:pos="1982" w:val="left" w:leader="none"/>
        </w:tabs>
        <w:spacing w:line="360" w:lineRule="auto" w:before="0" w:after="0"/>
        <w:ind w:left="1981" w:right="1047" w:hanging="360"/>
        <w:jc w:val="left"/>
        <w:rPr>
          <w:sz w:val="24"/>
        </w:rPr>
      </w:pPr>
      <w:bookmarkStart w:name="_bookmark56" w:id="105"/>
      <w:bookmarkEnd w:id="105"/>
      <w:r>
        <w:rPr>
          <w:sz w:val="24"/>
        </w:rPr>
        <w:t>Y</w:t>
      </w:r>
      <w:r>
        <w:rPr>
          <w:sz w:val="24"/>
        </w:rPr>
        <w:t>ao Z. Human apolipoprotein C-III — a new intrahepatic protein factor promoting assembly</w:t>
      </w:r>
      <w:r>
        <w:rPr>
          <w:spacing w:val="-3"/>
          <w:sz w:val="24"/>
        </w:rPr>
        <w:t> </w:t>
      </w:r>
      <w:r>
        <w:rPr>
          <w:sz w:val="24"/>
        </w:rPr>
        <w:t>and</w:t>
      </w:r>
      <w:r>
        <w:rPr>
          <w:spacing w:val="-3"/>
          <w:sz w:val="24"/>
        </w:rPr>
        <w:t> </w:t>
      </w:r>
      <w:r>
        <w:rPr>
          <w:sz w:val="24"/>
        </w:rPr>
        <w:t>secretion</w:t>
      </w:r>
      <w:r>
        <w:rPr>
          <w:spacing w:val="-3"/>
          <w:sz w:val="24"/>
        </w:rPr>
        <w:t> </w:t>
      </w:r>
      <w:r>
        <w:rPr>
          <w:sz w:val="24"/>
        </w:rPr>
        <w:t>of</w:t>
      </w:r>
      <w:r>
        <w:rPr>
          <w:spacing w:val="-4"/>
          <w:sz w:val="24"/>
        </w:rPr>
        <w:t> </w:t>
      </w:r>
      <w:r>
        <w:rPr>
          <w:sz w:val="24"/>
        </w:rPr>
        <w:t>very</w:t>
      </w:r>
      <w:r>
        <w:rPr>
          <w:spacing w:val="-3"/>
          <w:sz w:val="24"/>
        </w:rPr>
        <w:t> </w:t>
      </w:r>
      <w:r>
        <w:rPr>
          <w:sz w:val="24"/>
        </w:rPr>
        <w:t>low</w:t>
      </w:r>
      <w:r>
        <w:rPr>
          <w:spacing w:val="-4"/>
          <w:sz w:val="24"/>
        </w:rPr>
        <w:t> </w:t>
      </w:r>
      <w:r>
        <w:rPr>
          <w:sz w:val="24"/>
        </w:rPr>
        <w:t>density</w:t>
      </w:r>
      <w:r>
        <w:rPr>
          <w:spacing w:val="-3"/>
          <w:sz w:val="24"/>
        </w:rPr>
        <w:t> </w:t>
      </w:r>
      <w:r>
        <w:rPr>
          <w:sz w:val="24"/>
        </w:rPr>
        <w:t>lipoproteins.</w:t>
      </w:r>
      <w:r>
        <w:rPr>
          <w:spacing w:val="-3"/>
          <w:sz w:val="24"/>
        </w:rPr>
        <w:t> </w:t>
      </w:r>
      <w:r>
        <w:rPr>
          <w:sz w:val="24"/>
        </w:rPr>
        <w:t>Cardiovasc</w:t>
      </w:r>
      <w:r>
        <w:rPr>
          <w:spacing w:val="-4"/>
          <w:sz w:val="24"/>
        </w:rPr>
        <w:t> </w:t>
      </w:r>
      <w:r>
        <w:rPr>
          <w:sz w:val="24"/>
        </w:rPr>
        <w:t>Hematol</w:t>
      </w:r>
      <w:r>
        <w:rPr>
          <w:spacing w:val="-3"/>
          <w:sz w:val="24"/>
        </w:rPr>
        <w:t> </w:t>
      </w:r>
      <w:r>
        <w:rPr>
          <w:sz w:val="24"/>
        </w:rPr>
        <w:t>Disord</w:t>
      </w:r>
    </w:p>
    <w:p>
      <w:pPr>
        <w:spacing w:after="0" w:line="360" w:lineRule="auto"/>
        <w:jc w:val="left"/>
        <w:rPr>
          <w:sz w:val="24"/>
        </w:rPr>
        <w:sectPr>
          <w:pgSz w:w="11910" w:h="16840"/>
          <w:pgMar w:header="0" w:footer="710" w:top="1040" w:bottom="900" w:left="440" w:right="280"/>
        </w:sectPr>
      </w:pPr>
    </w:p>
    <w:p>
      <w:pPr>
        <w:pStyle w:val="BodyText"/>
        <w:spacing w:before="73"/>
      </w:pPr>
      <w:r>
        <w:rPr/>
        <w:t>Drug</w:t>
      </w:r>
      <w:r>
        <w:rPr>
          <w:spacing w:val="-2"/>
        </w:rPr>
        <w:t> </w:t>
      </w:r>
      <w:r>
        <w:rPr/>
        <w:t>Targets.</w:t>
      </w:r>
      <w:r>
        <w:rPr>
          <w:spacing w:val="-2"/>
        </w:rPr>
        <w:t> 2012;12(2):133–140.</w:t>
      </w:r>
    </w:p>
    <w:p>
      <w:pPr>
        <w:pStyle w:val="ListParagraph"/>
        <w:numPr>
          <w:ilvl w:val="0"/>
          <w:numId w:val="25"/>
        </w:numPr>
        <w:tabs>
          <w:tab w:pos="1982" w:val="left" w:leader="none"/>
        </w:tabs>
        <w:spacing w:line="360" w:lineRule="auto" w:before="139" w:after="0"/>
        <w:ind w:left="1981" w:right="666" w:hanging="360"/>
        <w:jc w:val="left"/>
        <w:rPr>
          <w:sz w:val="24"/>
        </w:rPr>
      </w:pPr>
      <w:bookmarkStart w:name="_bookmark57" w:id="106"/>
      <w:bookmarkEnd w:id="106"/>
      <w:r>
        <w:rPr>
          <w:sz w:val="24"/>
        </w:rPr>
        <w:t>S</w:t>
      </w:r>
      <w:r>
        <w:rPr>
          <w:sz w:val="24"/>
        </w:rPr>
        <w:t>acks</w:t>
      </w:r>
      <w:r>
        <w:rPr>
          <w:spacing w:val="-3"/>
          <w:sz w:val="24"/>
        </w:rPr>
        <w:t> </w:t>
      </w:r>
      <w:r>
        <w:rPr>
          <w:sz w:val="24"/>
        </w:rPr>
        <w:t>FM,</w:t>
      </w:r>
      <w:r>
        <w:rPr>
          <w:spacing w:val="-3"/>
          <w:sz w:val="24"/>
        </w:rPr>
        <w:t> </w:t>
      </w:r>
      <w:r>
        <w:rPr>
          <w:sz w:val="24"/>
        </w:rPr>
        <w:t>Alaupovic</w:t>
      </w:r>
      <w:r>
        <w:rPr>
          <w:spacing w:val="-4"/>
          <w:sz w:val="24"/>
        </w:rPr>
        <w:t> </w:t>
      </w:r>
      <w:r>
        <w:rPr>
          <w:sz w:val="24"/>
        </w:rPr>
        <w:t>P,</w:t>
      </w:r>
      <w:r>
        <w:rPr>
          <w:spacing w:val="-1"/>
          <w:sz w:val="24"/>
        </w:rPr>
        <w:t> </w:t>
      </w:r>
      <w:r>
        <w:rPr>
          <w:sz w:val="24"/>
        </w:rPr>
        <w:t>Moye</w:t>
      </w:r>
      <w:r>
        <w:rPr>
          <w:spacing w:val="-4"/>
          <w:sz w:val="24"/>
        </w:rPr>
        <w:t> </w:t>
      </w:r>
      <w:r>
        <w:rPr>
          <w:sz w:val="24"/>
        </w:rPr>
        <w:t>LA,</w:t>
      </w:r>
      <w:r>
        <w:rPr>
          <w:spacing w:val="-3"/>
          <w:sz w:val="24"/>
        </w:rPr>
        <w:t> </w:t>
      </w:r>
      <w:r>
        <w:rPr>
          <w:sz w:val="24"/>
        </w:rPr>
        <w:t>et</w:t>
      </w:r>
      <w:r>
        <w:rPr>
          <w:spacing w:val="-3"/>
          <w:sz w:val="24"/>
        </w:rPr>
        <w:t> </w:t>
      </w:r>
      <w:r>
        <w:rPr>
          <w:sz w:val="24"/>
        </w:rPr>
        <w:t>al.</w:t>
      </w:r>
      <w:r>
        <w:rPr>
          <w:spacing w:val="-3"/>
          <w:sz w:val="24"/>
        </w:rPr>
        <w:t> </w:t>
      </w:r>
      <w:r>
        <w:rPr>
          <w:sz w:val="24"/>
        </w:rPr>
        <w:t>VLDL,</w:t>
      </w:r>
      <w:r>
        <w:rPr>
          <w:spacing w:val="-3"/>
          <w:sz w:val="24"/>
        </w:rPr>
        <w:t> </w:t>
      </w:r>
      <w:r>
        <w:rPr>
          <w:sz w:val="24"/>
        </w:rPr>
        <w:t>apolipoproteins</w:t>
      </w:r>
      <w:r>
        <w:rPr>
          <w:spacing w:val="-3"/>
          <w:sz w:val="24"/>
        </w:rPr>
        <w:t> </w:t>
      </w:r>
      <w:r>
        <w:rPr>
          <w:sz w:val="24"/>
        </w:rPr>
        <w:t>B,</w:t>
      </w:r>
      <w:r>
        <w:rPr>
          <w:spacing w:val="-3"/>
          <w:sz w:val="24"/>
        </w:rPr>
        <w:t> </w:t>
      </w:r>
      <w:r>
        <w:rPr>
          <w:sz w:val="24"/>
        </w:rPr>
        <w:t>CIII,</w:t>
      </w:r>
      <w:r>
        <w:rPr>
          <w:spacing w:val="-3"/>
          <w:sz w:val="24"/>
        </w:rPr>
        <w:t> </w:t>
      </w:r>
      <w:r>
        <w:rPr>
          <w:sz w:val="24"/>
        </w:rPr>
        <w:t>and</w:t>
      </w:r>
      <w:r>
        <w:rPr>
          <w:spacing w:val="-3"/>
          <w:sz w:val="24"/>
        </w:rPr>
        <w:t> </w:t>
      </w:r>
      <w:r>
        <w:rPr>
          <w:sz w:val="24"/>
        </w:rPr>
        <w:t>E,</w:t>
      </w:r>
      <w:r>
        <w:rPr>
          <w:spacing w:val="-3"/>
          <w:sz w:val="24"/>
        </w:rPr>
        <w:t> </w:t>
      </w:r>
      <w:r>
        <w:rPr>
          <w:sz w:val="24"/>
        </w:rPr>
        <w:t>and</w:t>
      </w:r>
      <w:r>
        <w:rPr>
          <w:spacing w:val="-3"/>
          <w:sz w:val="24"/>
        </w:rPr>
        <w:t> </w:t>
      </w:r>
      <w:r>
        <w:rPr>
          <w:sz w:val="24"/>
        </w:rPr>
        <w:t>risk of recurrent coronary events in the Cholesterol and Recurrent Events (CARE) trial. Circulation. 2000;102:1886–1892.</w:t>
      </w:r>
    </w:p>
    <w:p>
      <w:pPr>
        <w:pStyle w:val="ListParagraph"/>
        <w:numPr>
          <w:ilvl w:val="0"/>
          <w:numId w:val="25"/>
        </w:numPr>
        <w:tabs>
          <w:tab w:pos="1982" w:val="left" w:leader="none"/>
        </w:tabs>
        <w:spacing w:line="360" w:lineRule="auto" w:before="0" w:after="0"/>
        <w:ind w:left="1981" w:right="887" w:hanging="360"/>
        <w:jc w:val="left"/>
        <w:rPr>
          <w:sz w:val="24"/>
        </w:rPr>
      </w:pPr>
      <w:bookmarkStart w:name="_bookmark58" w:id="107"/>
      <w:bookmarkEnd w:id="107"/>
      <w:r>
        <w:rPr>
          <w:sz w:val="24"/>
        </w:rPr>
        <w:t>H</w:t>
      </w:r>
      <w:r>
        <w:rPr>
          <w:sz w:val="24"/>
        </w:rPr>
        <w:t>egele RA, Ginsberg HN, Chapman MJ et al. The polygenic nature of hypertriglyceridaemia:</w:t>
      </w:r>
      <w:r>
        <w:rPr>
          <w:spacing w:val="-5"/>
          <w:sz w:val="24"/>
        </w:rPr>
        <w:t> </w:t>
      </w:r>
      <w:r>
        <w:rPr>
          <w:sz w:val="24"/>
        </w:rPr>
        <w:t>implications</w:t>
      </w:r>
      <w:r>
        <w:rPr>
          <w:spacing w:val="-5"/>
          <w:sz w:val="24"/>
        </w:rPr>
        <w:t> </w:t>
      </w:r>
      <w:r>
        <w:rPr>
          <w:sz w:val="24"/>
        </w:rPr>
        <w:t>for</w:t>
      </w:r>
      <w:r>
        <w:rPr>
          <w:spacing w:val="-6"/>
          <w:sz w:val="24"/>
        </w:rPr>
        <w:t> </w:t>
      </w:r>
      <w:r>
        <w:rPr>
          <w:sz w:val="24"/>
        </w:rPr>
        <w:t>definition,</w:t>
      </w:r>
      <w:r>
        <w:rPr>
          <w:spacing w:val="-5"/>
          <w:sz w:val="24"/>
        </w:rPr>
        <w:t> </w:t>
      </w:r>
      <w:r>
        <w:rPr>
          <w:sz w:val="24"/>
        </w:rPr>
        <w:t>diagnosis,</w:t>
      </w:r>
      <w:r>
        <w:rPr>
          <w:spacing w:val="-5"/>
          <w:sz w:val="24"/>
        </w:rPr>
        <w:t> </w:t>
      </w:r>
      <w:r>
        <w:rPr>
          <w:sz w:val="24"/>
        </w:rPr>
        <w:t>and</w:t>
      </w:r>
      <w:r>
        <w:rPr>
          <w:spacing w:val="-5"/>
          <w:sz w:val="24"/>
        </w:rPr>
        <w:t> </w:t>
      </w:r>
      <w:r>
        <w:rPr>
          <w:sz w:val="24"/>
        </w:rPr>
        <w:t>management.</w:t>
      </w:r>
      <w:r>
        <w:rPr>
          <w:spacing w:val="-5"/>
          <w:sz w:val="24"/>
        </w:rPr>
        <w:t> </w:t>
      </w:r>
      <w:r>
        <w:rPr>
          <w:sz w:val="24"/>
        </w:rPr>
        <w:t>Lancet Diabetes Endocrinol. 2014. 2(8): 655–666. doi:10.1016/S2213-8587(13)70191-8</w:t>
      </w:r>
    </w:p>
    <w:p>
      <w:pPr>
        <w:pStyle w:val="ListParagraph"/>
        <w:numPr>
          <w:ilvl w:val="0"/>
          <w:numId w:val="25"/>
        </w:numPr>
        <w:tabs>
          <w:tab w:pos="1982" w:val="left" w:leader="none"/>
        </w:tabs>
        <w:spacing w:line="360" w:lineRule="auto" w:before="1" w:after="0"/>
        <w:ind w:left="1981" w:right="575" w:hanging="360"/>
        <w:jc w:val="left"/>
        <w:rPr>
          <w:sz w:val="24"/>
        </w:rPr>
      </w:pPr>
      <w:bookmarkStart w:name="_bookmark59" w:id="108"/>
      <w:bookmarkEnd w:id="108"/>
      <w:r>
        <w:rPr>
          <w:sz w:val="24"/>
        </w:rPr>
        <w:t>M</w:t>
      </w:r>
      <w:r>
        <w:rPr>
          <w:sz w:val="24"/>
        </w:rPr>
        <w:t>etelskaya V.A. et al. Analysis of the prevalence of indicators characterizing the atherogenicity of the spectrum of lipoproteins among residents of the Russian Federation (according</w:t>
      </w:r>
      <w:r>
        <w:rPr>
          <w:spacing w:val="-3"/>
          <w:sz w:val="24"/>
        </w:rPr>
        <w:t> </w:t>
      </w:r>
      <w:r>
        <w:rPr>
          <w:sz w:val="24"/>
        </w:rPr>
        <w:t>to</w:t>
      </w:r>
      <w:r>
        <w:rPr>
          <w:spacing w:val="-3"/>
          <w:sz w:val="24"/>
        </w:rPr>
        <w:t> </w:t>
      </w:r>
      <w:r>
        <w:rPr>
          <w:sz w:val="24"/>
        </w:rPr>
        <w:t>the</w:t>
      </w:r>
      <w:r>
        <w:rPr>
          <w:spacing w:val="-4"/>
          <w:sz w:val="24"/>
        </w:rPr>
        <w:t> </w:t>
      </w:r>
      <w:r>
        <w:rPr>
          <w:sz w:val="24"/>
        </w:rPr>
        <w:t>ESSE-RF</w:t>
      </w:r>
      <w:r>
        <w:rPr>
          <w:spacing w:val="-5"/>
          <w:sz w:val="24"/>
        </w:rPr>
        <w:t> </w:t>
      </w:r>
      <w:r>
        <w:rPr>
          <w:sz w:val="24"/>
        </w:rPr>
        <w:t>study)</w:t>
      </w:r>
      <w:r>
        <w:rPr>
          <w:spacing w:val="-4"/>
          <w:sz w:val="24"/>
        </w:rPr>
        <w:t> </w:t>
      </w:r>
      <w:r>
        <w:rPr>
          <w:sz w:val="24"/>
        </w:rPr>
        <w:t>//</w:t>
      </w:r>
      <w:r>
        <w:rPr>
          <w:spacing w:val="-3"/>
          <w:sz w:val="24"/>
        </w:rPr>
        <w:t> </w:t>
      </w:r>
      <w:r>
        <w:rPr>
          <w:sz w:val="24"/>
        </w:rPr>
        <w:t>Preventive</w:t>
      </w:r>
      <w:r>
        <w:rPr>
          <w:spacing w:val="-2"/>
          <w:sz w:val="24"/>
        </w:rPr>
        <w:t> </w:t>
      </w:r>
      <w:r>
        <w:rPr>
          <w:sz w:val="24"/>
        </w:rPr>
        <w:t>medicine.</w:t>
      </w:r>
      <w:r>
        <w:rPr>
          <w:spacing w:val="-3"/>
          <w:sz w:val="24"/>
        </w:rPr>
        <w:t> </w:t>
      </w:r>
      <w:r>
        <w:rPr>
          <w:sz w:val="24"/>
        </w:rPr>
        <w:t>2016.</w:t>
      </w:r>
      <w:r>
        <w:rPr>
          <w:spacing w:val="-3"/>
          <w:sz w:val="24"/>
        </w:rPr>
        <w:t> </w:t>
      </w:r>
      <w:r>
        <w:rPr>
          <w:sz w:val="24"/>
        </w:rPr>
        <w:t>Vol.</w:t>
      </w:r>
      <w:r>
        <w:rPr>
          <w:spacing w:val="-3"/>
          <w:sz w:val="24"/>
        </w:rPr>
        <w:t> </w:t>
      </w:r>
      <w:r>
        <w:rPr>
          <w:sz w:val="24"/>
        </w:rPr>
        <w:t>19.</w:t>
      </w:r>
      <w:r>
        <w:rPr>
          <w:spacing w:val="-1"/>
          <w:sz w:val="24"/>
        </w:rPr>
        <w:t> </w:t>
      </w:r>
      <w:r>
        <w:rPr>
          <w:sz w:val="24"/>
        </w:rPr>
        <w:t>No.</w:t>
      </w:r>
      <w:r>
        <w:rPr>
          <w:spacing w:val="-3"/>
          <w:sz w:val="24"/>
        </w:rPr>
        <w:t> </w:t>
      </w:r>
      <w:r>
        <w:rPr>
          <w:sz w:val="24"/>
        </w:rPr>
        <w:t>1.</w:t>
      </w:r>
      <w:r>
        <w:rPr>
          <w:spacing w:val="-3"/>
          <w:sz w:val="24"/>
        </w:rPr>
        <w:t> </w:t>
      </w:r>
      <w:r>
        <w:rPr>
          <w:sz w:val="24"/>
        </w:rPr>
        <w:t>P.</w:t>
      </w:r>
      <w:r>
        <w:rPr>
          <w:spacing w:val="-3"/>
          <w:sz w:val="24"/>
        </w:rPr>
        <w:t> </w:t>
      </w:r>
      <w:r>
        <w:rPr>
          <w:sz w:val="24"/>
        </w:rPr>
        <w:t>15–23. Метельская В. А. и др. Анализ распространенности показателей, характеризующих атерогенность спектра липопротеидов, у жителей Российской Федерации (по данным исследования ЭССЕ-РФ) //Профилактическая медицина. 2016. Т. 19. №. 1.</w:t>
      </w:r>
    </w:p>
    <w:p>
      <w:pPr>
        <w:pStyle w:val="BodyText"/>
      </w:pPr>
      <w:r>
        <w:rPr/>
        <w:t>P. </w:t>
      </w:r>
      <w:r>
        <w:rPr>
          <w:spacing w:val="-2"/>
        </w:rPr>
        <w:t>15–23.</w:t>
      </w:r>
    </w:p>
    <w:p>
      <w:pPr>
        <w:pStyle w:val="ListParagraph"/>
        <w:numPr>
          <w:ilvl w:val="0"/>
          <w:numId w:val="25"/>
        </w:numPr>
        <w:tabs>
          <w:tab w:pos="1982" w:val="left" w:leader="none"/>
        </w:tabs>
        <w:spacing w:line="360" w:lineRule="auto" w:before="137" w:after="0"/>
        <w:ind w:left="1981" w:right="726" w:hanging="360"/>
        <w:jc w:val="left"/>
        <w:rPr>
          <w:sz w:val="24"/>
        </w:rPr>
      </w:pPr>
      <w:bookmarkStart w:name="_bookmark60" w:id="109"/>
      <w:bookmarkEnd w:id="109"/>
      <w:r>
        <w:rPr>
          <w:sz w:val="24"/>
        </w:rPr>
        <w:t>C</w:t>
      </w:r>
      <w:r>
        <w:rPr>
          <w:sz w:val="24"/>
        </w:rPr>
        <w:t>aggiula</w:t>
      </w:r>
      <w:r>
        <w:rPr>
          <w:spacing w:val="-4"/>
          <w:sz w:val="24"/>
        </w:rPr>
        <w:t> </w:t>
      </w:r>
      <w:r>
        <w:rPr>
          <w:sz w:val="24"/>
        </w:rPr>
        <w:t>AW</w:t>
      </w:r>
      <w:r>
        <w:rPr>
          <w:spacing w:val="-4"/>
          <w:sz w:val="24"/>
        </w:rPr>
        <w:t> </w:t>
      </w:r>
      <w:r>
        <w:rPr>
          <w:sz w:val="24"/>
        </w:rPr>
        <w:t>et</w:t>
      </w:r>
      <w:r>
        <w:rPr>
          <w:spacing w:val="-3"/>
          <w:sz w:val="24"/>
        </w:rPr>
        <w:t> </w:t>
      </w:r>
      <w:r>
        <w:rPr>
          <w:sz w:val="24"/>
        </w:rPr>
        <w:t>al.</w:t>
      </w:r>
      <w:r>
        <w:rPr>
          <w:spacing w:val="-3"/>
          <w:sz w:val="24"/>
        </w:rPr>
        <w:t> </w:t>
      </w:r>
      <w:r>
        <w:rPr>
          <w:sz w:val="24"/>
        </w:rPr>
        <w:t>The</w:t>
      </w:r>
      <w:r>
        <w:rPr>
          <w:spacing w:val="-3"/>
          <w:sz w:val="24"/>
        </w:rPr>
        <w:t> </w:t>
      </w:r>
      <w:r>
        <w:rPr>
          <w:sz w:val="24"/>
        </w:rPr>
        <w:t>multiple</w:t>
      </w:r>
      <w:r>
        <w:rPr>
          <w:spacing w:val="-4"/>
          <w:sz w:val="24"/>
        </w:rPr>
        <w:t> </w:t>
      </w:r>
      <w:r>
        <w:rPr>
          <w:sz w:val="24"/>
        </w:rPr>
        <w:t>risk</w:t>
      </w:r>
      <w:r>
        <w:rPr>
          <w:spacing w:val="-3"/>
          <w:sz w:val="24"/>
        </w:rPr>
        <w:t> </w:t>
      </w:r>
      <w:r>
        <w:rPr>
          <w:sz w:val="24"/>
        </w:rPr>
        <w:t>factor</w:t>
      </w:r>
      <w:r>
        <w:rPr>
          <w:spacing w:val="-4"/>
          <w:sz w:val="24"/>
        </w:rPr>
        <w:t> </w:t>
      </w:r>
      <w:r>
        <w:rPr>
          <w:sz w:val="24"/>
        </w:rPr>
        <w:t>intervention</w:t>
      </w:r>
      <w:r>
        <w:rPr>
          <w:spacing w:val="-3"/>
          <w:sz w:val="24"/>
        </w:rPr>
        <w:t> </w:t>
      </w:r>
      <w:r>
        <w:rPr>
          <w:sz w:val="24"/>
        </w:rPr>
        <w:t>trial</w:t>
      </w:r>
      <w:r>
        <w:rPr>
          <w:spacing w:val="-3"/>
          <w:sz w:val="24"/>
        </w:rPr>
        <w:t> </w:t>
      </w:r>
      <w:r>
        <w:rPr>
          <w:sz w:val="24"/>
        </w:rPr>
        <w:t>(MRFIT):</w:t>
      </w:r>
      <w:r>
        <w:rPr>
          <w:spacing w:val="-2"/>
          <w:sz w:val="24"/>
        </w:rPr>
        <w:t> </w:t>
      </w:r>
      <w:r>
        <w:rPr>
          <w:sz w:val="24"/>
        </w:rPr>
        <w:t>IV.</w:t>
      </w:r>
      <w:r>
        <w:rPr>
          <w:spacing w:val="-2"/>
          <w:sz w:val="24"/>
        </w:rPr>
        <w:t> </w:t>
      </w:r>
      <w:r>
        <w:rPr>
          <w:sz w:val="24"/>
        </w:rPr>
        <w:t>Intervention on blood lipids //Preventive Medicine. 1981. Vol. 10. №. 4. P. 443–475.</w:t>
      </w:r>
    </w:p>
    <w:p>
      <w:pPr>
        <w:pStyle w:val="ListParagraph"/>
        <w:numPr>
          <w:ilvl w:val="0"/>
          <w:numId w:val="25"/>
        </w:numPr>
        <w:tabs>
          <w:tab w:pos="1982" w:val="left" w:leader="none"/>
        </w:tabs>
        <w:spacing w:line="360" w:lineRule="auto" w:before="0" w:after="0"/>
        <w:ind w:left="1981" w:right="937" w:hanging="360"/>
        <w:jc w:val="left"/>
        <w:rPr>
          <w:sz w:val="24"/>
        </w:rPr>
      </w:pPr>
      <w:bookmarkStart w:name="_bookmark61" w:id="110"/>
      <w:bookmarkEnd w:id="110"/>
      <w:r>
        <w:rPr>
          <w:sz w:val="24"/>
        </w:rPr>
        <w:t>C</w:t>
      </w:r>
      <w:r>
        <w:rPr>
          <w:sz w:val="24"/>
        </w:rPr>
        <w:t>astelli</w:t>
      </w:r>
      <w:r>
        <w:rPr>
          <w:spacing w:val="-3"/>
          <w:sz w:val="24"/>
        </w:rPr>
        <w:t> </w:t>
      </w:r>
      <w:r>
        <w:rPr>
          <w:sz w:val="24"/>
        </w:rPr>
        <w:t>WP.</w:t>
      </w:r>
      <w:r>
        <w:rPr>
          <w:spacing w:val="-3"/>
          <w:sz w:val="24"/>
        </w:rPr>
        <w:t> </w:t>
      </w:r>
      <w:r>
        <w:rPr>
          <w:sz w:val="24"/>
        </w:rPr>
        <w:t>Epidemiology</w:t>
      </w:r>
      <w:r>
        <w:rPr>
          <w:spacing w:val="-3"/>
          <w:sz w:val="24"/>
        </w:rPr>
        <w:t> </w:t>
      </w:r>
      <w:r>
        <w:rPr>
          <w:sz w:val="24"/>
        </w:rPr>
        <w:t>of</w:t>
      </w:r>
      <w:r>
        <w:rPr>
          <w:spacing w:val="-4"/>
          <w:sz w:val="24"/>
        </w:rPr>
        <w:t> </w:t>
      </w:r>
      <w:r>
        <w:rPr>
          <w:sz w:val="24"/>
        </w:rPr>
        <w:t>triglycerides:</w:t>
      </w:r>
      <w:r>
        <w:rPr>
          <w:spacing w:val="-3"/>
          <w:sz w:val="24"/>
        </w:rPr>
        <w:t> </w:t>
      </w:r>
      <w:r>
        <w:rPr>
          <w:sz w:val="24"/>
        </w:rPr>
        <w:t>A</w:t>
      </w:r>
      <w:r>
        <w:rPr>
          <w:spacing w:val="-4"/>
          <w:sz w:val="24"/>
        </w:rPr>
        <w:t> </w:t>
      </w:r>
      <w:r>
        <w:rPr>
          <w:sz w:val="24"/>
        </w:rPr>
        <w:t>view</w:t>
      </w:r>
      <w:r>
        <w:rPr>
          <w:spacing w:val="-4"/>
          <w:sz w:val="24"/>
        </w:rPr>
        <w:t> </w:t>
      </w:r>
      <w:r>
        <w:rPr>
          <w:sz w:val="24"/>
        </w:rPr>
        <w:t>from</w:t>
      </w:r>
      <w:r>
        <w:rPr>
          <w:spacing w:val="-3"/>
          <w:sz w:val="24"/>
        </w:rPr>
        <w:t> </w:t>
      </w:r>
      <w:r>
        <w:rPr>
          <w:sz w:val="24"/>
        </w:rPr>
        <w:t>Framingham.</w:t>
      </w:r>
      <w:r>
        <w:rPr>
          <w:spacing w:val="-3"/>
          <w:sz w:val="24"/>
        </w:rPr>
        <w:t> </w:t>
      </w:r>
      <w:r>
        <w:rPr>
          <w:sz w:val="24"/>
        </w:rPr>
        <w:t>Am</w:t>
      </w:r>
      <w:r>
        <w:rPr>
          <w:spacing w:val="-3"/>
          <w:sz w:val="24"/>
        </w:rPr>
        <w:t> </w:t>
      </w:r>
      <w:r>
        <w:rPr>
          <w:sz w:val="24"/>
        </w:rPr>
        <w:t>J</w:t>
      </w:r>
      <w:r>
        <w:rPr>
          <w:spacing w:val="-3"/>
          <w:sz w:val="24"/>
        </w:rPr>
        <w:t> </w:t>
      </w:r>
      <w:r>
        <w:rPr>
          <w:sz w:val="24"/>
        </w:rPr>
        <w:t>Cardiol. 1992. 70(19): H3–H9. doi:10.1016/0002-9149(92)91083-g</w:t>
      </w:r>
    </w:p>
    <w:p>
      <w:pPr>
        <w:pStyle w:val="ListParagraph"/>
        <w:numPr>
          <w:ilvl w:val="0"/>
          <w:numId w:val="25"/>
        </w:numPr>
        <w:tabs>
          <w:tab w:pos="1982" w:val="left" w:leader="none"/>
        </w:tabs>
        <w:spacing w:line="360" w:lineRule="auto" w:before="0" w:after="0"/>
        <w:ind w:left="1981" w:right="1297" w:hanging="360"/>
        <w:jc w:val="both"/>
        <w:rPr>
          <w:sz w:val="24"/>
        </w:rPr>
      </w:pPr>
      <w:bookmarkStart w:name="_bookmark62" w:id="111"/>
      <w:bookmarkEnd w:id="111"/>
      <w:r>
        <w:rPr>
          <w:sz w:val="24"/>
        </w:rPr>
        <w:t>B</w:t>
      </w:r>
      <w:r>
        <w:rPr>
          <w:sz w:val="24"/>
        </w:rPr>
        <w:t>arter</w:t>
      </w:r>
      <w:r>
        <w:rPr>
          <w:spacing w:val="-3"/>
          <w:sz w:val="24"/>
        </w:rPr>
        <w:t> </w:t>
      </w:r>
      <w:r>
        <w:rPr>
          <w:sz w:val="24"/>
        </w:rPr>
        <w:t>P,</w:t>
      </w:r>
      <w:r>
        <w:rPr>
          <w:spacing w:val="-3"/>
          <w:sz w:val="24"/>
        </w:rPr>
        <w:t> </w:t>
      </w:r>
      <w:r>
        <w:rPr>
          <w:sz w:val="24"/>
        </w:rPr>
        <w:t>Gotto</w:t>
      </w:r>
      <w:r>
        <w:rPr>
          <w:spacing w:val="-3"/>
          <w:sz w:val="24"/>
        </w:rPr>
        <w:t> </w:t>
      </w:r>
      <w:r>
        <w:rPr>
          <w:sz w:val="24"/>
        </w:rPr>
        <w:t>AM,</w:t>
      </w:r>
      <w:r>
        <w:rPr>
          <w:spacing w:val="-3"/>
          <w:sz w:val="24"/>
        </w:rPr>
        <w:t> </w:t>
      </w:r>
      <w:r>
        <w:rPr>
          <w:sz w:val="24"/>
        </w:rPr>
        <w:t>LaRosa</w:t>
      </w:r>
      <w:r>
        <w:rPr>
          <w:spacing w:val="-3"/>
          <w:sz w:val="24"/>
        </w:rPr>
        <w:t> </w:t>
      </w:r>
      <w:r>
        <w:rPr>
          <w:sz w:val="24"/>
        </w:rPr>
        <w:t>JC</w:t>
      </w:r>
      <w:r>
        <w:rPr>
          <w:spacing w:val="-3"/>
          <w:sz w:val="24"/>
        </w:rPr>
        <w:t> </w:t>
      </w:r>
      <w:r>
        <w:rPr>
          <w:sz w:val="24"/>
        </w:rPr>
        <w:t>et</w:t>
      </w:r>
      <w:r>
        <w:rPr>
          <w:spacing w:val="-3"/>
          <w:sz w:val="24"/>
        </w:rPr>
        <w:t> </w:t>
      </w:r>
      <w:r>
        <w:rPr>
          <w:sz w:val="24"/>
        </w:rPr>
        <w:t>al.</w:t>
      </w:r>
      <w:r>
        <w:rPr>
          <w:spacing w:val="-3"/>
          <w:sz w:val="24"/>
        </w:rPr>
        <w:t> </w:t>
      </w:r>
      <w:r>
        <w:rPr>
          <w:sz w:val="24"/>
        </w:rPr>
        <w:t>HDL</w:t>
      </w:r>
      <w:r>
        <w:rPr>
          <w:spacing w:val="-3"/>
          <w:sz w:val="24"/>
        </w:rPr>
        <w:t> </w:t>
      </w:r>
      <w:r>
        <w:rPr>
          <w:sz w:val="24"/>
        </w:rPr>
        <w:t>Cholesterol,</w:t>
      </w:r>
      <w:r>
        <w:rPr>
          <w:spacing w:val="-3"/>
          <w:sz w:val="24"/>
        </w:rPr>
        <w:t> </w:t>
      </w:r>
      <w:r>
        <w:rPr>
          <w:sz w:val="24"/>
        </w:rPr>
        <w:t>Very</w:t>
      </w:r>
      <w:r>
        <w:rPr>
          <w:spacing w:val="-3"/>
          <w:sz w:val="24"/>
        </w:rPr>
        <w:t> </w:t>
      </w:r>
      <w:r>
        <w:rPr>
          <w:sz w:val="24"/>
        </w:rPr>
        <w:t>Low</w:t>
      </w:r>
      <w:r>
        <w:rPr>
          <w:spacing w:val="-3"/>
          <w:sz w:val="24"/>
        </w:rPr>
        <w:t> </w:t>
      </w:r>
      <w:r>
        <w:rPr>
          <w:sz w:val="24"/>
        </w:rPr>
        <w:t>Levels</w:t>
      </w:r>
      <w:r>
        <w:rPr>
          <w:spacing w:val="-3"/>
          <w:sz w:val="24"/>
        </w:rPr>
        <w:t> </w:t>
      </w:r>
      <w:r>
        <w:rPr>
          <w:sz w:val="24"/>
        </w:rPr>
        <w:t>of</w:t>
      </w:r>
      <w:r>
        <w:rPr>
          <w:spacing w:val="-3"/>
          <w:sz w:val="24"/>
        </w:rPr>
        <w:t> </w:t>
      </w:r>
      <w:r>
        <w:rPr>
          <w:sz w:val="24"/>
        </w:rPr>
        <w:t>LDL Cholesterol,</w:t>
      </w:r>
      <w:r>
        <w:rPr>
          <w:spacing w:val="-2"/>
          <w:sz w:val="24"/>
        </w:rPr>
        <w:t> </w:t>
      </w:r>
      <w:r>
        <w:rPr>
          <w:sz w:val="24"/>
        </w:rPr>
        <w:t>and</w:t>
      </w:r>
      <w:r>
        <w:rPr>
          <w:spacing w:val="-2"/>
          <w:sz w:val="24"/>
        </w:rPr>
        <w:t> </w:t>
      </w:r>
      <w:r>
        <w:rPr>
          <w:sz w:val="24"/>
        </w:rPr>
        <w:t>Cardiovascular</w:t>
      </w:r>
      <w:r>
        <w:rPr>
          <w:spacing w:val="-3"/>
          <w:sz w:val="24"/>
        </w:rPr>
        <w:t> </w:t>
      </w:r>
      <w:r>
        <w:rPr>
          <w:sz w:val="24"/>
        </w:rPr>
        <w:t>Events.</w:t>
      </w:r>
      <w:r>
        <w:rPr>
          <w:spacing w:val="-2"/>
          <w:sz w:val="24"/>
        </w:rPr>
        <w:t> </w:t>
      </w:r>
      <w:r>
        <w:rPr>
          <w:sz w:val="24"/>
        </w:rPr>
        <w:t>New</w:t>
      </w:r>
      <w:r>
        <w:rPr>
          <w:spacing w:val="-3"/>
          <w:sz w:val="24"/>
        </w:rPr>
        <w:t> </w:t>
      </w:r>
      <w:r>
        <w:rPr>
          <w:sz w:val="24"/>
        </w:rPr>
        <w:t>England</w:t>
      </w:r>
      <w:r>
        <w:rPr>
          <w:spacing w:val="-2"/>
          <w:sz w:val="24"/>
        </w:rPr>
        <w:t> </w:t>
      </w:r>
      <w:r>
        <w:rPr>
          <w:sz w:val="24"/>
        </w:rPr>
        <w:t>Journal</w:t>
      </w:r>
      <w:r>
        <w:rPr>
          <w:spacing w:val="-2"/>
          <w:sz w:val="24"/>
        </w:rPr>
        <w:t> </w:t>
      </w:r>
      <w:r>
        <w:rPr>
          <w:sz w:val="24"/>
        </w:rPr>
        <w:t>of</w:t>
      </w:r>
      <w:r>
        <w:rPr>
          <w:spacing w:val="-3"/>
          <w:sz w:val="24"/>
        </w:rPr>
        <w:t> </w:t>
      </w:r>
      <w:r>
        <w:rPr>
          <w:sz w:val="24"/>
        </w:rPr>
        <w:t>Medicine.</w:t>
      </w:r>
      <w:r>
        <w:rPr>
          <w:spacing w:val="-2"/>
          <w:sz w:val="24"/>
        </w:rPr>
        <w:t> </w:t>
      </w:r>
      <w:r>
        <w:rPr>
          <w:sz w:val="24"/>
        </w:rPr>
        <w:t>2007. 357(13): 1301–1310. doi:10.1056/nejmoa064278</w:t>
      </w:r>
    </w:p>
    <w:p>
      <w:pPr>
        <w:pStyle w:val="ListParagraph"/>
        <w:numPr>
          <w:ilvl w:val="0"/>
          <w:numId w:val="25"/>
        </w:numPr>
        <w:tabs>
          <w:tab w:pos="1982" w:val="left" w:leader="none"/>
        </w:tabs>
        <w:spacing w:line="360" w:lineRule="auto" w:before="1" w:after="0"/>
        <w:ind w:left="1981" w:right="783" w:hanging="360"/>
        <w:jc w:val="left"/>
        <w:rPr>
          <w:sz w:val="24"/>
        </w:rPr>
      </w:pPr>
      <w:bookmarkStart w:name="_bookmark63" w:id="112"/>
      <w:bookmarkEnd w:id="112"/>
      <w:r>
        <w:rPr>
          <w:sz w:val="24"/>
        </w:rPr>
        <w:t>C</w:t>
      </w:r>
      <w:r>
        <w:rPr>
          <w:sz w:val="24"/>
        </w:rPr>
        <w:t>arey VJ et al. Contribution of high plasma triglycerides and low high-density lipoprotein cholesterol to residual risk of coronary heart disease after establishment of low-density</w:t>
      </w:r>
      <w:r>
        <w:rPr>
          <w:spacing w:val="-4"/>
          <w:sz w:val="24"/>
        </w:rPr>
        <w:t> </w:t>
      </w:r>
      <w:r>
        <w:rPr>
          <w:sz w:val="24"/>
        </w:rPr>
        <w:t>lipoprotein</w:t>
      </w:r>
      <w:r>
        <w:rPr>
          <w:spacing w:val="-4"/>
          <w:sz w:val="24"/>
        </w:rPr>
        <w:t> </w:t>
      </w:r>
      <w:r>
        <w:rPr>
          <w:sz w:val="24"/>
        </w:rPr>
        <w:t>cholesterol</w:t>
      </w:r>
      <w:r>
        <w:rPr>
          <w:spacing w:val="-4"/>
          <w:sz w:val="24"/>
        </w:rPr>
        <w:t> </w:t>
      </w:r>
      <w:r>
        <w:rPr>
          <w:sz w:val="24"/>
        </w:rPr>
        <w:t>control</w:t>
      </w:r>
      <w:r>
        <w:rPr>
          <w:spacing w:val="-4"/>
          <w:sz w:val="24"/>
        </w:rPr>
        <w:t> </w:t>
      </w:r>
      <w:r>
        <w:rPr>
          <w:sz w:val="24"/>
        </w:rPr>
        <w:t>//The</w:t>
      </w:r>
      <w:r>
        <w:rPr>
          <w:spacing w:val="-3"/>
          <w:sz w:val="24"/>
        </w:rPr>
        <w:t> </w:t>
      </w:r>
      <w:r>
        <w:rPr>
          <w:sz w:val="24"/>
        </w:rPr>
        <w:t>American</w:t>
      </w:r>
      <w:r>
        <w:rPr>
          <w:spacing w:val="-4"/>
          <w:sz w:val="24"/>
        </w:rPr>
        <w:t> </w:t>
      </w:r>
      <w:r>
        <w:rPr>
          <w:sz w:val="24"/>
        </w:rPr>
        <w:t>journal</w:t>
      </w:r>
      <w:r>
        <w:rPr>
          <w:spacing w:val="-4"/>
          <w:sz w:val="24"/>
        </w:rPr>
        <w:t> </w:t>
      </w:r>
      <w:r>
        <w:rPr>
          <w:sz w:val="24"/>
        </w:rPr>
        <w:t>of</w:t>
      </w:r>
      <w:r>
        <w:rPr>
          <w:spacing w:val="-5"/>
          <w:sz w:val="24"/>
        </w:rPr>
        <w:t> </w:t>
      </w:r>
      <w:r>
        <w:rPr>
          <w:sz w:val="24"/>
        </w:rPr>
        <w:t>cardiology.</w:t>
      </w:r>
      <w:r>
        <w:rPr>
          <w:spacing w:val="-4"/>
          <w:sz w:val="24"/>
        </w:rPr>
        <w:t> </w:t>
      </w:r>
      <w:r>
        <w:rPr>
          <w:sz w:val="24"/>
        </w:rPr>
        <w:t>2010. Vol. 106. №. 6. P. 757–763.</w:t>
      </w:r>
    </w:p>
    <w:p>
      <w:pPr>
        <w:pStyle w:val="ListParagraph"/>
        <w:numPr>
          <w:ilvl w:val="0"/>
          <w:numId w:val="25"/>
        </w:numPr>
        <w:tabs>
          <w:tab w:pos="1982" w:val="left" w:leader="none"/>
        </w:tabs>
        <w:spacing w:line="360" w:lineRule="auto" w:before="0" w:after="0"/>
        <w:ind w:left="1981" w:right="697" w:hanging="360"/>
        <w:jc w:val="left"/>
        <w:rPr>
          <w:sz w:val="24"/>
        </w:rPr>
      </w:pPr>
      <w:bookmarkStart w:name="_bookmark64" w:id="113"/>
      <w:bookmarkEnd w:id="113"/>
      <w:r>
        <w:rPr>
          <w:sz w:val="24"/>
        </w:rPr>
        <w:t>A</w:t>
      </w:r>
      <w:r>
        <w:rPr>
          <w:sz w:val="24"/>
        </w:rPr>
        <w:t>guiar</w:t>
      </w:r>
      <w:r>
        <w:rPr>
          <w:spacing w:val="-3"/>
          <w:sz w:val="24"/>
        </w:rPr>
        <w:t> </w:t>
      </w:r>
      <w:r>
        <w:rPr>
          <w:sz w:val="24"/>
        </w:rPr>
        <w:t>C</w:t>
      </w:r>
      <w:r>
        <w:rPr>
          <w:spacing w:val="-2"/>
          <w:sz w:val="24"/>
        </w:rPr>
        <w:t> </w:t>
      </w:r>
      <w:r>
        <w:rPr>
          <w:sz w:val="24"/>
        </w:rPr>
        <w:t>et</w:t>
      </w:r>
      <w:r>
        <w:rPr>
          <w:spacing w:val="-2"/>
          <w:sz w:val="24"/>
        </w:rPr>
        <w:t> </w:t>
      </w:r>
      <w:r>
        <w:rPr>
          <w:sz w:val="24"/>
        </w:rPr>
        <w:t>al.</w:t>
      </w:r>
      <w:r>
        <w:rPr>
          <w:spacing w:val="-2"/>
          <w:sz w:val="24"/>
        </w:rPr>
        <w:t> </w:t>
      </w:r>
      <w:r>
        <w:rPr>
          <w:sz w:val="24"/>
        </w:rPr>
        <w:t>A</w:t>
      </w:r>
      <w:r>
        <w:rPr>
          <w:spacing w:val="-3"/>
          <w:sz w:val="24"/>
        </w:rPr>
        <w:t> </w:t>
      </w:r>
      <w:r>
        <w:rPr>
          <w:sz w:val="24"/>
        </w:rPr>
        <w:t>review</w:t>
      </w:r>
      <w:r>
        <w:rPr>
          <w:spacing w:val="-1"/>
          <w:sz w:val="24"/>
        </w:rPr>
        <w:t> </w:t>
      </w:r>
      <w:r>
        <w:rPr>
          <w:sz w:val="24"/>
        </w:rPr>
        <w:t>of</w:t>
      </w:r>
      <w:r>
        <w:rPr>
          <w:spacing w:val="-3"/>
          <w:sz w:val="24"/>
        </w:rPr>
        <w:t> </w:t>
      </w:r>
      <w:r>
        <w:rPr>
          <w:sz w:val="24"/>
        </w:rPr>
        <w:t>the</w:t>
      </w:r>
      <w:r>
        <w:rPr>
          <w:spacing w:val="-3"/>
          <w:sz w:val="24"/>
        </w:rPr>
        <w:t> </w:t>
      </w:r>
      <w:r>
        <w:rPr>
          <w:sz w:val="24"/>
        </w:rPr>
        <w:t>evidence</w:t>
      </w:r>
      <w:r>
        <w:rPr>
          <w:spacing w:val="-3"/>
          <w:sz w:val="24"/>
        </w:rPr>
        <w:t> </w:t>
      </w:r>
      <w:r>
        <w:rPr>
          <w:sz w:val="24"/>
        </w:rPr>
        <w:t>on</w:t>
      </w:r>
      <w:r>
        <w:rPr>
          <w:spacing w:val="-2"/>
          <w:sz w:val="24"/>
        </w:rPr>
        <w:t> </w:t>
      </w:r>
      <w:r>
        <w:rPr>
          <w:sz w:val="24"/>
        </w:rPr>
        <w:t>reducing</w:t>
      </w:r>
      <w:r>
        <w:rPr>
          <w:spacing w:val="-2"/>
          <w:sz w:val="24"/>
        </w:rPr>
        <w:t> </w:t>
      </w:r>
      <w:r>
        <w:rPr>
          <w:sz w:val="24"/>
        </w:rPr>
        <w:t>macrovascular</w:t>
      </w:r>
      <w:r>
        <w:rPr>
          <w:spacing w:val="-3"/>
          <w:sz w:val="24"/>
        </w:rPr>
        <w:t> </w:t>
      </w:r>
      <w:r>
        <w:rPr>
          <w:sz w:val="24"/>
        </w:rPr>
        <w:t>risk</w:t>
      </w:r>
      <w:r>
        <w:rPr>
          <w:spacing w:val="-2"/>
          <w:sz w:val="24"/>
        </w:rPr>
        <w:t> </w:t>
      </w:r>
      <w:r>
        <w:rPr>
          <w:sz w:val="24"/>
        </w:rPr>
        <w:t>in patients</w:t>
      </w:r>
      <w:r>
        <w:rPr>
          <w:spacing w:val="-2"/>
          <w:sz w:val="24"/>
        </w:rPr>
        <w:t> </w:t>
      </w:r>
      <w:r>
        <w:rPr>
          <w:sz w:val="24"/>
        </w:rPr>
        <w:t>with atherogenic dyslipidaemia: A report from an expert consensus meeting on the role of fenofibrate–statin combination therapy //Atherosclerosis Supplements. 2015. Vol. 19.</w:t>
      </w:r>
    </w:p>
    <w:p>
      <w:pPr>
        <w:pStyle w:val="BodyText"/>
        <w:spacing w:line="275" w:lineRule="exact"/>
      </w:pPr>
      <w:r>
        <w:rPr/>
        <w:t>P. </w:t>
      </w:r>
      <w:r>
        <w:rPr>
          <w:spacing w:val="-2"/>
        </w:rPr>
        <w:t>1–12.</w:t>
      </w:r>
    </w:p>
    <w:p>
      <w:pPr>
        <w:pStyle w:val="ListParagraph"/>
        <w:numPr>
          <w:ilvl w:val="0"/>
          <w:numId w:val="25"/>
        </w:numPr>
        <w:tabs>
          <w:tab w:pos="1982" w:val="left" w:leader="none"/>
        </w:tabs>
        <w:spacing w:line="360" w:lineRule="auto" w:before="140" w:after="0"/>
        <w:ind w:left="1981" w:right="692" w:hanging="360"/>
        <w:jc w:val="left"/>
        <w:rPr>
          <w:sz w:val="24"/>
        </w:rPr>
      </w:pPr>
      <w:bookmarkStart w:name="_bookmark65" w:id="114"/>
      <w:bookmarkEnd w:id="114"/>
      <w:r>
        <w:rPr>
          <w:sz w:val="24"/>
        </w:rPr>
        <w:t>P</w:t>
      </w:r>
      <w:r>
        <w:rPr>
          <w:sz w:val="24"/>
        </w:rPr>
        <w:t>rospective</w:t>
      </w:r>
      <w:r>
        <w:rPr>
          <w:spacing w:val="-4"/>
          <w:sz w:val="24"/>
        </w:rPr>
        <w:t> </w:t>
      </w:r>
      <w:r>
        <w:rPr>
          <w:sz w:val="24"/>
        </w:rPr>
        <w:t>Studies</w:t>
      </w:r>
      <w:r>
        <w:rPr>
          <w:spacing w:val="-3"/>
          <w:sz w:val="24"/>
        </w:rPr>
        <w:t> </w:t>
      </w:r>
      <w:r>
        <w:rPr>
          <w:sz w:val="24"/>
        </w:rPr>
        <w:t>Collaboration</w:t>
      </w:r>
      <w:r>
        <w:rPr>
          <w:spacing w:val="-3"/>
          <w:sz w:val="24"/>
        </w:rPr>
        <w:t> </w:t>
      </w:r>
      <w:r>
        <w:rPr>
          <w:sz w:val="24"/>
        </w:rPr>
        <w:t>et</w:t>
      </w:r>
      <w:r>
        <w:rPr>
          <w:spacing w:val="-3"/>
          <w:sz w:val="24"/>
        </w:rPr>
        <w:t> </w:t>
      </w:r>
      <w:r>
        <w:rPr>
          <w:sz w:val="24"/>
        </w:rPr>
        <w:t>al.</w:t>
      </w:r>
      <w:r>
        <w:rPr>
          <w:spacing w:val="-3"/>
          <w:sz w:val="24"/>
        </w:rPr>
        <w:t> </w:t>
      </w:r>
      <w:r>
        <w:rPr>
          <w:sz w:val="24"/>
        </w:rPr>
        <w:t>Blood</w:t>
      </w:r>
      <w:r>
        <w:rPr>
          <w:spacing w:val="-3"/>
          <w:sz w:val="24"/>
        </w:rPr>
        <w:t> </w:t>
      </w:r>
      <w:r>
        <w:rPr>
          <w:sz w:val="24"/>
        </w:rPr>
        <w:t>cholesterol</w:t>
      </w:r>
      <w:r>
        <w:rPr>
          <w:spacing w:val="-3"/>
          <w:sz w:val="24"/>
        </w:rPr>
        <w:t> </w:t>
      </w:r>
      <w:r>
        <w:rPr>
          <w:sz w:val="24"/>
        </w:rPr>
        <w:t>and</w:t>
      </w:r>
      <w:r>
        <w:rPr>
          <w:spacing w:val="-3"/>
          <w:sz w:val="24"/>
        </w:rPr>
        <w:t> </w:t>
      </w:r>
      <w:r>
        <w:rPr>
          <w:sz w:val="24"/>
        </w:rPr>
        <w:t>vascular</w:t>
      </w:r>
      <w:r>
        <w:rPr>
          <w:spacing w:val="-4"/>
          <w:sz w:val="24"/>
        </w:rPr>
        <w:t> </w:t>
      </w:r>
      <w:r>
        <w:rPr>
          <w:sz w:val="24"/>
        </w:rPr>
        <w:t>mortality</w:t>
      </w:r>
      <w:r>
        <w:rPr>
          <w:spacing w:val="-3"/>
          <w:sz w:val="24"/>
        </w:rPr>
        <w:t> </w:t>
      </w:r>
      <w:r>
        <w:rPr>
          <w:sz w:val="24"/>
        </w:rPr>
        <w:t>by</w:t>
      </w:r>
      <w:r>
        <w:rPr>
          <w:spacing w:val="-3"/>
          <w:sz w:val="24"/>
        </w:rPr>
        <w:t> </w:t>
      </w:r>
      <w:r>
        <w:rPr>
          <w:sz w:val="24"/>
        </w:rPr>
        <w:t>age, sex, and blood pressure: a meta-analysis of individual data from 61 prospective studies with 55 000 vascular deaths //The Lancet. 2007. Vol. 370. №. 9602. P. 1.</w:t>
      </w:r>
    </w:p>
    <w:p>
      <w:pPr>
        <w:pStyle w:val="ListParagraph"/>
        <w:numPr>
          <w:ilvl w:val="0"/>
          <w:numId w:val="25"/>
        </w:numPr>
        <w:tabs>
          <w:tab w:pos="1982" w:val="left" w:leader="none"/>
        </w:tabs>
        <w:spacing w:line="360" w:lineRule="auto" w:before="0" w:after="0"/>
        <w:ind w:left="1981" w:right="659" w:hanging="360"/>
        <w:jc w:val="left"/>
        <w:rPr>
          <w:sz w:val="24"/>
        </w:rPr>
      </w:pPr>
      <w:r>
        <w:rPr>
          <w:sz w:val="24"/>
        </w:rPr>
        <w:t>Catapano</w:t>
      </w:r>
      <w:r>
        <w:rPr>
          <w:spacing w:val="-3"/>
          <w:sz w:val="24"/>
        </w:rPr>
        <w:t> </w:t>
      </w:r>
      <w:r>
        <w:rPr>
          <w:sz w:val="24"/>
        </w:rPr>
        <w:t>AL</w:t>
      </w:r>
      <w:r>
        <w:rPr>
          <w:spacing w:val="-4"/>
          <w:sz w:val="24"/>
        </w:rPr>
        <w:t> </w:t>
      </w:r>
      <w:r>
        <w:rPr>
          <w:sz w:val="24"/>
        </w:rPr>
        <w:t>et</w:t>
      </w:r>
      <w:r>
        <w:rPr>
          <w:spacing w:val="-1"/>
          <w:sz w:val="24"/>
        </w:rPr>
        <w:t> </w:t>
      </w:r>
      <w:r>
        <w:rPr>
          <w:sz w:val="24"/>
        </w:rPr>
        <w:t>al.</w:t>
      </w:r>
      <w:r>
        <w:rPr>
          <w:spacing w:val="-3"/>
          <w:sz w:val="24"/>
        </w:rPr>
        <w:t> </w:t>
      </w:r>
      <w:r>
        <w:rPr>
          <w:sz w:val="24"/>
        </w:rPr>
        <w:t>2016</w:t>
      </w:r>
      <w:r>
        <w:rPr>
          <w:spacing w:val="-3"/>
          <w:sz w:val="24"/>
        </w:rPr>
        <w:t> </w:t>
      </w:r>
      <w:r>
        <w:rPr>
          <w:sz w:val="24"/>
        </w:rPr>
        <w:t>ESC/EAS</w:t>
      </w:r>
      <w:r>
        <w:rPr>
          <w:spacing w:val="-3"/>
          <w:sz w:val="24"/>
        </w:rPr>
        <w:t> </w:t>
      </w:r>
      <w:r>
        <w:rPr>
          <w:sz w:val="24"/>
        </w:rPr>
        <w:t>Guidelines</w:t>
      </w:r>
      <w:r>
        <w:rPr>
          <w:spacing w:val="-3"/>
          <w:sz w:val="24"/>
        </w:rPr>
        <w:t> </w:t>
      </w:r>
      <w:r>
        <w:rPr>
          <w:sz w:val="24"/>
        </w:rPr>
        <w:t>for</w:t>
      </w:r>
      <w:r>
        <w:rPr>
          <w:spacing w:val="-4"/>
          <w:sz w:val="24"/>
        </w:rPr>
        <w:t> </w:t>
      </w:r>
      <w:r>
        <w:rPr>
          <w:sz w:val="24"/>
        </w:rPr>
        <w:t>the</w:t>
      </w:r>
      <w:r>
        <w:rPr>
          <w:spacing w:val="-4"/>
          <w:sz w:val="24"/>
        </w:rPr>
        <w:t> </w:t>
      </w:r>
      <w:r>
        <w:rPr>
          <w:sz w:val="24"/>
        </w:rPr>
        <w:t>Management</w:t>
      </w:r>
      <w:r>
        <w:rPr>
          <w:spacing w:val="-3"/>
          <w:sz w:val="24"/>
        </w:rPr>
        <w:t> </w:t>
      </w:r>
      <w:r>
        <w:rPr>
          <w:sz w:val="24"/>
        </w:rPr>
        <w:t>of</w:t>
      </w:r>
      <w:r>
        <w:rPr>
          <w:spacing w:val="-4"/>
          <w:sz w:val="24"/>
        </w:rPr>
        <w:t> </w:t>
      </w:r>
      <w:r>
        <w:rPr>
          <w:sz w:val="24"/>
        </w:rPr>
        <w:t>Dyslipidaemias.</w:t>
      </w:r>
      <w:r>
        <w:rPr>
          <w:spacing w:val="-3"/>
          <w:sz w:val="24"/>
        </w:rPr>
        <w:t> </w:t>
      </w:r>
      <w:r>
        <w:rPr>
          <w:sz w:val="24"/>
        </w:rPr>
        <w:t>// Eur Heart J. 2016. Vol. 37. №. 39. P. 2999–3058.</w:t>
      </w:r>
    </w:p>
    <w:p>
      <w:pPr>
        <w:pStyle w:val="ListParagraph"/>
        <w:numPr>
          <w:ilvl w:val="0"/>
          <w:numId w:val="25"/>
        </w:numPr>
        <w:tabs>
          <w:tab w:pos="1982" w:val="left" w:leader="none"/>
        </w:tabs>
        <w:spacing w:line="240" w:lineRule="auto" w:before="0" w:after="0"/>
        <w:ind w:left="1981" w:right="0" w:hanging="361"/>
        <w:jc w:val="left"/>
        <w:rPr>
          <w:sz w:val="24"/>
        </w:rPr>
      </w:pPr>
      <w:bookmarkStart w:name="_bookmark66" w:id="115"/>
      <w:bookmarkEnd w:id="115"/>
      <w:r>
        <w:rPr>
          <w:sz w:val="24"/>
        </w:rPr>
        <w:t>H</w:t>
      </w:r>
      <w:r>
        <w:rPr>
          <w:sz w:val="24"/>
        </w:rPr>
        <w:t>olewijn</w:t>
      </w:r>
      <w:r>
        <w:rPr>
          <w:spacing w:val="-4"/>
          <w:sz w:val="24"/>
        </w:rPr>
        <w:t> </w:t>
      </w:r>
      <w:r>
        <w:rPr>
          <w:sz w:val="24"/>
        </w:rPr>
        <w:t>S</w:t>
      </w:r>
      <w:r>
        <w:rPr>
          <w:spacing w:val="-2"/>
          <w:sz w:val="24"/>
        </w:rPr>
        <w:t> </w:t>
      </w:r>
      <w:r>
        <w:rPr>
          <w:sz w:val="24"/>
        </w:rPr>
        <w:t>et</w:t>
      </w:r>
      <w:r>
        <w:rPr>
          <w:spacing w:val="-1"/>
          <w:sz w:val="24"/>
        </w:rPr>
        <w:t> </w:t>
      </w:r>
      <w:r>
        <w:rPr>
          <w:sz w:val="24"/>
        </w:rPr>
        <w:t>al.</w:t>
      </w:r>
      <w:r>
        <w:rPr>
          <w:spacing w:val="-2"/>
          <w:sz w:val="24"/>
        </w:rPr>
        <w:t> </w:t>
      </w:r>
      <w:r>
        <w:rPr>
          <w:sz w:val="24"/>
        </w:rPr>
        <w:t>Apolipoprotein</w:t>
      </w:r>
      <w:r>
        <w:rPr>
          <w:spacing w:val="-2"/>
          <w:sz w:val="24"/>
        </w:rPr>
        <w:t> </w:t>
      </w:r>
      <w:r>
        <w:rPr>
          <w:sz w:val="24"/>
        </w:rPr>
        <w:t>B,</w:t>
      </w:r>
      <w:r>
        <w:rPr>
          <w:spacing w:val="-1"/>
          <w:sz w:val="24"/>
        </w:rPr>
        <w:t> </w:t>
      </w:r>
      <w:r>
        <w:rPr>
          <w:sz w:val="24"/>
        </w:rPr>
        <w:t>non-HDL</w:t>
      </w:r>
      <w:r>
        <w:rPr>
          <w:spacing w:val="-3"/>
          <w:sz w:val="24"/>
        </w:rPr>
        <w:t> </w:t>
      </w:r>
      <w:r>
        <w:rPr>
          <w:sz w:val="24"/>
        </w:rPr>
        <w:t>cholesterol</w:t>
      </w:r>
      <w:r>
        <w:rPr>
          <w:spacing w:val="-2"/>
          <w:sz w:val="24"/>
        </w:rPr>
        <w:t> </w:t>
      </w:r>
      <w:r>
        <w:rPr>
          <w:sz w:val="24"/>
        </w:rPr>
        <w:t>and</w:t>
      </w:r>
      <w:r>
        <w:rPr>
          <w:spacing w:val="-1"/>
          <w:sz w:val="24"/>
        </w:rPr>
        <w:t> </w:t>
      </w:r>
      <w:r>
        <w:rPr>
          <w:sz w:val="24"/>
        </w:rPr>
        <w:t>LDL cholesterol</w:t>
      </w:r>
      <w:r>
        <w:rPr>
          <w:spacing w:val="-1"/>
          <w:sz w:val="24"/>
        </w:rPr>
        <w:t> </w:t>
      </w:r>
      <w:r>
        <w:rPr>
          <w:spacing w:val="-5"/>
          <w:sz w:val="24"/>
        </w:rPr>
        <w:t>for</w:t>
      </w:r>
    </w:p>
    <w:p>
      <w:pPr>
        <w:spacing w:after="0" w:line="240" w:lineRule="auto"/>
        <w:jc w:val="left"/>
        <w:rPr>
          <w:sz w:val="24"/>
        </w:rPr>
        <w:sectPr>
          <w:pgSz w:w="11910" w:h="16840"/>
          <w:pgMar w:header="0" w:footer="710" w:top="1040" w:bottom="900" w:left="440" w:right="280"/>
        </w:sectPr>
      </w:pPr>
    </w:p>
    <w:p>
      <w:pPr>
        <w:pStyle w:val="BodyText"/>
        <w:spacing w:line="360" w:lineRule="auto" w:before="73"/>
        <w:ind w:right="571"/>
      </w:pPr>
      <w:r>
        <w:rPr/>
        <w:t>identifying</w:t>
      </w:r>
      <w:r>
        <w:rPr>
          <w:spacing w:val="-4"/>
        </w:rPr>
        <w:t> </w:t>
      </w:r>
      <w:r>
        <w:rPr/>
        <w:t>individuals</w:t>
      </w:r>
      <w:r>
        <w:rPr>
          <w:spacing w:val="-4"/>
        </w:rPr>
        <w:t> </w:t>
      </w:r>
      <w:r>
        <w:rPr/>
        <w:t>at</w:t>
      </w:r>
      <w:r>
        <w:rPr>
          <w:spacing w:val="-6"/>
        </w:rPr>
        <w:t> </w:t>
      </w:r>
      <w:r>
        <w:rPr/>
        <w:t>increased</w:t>
      </w:r>
      <w:r>
        <w:rPr>
          <w:spacing w:val="-4"/>
        </w:rPr>
        <w:t> </w:t>
      </w:r>
      <w:r>
        <w:rPr/>
        <w:t>cardiovascular</w:t>
      </w:r>
      <w:r>
        <w:rPr>
          <w:spacing w:val="-3"/>
        </w:rPr>
        <w:t> </w:t>
      </w:r>
      <w:r>
        <w:rPr/>
        <w:t>risk</w:t>
      </w:r>
      <w:r>
        <w:rPr>
          <w:spacing w:val="-4"/>
        </w:rPr>
        <w:t> </w:t>
      </w:r>
      <w:r>
        <w:rPr/>
        <w:t>//</w:t>
      </w:r>
      <w:r>
        <w:rPr>
          <w:spacing w:val="-4"/>
        </w:rPr>
        <w:t> </w:t>
      </w:r>
      <w:r>
        <w:rPr/>
        <w:t>Journal</w:t>
      </w:r>
      <w:r>
        <w:rPr>
          <w:spacing w:val="-4"/>
        </w:rPr>
        <w:t> </w:t>
      </w:r>
      <w:r>
        <w:rPr/>
        <w:t>of</w:t>
      </w:r>
      <w:r>
        <w:rPr>
          <w:spacing w:val="-5"/>
        </w:rPr>
        <w:t> </w:t>
      </w:r>
      <w:r>
        <w:rPr/>
        <w:t>internal</w:t>
      </w:r>
      <w:r>
        <w:rPr>
          <w:spacing w:val="-2"/>
        </w:rPr>
        <w:t> </w:t>
      </w:r>
      <w:r>
        <w:rPr/>
        <w:t>medicine. 2010. Vol. 268. №. 6. P. 567–577.</w:t>
      </w:r>
    </w:p>
    <w:p>
      <w:pPr>
        <w:pStyle w:val="ListParagraph"/>
        <w:numPr>
          <w:ilvl w:val="0"/>
          <w:numId w:val="25"/>
        </w:numPr>
        <w:tabs>
          <w:tab w:pos="1982" w:val="left" w:leader="none"/>
        </w:tabs>
        <w:spacing w:line="360" w:lineRule="auto" w:before="0" w:after="0"/>
        <w:ind w:left="1981" w:right="948" w:hanging="360"/>
        <w:jc w:val="left"/>
        <w:rPr>
          <w:sz w:val="24"/>
        </w:rPr>
      </w:pPr>
      <w:bookmarkStart w:name="_bookmark67" w:id="116"/>
      <w:bookmarkEnd w:id="116"/>
      <w:r>
        <w:rPr>
          <w:sz w:val="24"/>
        </w:rPr>
        <w:t>Bo</w:t>
      </w:r>
      <w:r>
        <w:rPr>
          <w:sz w:val="24"/>
        </w:rPr>
        <w:t>ekholdt SM et al. Association of LDL cholesterol, non–HDL cholesterol, and apolipoprotein</w:t>
      </w:r>
      <w:r>
        <w:rPr>
          <w:spacing w:val="-4"/>
          <w:sz w:val="24"/>
        </w:rPr>
        <w:t> </w:t>
      </w:r>
      <w:r>
        <w:rPr>
          <w:sz w:val="24"/>
        </w:rPr>
        <w:t>B</w:t>
      </w:r>
      <w:r>
        <w:rPr>
          <w:spacing w:val="-4"/>
          <w:sz w:val="24"/>
        </w:rPr>
        <w:t> </w:t>
      </w:r>
      <w:r>
        <w:rPr>
          <w:sz w:val="24"/>
        </w:rPr>
        <w:t>levels</w:t>
      </w:r>
      <w:r>
        <w:rPr>
          <w:spacing w:val="-4"/>
          <w:sz w:val="24"/>
        </w:rPr>
        <w:t> </w:t>
      </w:r>
      <w:r>
        <w:rPr>
          <w:sz w:val="24"/>
        </w:rPr>
        <w:t>with</w:t>
      </w:r>
      <w:r>
        <w:rPr>
          <w:spacing w:val="-4"/>
          <w:sz w:val="24"/>
        </w:rPr>
        <w:t> </w:t>
      </w:r>
      <w:r>
        <w:rPr>
          <w:sz w:val="24"/>
        </w:rPr>
        <w:t>risk</w:t>
      </w:r>
      <w:r>
        <w:rPr>
          <w:spacing w:val="-4"/>
          <w:sz w:val="24"/>
        </w:rPr>
        <w:t> </w:t>
      </w:r>
      <w:r>
        <w:rPr>
          <w:sz w:val="24"/>
        </w:rPr>
        <w:t>of</w:t>
      </w:r>
      <w:r>
        <w:rPr>
          <w:spacing w:val="-5"/>
          <w:sz w:val="24"/>
        </w:rPr>
        <w:t> </w:t>
      </w:r>
      <w:r>
        <w:rPr>
          <w:sz w:val="24"/>
        </w:rPr>
        <w:t>cardiovascular</w:t>
      </w:r>
      <w:r>
        <w:rPr>
          <w:spacing w:val="-5"/>
          <w:sz w:val="24"/>
        </w:rPr>
        <w:t> </w:t>
      </w:r>
      <w:r>
        <w:rPr>
          <w:sz w:val="24"/>
        </w:rPr>
        <w:t>events</w:t>
      </w:r>
      <w:r>
        <w:rPr>
          <w:spacing w:val="-2"/>
          <w:sz w:val="24"/>
        </w:rPr>
        <w:t> </w:t>
      </w:r>
      <w:r>
        <w:rPr>
          <w:sz w:val="24"/>
        </w:rPr>
        <w:t>among</w:t>
      </w:r>
      <w:r>
        <w:rPr>
          <w:spacing w:val="-4"/>
          <w:sz w:val="24"/>
        </w:rPr>
        <w:t> </w:t>
      </w:r>
      <w:r>
        <w:rPr>
          <w:sz w:val="24"/>
        </w:rPr>
        <w:t>patients</w:t>
      </w:r>
      <w:r>
        <w:rPr>
          <w:spacing w:val="-4"/>
          <w:sz w:val="24"/>
        </w:rPr>
        <w:t> </w:t>
      </w:r>
      <w:r>
        <w:rPr>
          <w:sz w:val="24"/>
        </w:rPr>
        <w:t>treated</w:t>
      </w:r>
      <w:r>
        <w:rPr>
          <w:spacing w:val="-4"/>
          <w:sz w:val="24"/>
        </w:rPr>
        <w:t> </w:t>
      </w:r>
      <w:r>
        <w:rPr>
          <w:sz w:val="24"/>
        </w:rPr>
        <w:t>with statins: a meta-analysis // Jama. 2012. Vol. 307. №. 12. P. 1302–1309.</w:t>
      </w:r>
    </w:p>
    <w:p>
      <w:pPr>
        <w:pStyle w:val="ListParagraph"/>
        <w:numPr>
          <w:ilvl w:val="0"/>
          <w:numId w:val="25"/>
        </w:numPr>
        <w:tabs>
          <w:tab w:pos="1982" w:val="left" w:leader="none"/>
        </w:tabs>
        <w:spacing w:line="360" w:lineRule="auto" w:before="2" w:after="0"/>
        <w:ind w:left="1981" w:right="711" w:hanging="360"/>
        <w:jc w:val="left"/>
        <w:rPr>
          <w:sz w:val="24"/>
        </w:rPr>
      </w:pPr>
      <w:bookmarkStart w:name="_bookmark68" w:id="117"/>
      <w:bookmarkEnd w:id="117"/>
      <w:r>
        <w:rPr>
          <w:sz w:val="24"/>
        </w:rPr>
        <w:t>L</w:t>
      </w:r>
      <w:r>
        <w:rPr>
          <w:sz w:val="24"/>
        </w:rPr>
        <w:t>angsted</w:t>
      </w:r>
      <w:r>
        <w:rPr>
          <w:spacing w:val="-4"/>
          <w:sz w:val="24"/>
        </w:rPr>
        <w:t> </w:t>
      </w:r>
      <w:r>
        <w:rPr>
          <w:sz w:val="24"/>
        </w:rPr>
        <w:t>A,</w:t>
      </w:r>
      <w:r>
        <w:rPr>
          <w:spacing w:val="-4"/>
          <w:sz w:val="24"/>
        </w:rPr>
        <w:t> </w:t>
      </w:r>
      <w:r>
        <w:rPr>
          <w:sz w:val="24"/>
        </w:rPr>
        <w:t>Nordestgaard</w:t>
      </w:r>
      <w:r>
        <w:rPr>
          <w:spacing w:val="-4"/>
          <w:sz w:val="24"/>
        </w:rPr>
        <w:t> </w:t>
      </w:r>
      <w:r>
        <w:rPr>
          <w:sz w:val="24"/>
        </w:rPr>
        <w:t>BG.</w:t>
      </w:r>
      <w:r>
        <w:rPr>
          <w:spacing w:val="-4"/>
          <w:sz w:val="24"/>
        </w:rPr>
        <w:t> </w:t>
      </w:r>
      <w:r>
        <w:rPr>
          <w:sz w:val="24"/>
        </w:rPr>
        <w:t>Nonfasting</w:t>
      </w:r>
      <w:r>
        <w:rPr>
          <w:spacing w:val="-4"/>
          <w:sz w:val="24"/>
        </w:rPr>
        <w:t> </w:t>
      </w:r>
      <w:r>
        <w:rPr>
          <w:sz w:val="24"/>
        </w:rPr>
        <w:t>versus</w:t>
      </w:r>
      <w:r>
        <w:rPr>
          <w:spacing w:val="-2"/>
          <w:sz w:val="24"/>
        </w:rPr>
        <w:t> </w:t>
      </w:r>
      <w:r>
        <w:rPr>
          <w:sz w:val="24"/>
        </w:rPr>
        <w:t>fasting</w:t>
      </w:r>
      <w:r>
        <w:rPr>
          <w:spacing w:val="-4"/>
          <w:sz w:val="24"/>
        </w:rPr>
        <w:t> </w:t>
      </w:r>
      <w:r>
        <w:rPr>
          <w:sz w:val="24"/>
        </w:rPr>
        <w:t>lipid</w:t>
      </w:r>
      <w:r>
        <w:rPr>
          <w:spacing w:val="-4"/>
          <w:sz w:val="24"/>
        </w:rPr>
        <w:t> </w:t>
      </w:r>
      <w:r>
        <w:rPr>
          <w:sz w:val="24"/>
        </w:rPr>
        <w:t>profile</w:t>
      </w:r>
      <w:r>
        <w:rPr>
          <w:spacing w:val="-5"/>
          <w:sz w:val="24"/>
        </w:rPr>
        <w:t> </w:t>
      </w:r>
      <w:r>
        <w:rPr>
          <w:sz w:val="24"/>
        </w:rPr>
        <w:t>for</w:t>
      </w:r>
      <w:r>
        <w:rPr>
          <w:spacing w:val="-5"/>
          <w:sz w:val="24"/>
        </w:rPr>
        <w:t> </w:t>
      </w:r>
      <w:r>
        <w:rPr>
          <w:sz w:val="24"/>
        </w:rPr>
        <w:t>cardiovascular risk prediction. Pathology. 2019. 51(2): 131–141. doi:10.1016/j.pathol.2018.09.062</w:t>
      </w:r>
    </w:p>
    <w:p>
      <w:pPr>
        <w:pStyle w:val="ListParagraph"/>
        <w:numPr>
          <w:ilvl w:val="0"/>
          <w:numId w:val="25"/>
        </w:numPr>
        <w:tabs>
          <w:tab w:pos="1982" w:val="left" w:leader="none"/>
        </w:tabs>
        <w:spacing w:line="360" w:lineRule="auto" w:before="0" w:after="0"/>
        <w:ind w:left="1981" w:right="922" w:hanging="360"/>
        <w:jc w:val="left"/>
        <w:rPr>
          <w:sz w:val="24"/>
        </w:rPr>
      </w:pPr>
      <w:bookmarkStart w:name="_bookmark69" w:id="118"/>
      <w:bookmarkEnd w:id="118"/>
      <w:r>
        <w:rPr>
          <w:sz w:val="24"/>
        </w:rPr>
        <w:t>F</w:t>
      </w:r>
      <w:r>
        <w:rPr>
          <w:sz w:val="24"/>
        </w:rPr>
        <w:t>arukhi Z, Mora S. The Future of Low-Density Lipoprotein Cholesterol in an Era of Nonfasting</w:t>
      </w:r>
      <w:r>
        <w:rPr>
          <w:spacing w:val="-5"/>
          <w:sz w:val="24"/>
        </w:rPr>
        <w:t> </w:t>
      </w:r>
      <w:r>
        <w:rPr>
          <w:sz w:val="24"/>
        </w:rPr>
        <w:t>Lipid</w:t>
      </w:r>
      <w:r>
        <w:rPr>
          <w:spacing w:val="-5"/>
          <w:sz w:val="24"/>
        </w:rPr>
        <w:t> </w:t>
      </w:r>
      <w:r>
        <w:rPr>
          <w:sz w:val="24"/>
        </w:rPr>
        <w:t>Testing</w:t>
      </w:r>
      <w:r>
        <w:rPr>
          <w:spacing w:val="-5"/>
          <w:sz w:val="24"/>
        </w:rPr>
        <w:t> </w:t>
      </w:r>
      <w:r>
        <w:rPr>
          <w:sz w:val="24"/>
        </w:rPr>
        <w:t>and</w:t>
      </w:r>
      <w:r>
        <w:rPr>
          <w:spacing w:val="-5"/>
          <w:sz w:val="24"/>
        </w:rPr>
        <w:t> </w:t>
      </w:r>
      <w:r>
        <w:rPr>
          <w:sz w:val="24"/>
        </w:rPr>
        <w:t>Potent</w:t>
      </w:r>
      <w:r>
        <w:rPr>
          <w:spacing w:val="-5"/>
          <w:sz w:val="24"/>
        </w:rPr>
        <w:t> </w:t>
      </w:r>
      <w:r>
        <w:rPr>
          <w:sz w:val="24"/>
        </w:rPr>
        <w:t>Low-Density</w:t>
      </w:r>
      <w:r>
        <w:rPr>
          <w:spacing w:val="-3"/>
          <w:sz w:val="24"/>
        </w:rPr>
        <w:t> </w:t>
      </w:r>
      <w:r>
        <w:rPr>
          <w:sz w:val="24"/>
        </w:rPr>
        <w:t>Lipoprotein</w:t>
      </w:r>
      <w:r>
        <w:rPr>
          <w:spacing w:val="-5"/>
          <w:sz w:val="24"/>
        </w:rPr>
        <w:t> </w:t>
      </w:r>
      <w:r>
        <w:rPr>
          <w:sz w:val="24"/>
        </w:rPr>
        <w:t>Lowering.</w:t>
      </w:r>
      <w:r>
        <w:rPr>
          <w:spacing w:val="-3"/>
          <w:sz w:val="24"/>
        </w:rPr>
        <w:t> </w:t>
      </w:r>
      <w:r>
        <w:rPr>
          <w:sz w:val="24"/>
        </w:rPr>
        <w:t>Circulation. 2018. 137(1): 20–23. doi:10.1161/CIRCULATIONAHA.117.031857</w:t>
      </w:r>
    </w:p>
    <w:p>
      <w:pPr>
        <w:pStyle w:val="ListParagraph"/>
        <w:numPr>
          <w:ilvl w:val="0"/>
          <w:numId w:val="25"/>
        </w:numPr>
        <w:tabs>
          <w:tab w:pos="1982" w:val="left" w:leader="none"/>
        </w:tabs>
        <w:spacing w:line="360" w:lineRule="auto" w:before="0" w:after="0"/>
        <w:ind w:left="1981" w:right="750" w:hanging="360"/>
        <w:jc w:val="left"/>
        <w:rPr>
          <w:sz w:val="24"/>
        </w:rPr>
      </w:pPr>
      <w:bookmarkStart w:name="_bookmark70" w:id="119"/>
      <w:bookmarkEnd w:id="119"/>
      <w:r>
        <w:rPr>
          <w:sz w:val="24"/>
        </w:rPr>
        <w:t>M</w:t>
      </w:r>
      <w:r>
        <w:rPr>
          <w:sz w:val="24"/>
        </w:rPr>
        <w:t>eijboom WB, Meijs MF, Schuijf JD et al. Diagnostic accuracy of 64-slice computed tomography</w:t>
      </w:r>
      <w:r>
        <w:rPr>
          <w:spacing w:val="-4"/>
          <w:sz w:val="24"/>
        </w:rPr>
        <w:t> </w:t>
      </w:r>
      <w:r>
        <w:rPr>
          <w:sz w:val="24"/>
        </w:rPr>
        <w:t>coronary</w:t>
      </w:r>
      <w:r>
        <w:rPr>
          <w:spacing w:val="-4"/>
          <w:sz w:val="24"/>
        </w:rPr>
        <w:t> </w:t>
      </w:r>
      <w:r>
        <w:rPr>
          <w:sz w:val="24"/>
        </w:rPr>
        <w:t>angiography:</w:t>
      </w:r>
      <w:r>
        <w:rPr>
          <w:spacing w:val="-4"/>
          <w:sz w:val="24"/>
        </w:rPr>
        <w:t> </w:t>
      </w:r>
      <w:r>
        <w:rPr>
          <w:sz w:val="24"/>
        </w:rPr>
        <w:t>a</w:t>
      </w:r>
      <w:r>
        <w:rPr>
          <w:spacing w:val="-5"/>
          <w:sz w:val="24"/>
        </w:rPr>
        <w:t> </w:t>
      </w:r>
      <w:r>
        <w:rPr>
          <w:sz w:val="24"/>
        </w:rPr>
        <w:t>prospective,</w:t>
      </w:r>
      <w:r>
        <w:rPr>
          <w:spacing w:val="-2"/>
          <w:sz w:val="24"/>
        </w:rPr>
        <w:t> </w:t>
      </w:r>
      <w:r>
        <w:rPr>
          <w:sz w:val="24"/>
        </w:rPr>
        <w:t>multicenter,</w:t>
      </w:r>
      <w:r>
        <w:rPr>
          <w:spacing w:val="-4"/>
          <w:sz w:val="24"/>
        </w:rPr>
        <w:t> </w:t>
      </w:r>
      <w:r>
        <w:rPr>
          <w:sz w:val="24"/>
        </w:rPr>
        <w:t>multivendor</w:t>
      </w:r>
      <w:r>
        <w:rPr>
          <w:spacing w:val="-5"/>
          <w:sz w:val="24"/>
        </w:rPr>
        <w:t> </w:t>
      </w:r>
      <w:r>
        <w:rPr>
          <w:sz w:val="24"/>
        </w:rPr>
        <w:t>study.</w:t>
      </w:r>
      <w:r>
        <w:rPr>
          <w:spacing w:val="-4"/>
          <w:sz w:val="24"/>
        </w:rPr>
        <w:t> </w:t>
      </w:r>
      <w:r>
        <w:rPr>
          <w:sz w:val="24"/>
        </w:rPr>
        <w:t>J</w:t>
      </w:r>
      <w:r>
        <w:rPr>
          <w:spacing w:val="-4"/>
          <w:sz w:val="24"/>
        </w:rPr>
        <w:t> </w:t>
      </w:r>
      <w:r>
        <w:rPr>
          <w:sz w:val="24"/>
        </w:rPr>
        <w:t>Am Coll Cardiol. 2008. 52(25): 2135–2144. doi:10.1016/j.jacc.2008.08.058</w:t>
      </w:r>
    </w:p>
    <w:p>
      <w:pPr>
        <w:pStyle w:val="ListParagraph"/>
        <w:numPr>
          <w:ilvl w:val="0"/>
          <w:numId w:val="25"/>
        </w:numPr>
        <w:tabs>
          <w:tab w:pos="1982" w:val="left" w:leader="none"/>
        </w:tabs>
        <w:spacing w:line="360" w:lineRule="auto" w:before="0" w:after="0"/>
        <w:ind w:left="1981" w:right="824" w:hanging="360"/>
        <w:jc w:val="left"/>
        <w:rPr>
          <w:sz w:val="24"/>
        </w:rPr>
      </w:pPr>
      <w:bookmarkStart w:name="_bookmark71" w:id="120"/>
      <w:bookmarkEnd w:id="120"/>
      <w:r>
        <w:rPr>
          <w:sz w:val="24"/>
        </w:rPr>
        <w:t>A</w:t>
      </w:r>
      <w:r>
        <w:rPr>
          <w:sz w:val="24"/>
        </w:rPr>
        <w:t>gatston</w:t>
      </w:r>
      <w:r>
        <w:rPr>
          <w:spacing w:val="-3"/>
          <w:sz w:val="24"/>
        </w:rPr>
        <w:t> </w:t>
      </w:r>
      <w:r>
        <w:rPr>
          <w:sz w:val="24"/>
        </w:rPr>
        <w:t>AS,</w:t>
      </w:r>
      <w:r>
        <w:rPr>
          <w:spacing w:val="-3"/>
          <w:sz w:val="24"/>
        </w:rPr>
        <w:t> </w:t>
      </w:r>
      <w:r>
        <w:rPr>
          <w:sz w:val="24"/>
        </w:rPr>
        <w:t>Janowitz</w:t>
      </w:r>
      <w:r>
        <w:rPr>
          <w:spacing w:val="-4"/>
          <w:sz w:val="24"/>
        </w:rPr>
        <w:t> </w:t>
      </w:r>
      <w:r>
        <w:rPr>
          <w:sz w:val="24"/>
        </w:rPr>
        <w:t>WR,</w:t>
      </w:r>
      <w:r>
        <w:rPr>
          <w:spacing w:val="-3"/>
          <w:sz w:val="24"/>
        </w:rPr>
        <w:t> </w:t>
      </w:r>
      <w:r>
        <w:rPr>
          <w:sz w:val="24"/>
        </w:rPr>
        <w:t>Hildner</w:t>
      </w:r>
      <w:r>
        <w:rPr>
          <w:spacing w:val="-4"/>
          <w:sz w:val="24"/>
        </w:rPr>
        <w:t> </w:t>
      </w:r>
      <w:r>
        <w:rPr>
          <w:sz w:val="24"/>
        </w:rPr>
        <w:t>FJ</w:t>
      </w:r>
      <w:r>
        <w:rPr>
          <w:spacing w:val="-1"/>
          <w:sz w:val="24"/>
        </w:rPr>
        <w:t> </w:t>
      </w:r>
      <w:r>
        <w:rPr>
          <w:sz w:val="24"/>
        </w:rPr>
        <w:t>et</w:t>
      </w:r>
      <w:r>
        <w:rPr>
          <w:spacing w:val="-3"/>
          <w:sz w:val="24"/>
        </w:rPr>
        <w:t> </w:t>
      </w:r>
      <w:r>
        <w:rPr>
          <w:sz w:val="24"/>
        </w:rPr>
        <w:t>al.</w:t>
      </w:r>
      <w:r>
        <w:rPr>
          <w:spacing w:val="-3"/>
          <w:sz w:val="24"/>
        </w:rPr>
        <w:t> </w:t>
      </w:r>
      <w:r>
        <w:rPr>
          <w:sz w:val="24"/>
        </w:rPr>
        <w:t>Quantification</w:t>
      </w:r>
      <w:r>
        <w:rPr>
          <w:spacing w:val="-3"/>
          <w:sz w:val="24"/>
        </w:rPr>
        <w:t> </w:t>
      </w:r>
      <w:r>
        <w:rPr>
          <w:sz w:val="24"/>
        </w:rPr>
        <w:t>of</w:t>
      </w:r>
      <w:r>
        <w:rPr>
          <w:spacing w:val="-4"/>
          <w:sz w:val="24"/>
        </w:rPr>
        <w:t> </w:t>
      </w:r>
      <w:r>
        <w:rPr>
          <w:sz w:val="24"/>
        </w:rPr>
        <w:t>coronary</w:t>
      </w:r>
      <w:r>
        <w:rPr>
          <w:spacing w:val="-1"/>
          <w:sz w:val="24"/>
        </w:rPr>
        <w:t> </w:t>
      </w:r>
      <w:r>
        <w:rPr>
          <w:sz w:val="24"/>
        </w:rPr>
        <w:t>artery</w:t>
      </w:r>
      <w:r>
        <w:rPr>
          <w:spacing w:val="-3"/>
          <w:sz w:val="24"/>
        </w:rPr>
        <w:t> </w:t>
      </w:r>
      <w:r>
        <w:rPr>
          <w:sz w:val="24"/>
        </w:rPr>
        <w:t>calcium using ultrafast computed tomography. J Am Coll Cardiol. 1990. 15(4): 827–832. </w:t>
      </w:r>
      <w:r>
        <w:rPr>
          <w:spacing w:val="-2"/>
          <w:sz w:val="24"/>
        </w:rPr>
        <w:t>doi:10.1016/0735-1097(90)90282-t</w:t>
      </w:r>
    </w:p>
    <w:p>
      <w:pPr>
        <w:pStyle w:val="ListParagraph"/>
        <w:numPr>
          <w:ilvl w:val="0"/>
          <w:numId w:val="25"/>
        </w:numPr>
        <w:tabs>
          <w:tab w:pos="1982" w:val="left" w:leader="none"/>
        </w:tabs>
        <w:spacing w:line="360" w:lineRule="auto" w:before="0" w:after="0"/>
        <w:ind w:left="1981" w:right="737" w:hanging="360"/>
        <w:jc w:val="left"/>
        <w:rPr>
          <w:sz w:val="24"/>
        </w:rPr>
      </w:pPr>
      <w:bookmarkStart w:name="_bookmark72" w:id="121"/>
      <w:bookmarkEnd w:id="121"/>
      <w:r>
        <w:rPr>
          <w:sz w:val="24"/>
        </w:rPr>
        <w:t>S</w:t>
      </w:r>
      <w:r>
        <w:rPr>
          <w:sz w:val="24"/>
        </w:rPr>
        <w:t>errano</w:t>
      </w:r>
      <w:r>
        <w:rPr>
          <w:spacing w:val="-3"/>
          <w:sz w:val="24"/>
        </w:rPr>
        <w:t> </w:t>
      </w:r>
      <w:r>
        <w:rPr>
          <w:sz w:val="24"/>
        </w:rPr>
        <w:t>CV,</w:t>
      </w:r>
      <w:r>
        <w:rPr>
          <w:spacing w:val="-3"/>
          <w:sz w:val="24"/>
        </w:rPr>
        <w:t> </w:t>
      </w:r>
      <w:r>
        <w:rPr>
          <w:sz w:val="24"/>
        </w:rPr>
        <w:t>de</w:t>
      </w:r>
      <w:r>
        <w:rPr>
          <w:spacing w:val="-4"/>
          <w:sz w:val="24"/>
        </w:rPr>
        <w:t> </w:t>
      </w:r>
      <w:r>
        <w:rPr>
          <w:sz w:val="24"/>
        </w:rPr>
        <w:t>Mattos</w:t>
      </w:r>
      <w:r>
        <w:rPr>
          <w:spacing w:val="-3"/>
          <w:sz w:val="24"/>
        </w:rPr>
        <w:t> </w:t>
      </w:r>
      <w:r>
        <w:rPr>
          <w:sz w:val="24"/>
        </w:rPr>
        <w:t>FR,</w:t>
      </w:r>
      <w:r>
        <w:rPr>
          <w:spacing w:val="-3"/>
          <w:sz w:val="24"/>
        </w:rPr>
        <w:t> </w:t>
      </w:r>
      <w:r>
        <w:rPr>
          <w:sz w:val="24"/>
        </w:rPr>
        <w:t>Pitta</w:t>
      </w:r>
      <w:r>
        <w:rPr>
          <w:spacing w:val="-4"/>
          <w:sz w:val="24"/>
        </w:rPr>
        <w:t> </w:t>
      </w:r>
      <w:r>
        <w:rPr>
          <w:sz w:val="24"/>
        </w:rPr>
        <w:t>FG</w:t>
      </w:r>
      <w:r>
        <w:rPr>
          <w:spacing w:val="-4"/>
          <w:sz w:val="24"/>
        </w:rPr>
        <w:t> </w:t>
      </w:r>
      <w:r>
        <w:rPr>
          <w:sz w:val="24"/>
        </w:rPr>
        <w:t>et</w:t>
      </w:r>
      <w:r>
        <w:rPr>
          <w:spacing w:val="-3"/>
          <w:sz w:val="24"/>
        </w:rPr>
        <w:t> </w:t>
      </w:r>
      <w:r>
        <w:rPr>
          <w:sz w:val="24"/>
        </w:rPr>
        <w:t>al.</w:t>
      </w:r>
      <w:r>
        <w:rPr>
          <w:spacing w:val="-3"/>
          <w:sz w:val="24"/>
        </w:rPr>
        <w:t> </w:t>
      </w:r>
      <w:r>
        <w:rPr>
          <w:sz w:val="24"/>
        </w:rPr>
        <w:t>Association</w:t>
      </w:r>
      <w:r>
        <w:rPr>
          <w:spacing w:val="-3"/>
          <w:sz w:val="24"/>
        </w:rPr>
        <w:t> </w:t>
      </w:r>
      <w:r>
        <w:rPr>
          <w:sz w:val="24"/>
        </w:rPr>
        <w:t>between</w:t>
      </w:r>
      <w:r>
        <w:rPr>
          <w:spacing w:val="-3"/>
          <w:sz w:val="24"/>
        </w:rPr>
        <w:t> </w:t>
      </w:r>
      <w:r>
        <w:rPr>
          <w:sz w:val="24"/>
        </w:rPr>
        <w:t>Neutrophil-Lymphocyte and Platelet-Lymphocyte Ratios and Coronary Artery Calcification Score among Asymptomatic Patients: Data from a Cross-Sectional Study. Mediators Inflamm. 2019. 2019: 1–8. doi:10.1155/2019/6513847</w:t>
      </w:r>
    </w:p>
    <w:p>
      <w:pPr>
        <w:pStyle w:val="ListParagraph"/>
        <w:numPr>
          <w:ilvl w:val="0"/>
          <w:numId w:val="25"/>
        </w:numPr>
        <w:tabs>
          <w:tab w:pos="1982" w:val="left" w:leader="none"/>
        </w:tabs>
        <w:spacing w:line="360" w:lineRule="auto" w:before="0" w:after="0"/>
        <w:ind w:left="1981" w:right="623" w:hanging="360"/>
        <w:jc w:val="left"/>
        <w:rPr>
          <w:sz w:val="24"/>
        </w:rPr>
      </w:pPr>
      <w:bookmarkStart w:name="_bookmark73" w:id="122"/>
      <w:bookmarkEnd w:id="122"/>
      <w:r>
        <w:rPr>
          <w:sz w:val="24"/>
        </w:rPr>
        <w:t>Pi</w:t>
      </w:r>
      <w:r>
        <w:rPr>
          <w:sz w:val="24"/>
        </w:rPr>
        <w:t>epoli MF et al. 2016 European Guidelines on cardiovascular disease prevention in clinical practice: The Sixth Joint Task Force of the European Society of Cardiology and Other Societies on Cardiovascular Disease Prevention in Clinical Practice, (constituted by representatives of 10 societies and by invited experts) Developed with the special contribution</w:t>
      </w:r>
      <w:r>
        <w:rPr>
          <w:spacing w:val="-4"/>
          <w:sz w:val="24"/>
        </w:rPr>
        <w:t> </w:t>
      </w:r>
      <w:r>
        <w:rPr>
          <w:sz w:val="24"/>
        </w:rPr>
        <w:t>of</w:t>
      </w:r>
      <w:r>
        <w:rPr>
          <w:spacing w:val="-5"/>
          <w:sz w:val="24"/>
        </w:rPr>
        <w:t> </w:t>
      </w:r>
      <w:r>
        <w:rPr>
          <w:sz w:val="24"/>
        </w:rPr>
        <w:t>the</w:t>
      </w:r>
      <w:r>
        <w:rPr>
          <w:spacing w:val="-5"/>
          <w:sz w:val="24"/>
        </w:rPr>
        <w:t> </w:t>
      </w:r>
      <w:r>
        <w:rPr>
          <w:sz w:val="24"/>
        </w:rPr>
        <w:t>European</w:t>
      </w:r>
      <w:r>
        <w:rPr>
          <w:spacing w:val="-4"/>
          <w:sz w:val="24"/>
        </w:rPr>
        <w:t> </w:t>
      </w:r>
      <w:r>
        <w:rPr>
          <w:sz w:val="24"/>
        </w:rPr>
        <w:t>Association</w:t>
      </w:r>
      <w:r>
        <w:rPr>
          <w:spacing w:val="-4"/>
          <w:sz w:val="24"/>
        </w:rPr>
        <w:t> </w:t>
      </w:r>
      <w:r>
        <w:rPr>
          <w:sz w:val="24"/>
        </w:rPr>
        <w:t>for</w:t>
      </w:r>
      <w:r>
        <w:rPr>
          <w:spacing w:val="-5"/>
          <w:sz w:val="24"/>
        </w:rPr>
        <w:t> </w:t>
      </w:r>
      <w:r>
        <w:rPr>
          <w:sz w:val="24"/>
        </w:rPr>
        <w:t>Cardiovascular</w:t>
      </w:r>
      <w:r>
        <w:rPr>
          <w:spacing w:val="-5"/>
          <w:sz w:val="24"/>
        </w:rPr>
        <w:t> </w:t>
      </w:r>
      <w:r>
        <w:rPr>
          <w:sz w:val="24"/>
        </w:rPr>
        <w:t>Prevention</w:t>
      </w:r>
      <w:r>
        <w:rPr>
          <w:spacing w:val="-4"/>
          <w:sz w:val="24"/>
        </w:rPr>
        <w:t> </w:t>
      </w:r>
      <w:r>
        <w:rPr>
          <w:sz w:val="24"/>
        </w:rPr>
        <w:t>&amp;</w:t>
      </w:r>
      <w:r>
        <w:rPr>
          <w:spacing w:val="-4"/>
          <w:sz w:val="24"/>
        </w:rPr>
        <w:t> </w:t>
      </w:r>
      <w:r>
        <w:rPr>
          <w:sz w:val="24"/>
        </w:rPr>
        <w:t>Rehabilitation (EACPR) // European heart journal. 2016. Vol. 37. №. 29. P. 231.</w:t>
      </w:r>
    </w:p>
    <w:p>
      <w:pPr>
        <w:pStyle w:val="ListParagraph"/>
        <w:numPr>
          <w:ilvl w:val="0"/>
          <w:numId w:val="25"/>
        </w:numPr>
        <w:tabs>
          <w:tab w:pos="1982" w:val="left" w:leader="none"/>
        </w:tabs>
        <w:spacing w:line="360" w:lineRule="auto" w:before="0" w:after="0"/>
        <w:ind w:left="1981" w:right="939" w:hanging="360"/>
        <w:jc w:val="left"/>
        <w:rPr>
          <w:sz w:val="24"/>
        </w:rPr>
      </w:pPr>
      <w:bookmarkStart w:name="_bookmark74" w:id="123"/>
      <w:bookmarkEnd w:id="123"/>
      <w:r>
        <w:rPr>
          <w:sz w:val="24"/>
        </w:rPr>
        <w:t>Mo</w:t>
      </w:r>
      <w:r>
        <w:rPr>
          <w:sz w:val="24"/>
        </w:rPr>
        <w:t>rtensen</w:t>
      </w:r>
      <w:r>
        <w:rPr>
          <w:spacing w:val="-3"/>
          <w:sz w:val="24"/>
        </w:rPr>
        <w:t> </w:t>
      </w:r>
      <w:r>
        <w:rPr>
          <w:sz w:val="24"/>
        </w:rPr>
        <w:t>MB,</w:t>
      </w:r>
      <w:r>
        <w:rPr>
          <w:spacing w:val="-3"/>
          <w:sz w:val="24"/>
        </w:rPr>
        <w:t> </w:t>
      </w:r>
      <w:r>
        <w:rPr>
          <w:sz w:val="24"/>
        </w:rPr>
        <w:t>Falk</w:t>
      </w:r>
      <w:r>
        <w:rPr>
          <w:spacing w:val="-3"/>
          <w:sz w:val="24"/>
        </w:rPr>
        <w:t> </w:t>
      </w:r>
      <w:r>
        <w:rPr>
          <w:sz w:val="24"/>
        </w:rPr>
        <w:t>E,</w:t>
      </w:r>
      <w:r>
        <w:rPr>
          <w:spacing w:val="-1"/>
          <w:sz w:val="24"/>
        </w:rPr>
        <w:t> </w:t>
      </w:r>
      <w:r>
        <w:rPr>
          <w:sz w:val="24"/>
        </w:rPr>
        <w:t>Li</w:t>
      </w:r>
      <w:r>
        <w:rPr>
          <w:spacing w:val="-3"/>
          <w:sz w:val="24"/>
        </w:rPr>
        <w:t> </w:t>
      </w:r>
      <w:r>
        <w:rPr>
          <w:sz w:val="24"/>
        </w:rPr>
        <w:t>D</w:t>
      </w:r>
      <w:r>
        <w:rPr>
          <w:spacing w:val="-4"/>
          <w:sz w:val="24"/>
        </w:rPr>
        <w:t> </w:t>
      </w:r>
      <w:r>
        <w:rPr>
          <w:sz w:val="24"/>
        </w:rPr>
        <w:t>et</w:t>
      </w:r>
      <w:r>
        <w:rPr>
          <w:spacing w:val="-3"/>
          <w:sz w:val="24"/>
        </w:rPr>
        <w:t> </w:t>
      </w:r>
      <w:r>
        <w:rPr>
          <w:sz w:val="24"/>
        </w:rPr>
        <w:t>al.</w:t>
      </w:r>
      <w:r>
        <w:rPr>
          <w:spacing w:val="-3"/>
          <w:sz w:val="24"/>
        </w:rPr>
        <w:t> </w:t>
      </w:r>
      <w:r>
        <w:rPr>
          <w:sz w:val="24"/>
        </w:rPr>
        <w:t>Statin</w:t>
      </w:r>
      <w:r>
        <w:rPr>
          <w:spacing w:val="-3"/>
          <w:sz w:val="24"/>
        </w:rPr>
        <w:t> </w:t>
      </w:r>
      <w:r>
        <w:rPr>
          <w:sz w:val="24"/>
        </w:rPr>
        <w:t>Trials,</w:t>
      </w:r>
      <w:r>
        <w:rPr>
          <w:spacing w:val="-3"/>
          <w:sz w:val="24"/>
        </w:rPr>
        <w:t> </w:t>
      </w:r>
      <w:r>
        <w:rPr>
          <w:sz w:val="24"/>
        </w:rPr>
        <w:t>Cardiovascular</w:t>
      </w:r>
      <w:r>
        <w:rPr>
          <w:spacing w:val="-4"/>
          <w:sz w:val="24"/>
        </w:rPr>
        <w:t> </w:t>
      </w:r>
      <w:r>
        <w:rPr>
          <w:sz w:val="24"/>
        </w:rPr>
        <w:t>Events,</w:t>
      </w:r>
      <w:r>
        <w:rPr>
          <w:spacing w:val="-3"/>
          <w:sz w:val="24"/>
        </w:rPr>
        <w:t> </w:t>
      </w:r>
      <w:r>
        <w:rPr>
          <w:sz w:val="24"/>
        </w:rPr>
        <w:t>and</w:t>
      </w:r>
      <w:r>
        <w:rPr>
          <w:spacing w:val="-3"/>
          <w:sz w:val="24"/>
        </w:rPr>
        <w:t> </w:t>
      </w:r>
      <w:r>
        <w:rPr>
          <w:sz w:val="24"/>
        </w:rPr>
        <w:t>Coronary Artery Calcification. JACC: Cardiovascular Imaging. 2018. 11(2): 221–230. </w:t>
      </w:r>
      <w:r>
        <w:rPr>
          <w:spacing w:val="-2"/>
          <w:sz w:val="24"/>
        </w:rPr>
        <w:t>doi:10.1016/j.jcmg.2017.01.029</w:t>
      </w:r>
    </w:p>
    <w:p>
      <w:pPr>
        <w:pStyle w:val="ListParagraph"/>
        <w:numPr>
          <w:ilvl w:val="0"/>
          <w:numId w:val="25"/>
        </w:numPr>
        <w:tabs>
          <w:tab w:pos="1982" w:val="left" w:leader="none"/>
        </w:tabs>
        <w:spacing w:line="360" w:lineRule="auto" w:before="0" w:after="0"/>
        <w:ind w:left="1981" w:right="658" w:hanging="360"/>
        <w:jc w:val="left"/>
        <w:rPr>
          <w:sz w:val="24"/>
        </w:rPr>
      </w:pPr>
      <w:bookmarkStart w:name="_bookmark75" w:id="124"/>
      <w:bookmarkEnd w:id="124"/>
      <w:r>
        <w:rPr>
          <w:sz w:val="24"/>
        </w:rPr>
        <w:t>M</w:t>
      </w:r>
      <w:r>
        <w:rPr>
          <w:sz w:val="24"/>
        </w:rPr>
        <w:t>cDermott MM, Kramer CM, Tian L et al. Plaque Composition in the Proximal Superficial</w:t>
      </w:r>
      <w:r>
        <w:rPr>
          <w:spacing w:val="-4"/>
          <w:sz w:val="24"/>
        </w:rPr>
        <w:t> </w:t>
      </w:r>
      <w:r>
        <w:rPr>
          <w:sz w:val="24"/>
        </w:rPr>
        <w:t>Femoral</w:t>
      </w:r>
      <w:r>
        <w:rPr>
          <w:spacing w:val="-4"/>
          <w:sz w:val="24"/>
        </w:rPr>
        <w:t> </w:t>
      </w:r>
      <w:r>
        <w:rPr>
          <w:sz w:val="24"/>
        </w:rPr>
        <w:t>Artery</w:t>
      </w:r>
      <w:r>
        <w:rPr>
          <w:spacing w:val="-4"/>
          <w:sz w:val="24"/>
        </w:rPr>
        <w:t> </w:t>
      </w:r>
      <w:r>
        <w:rPr>
          <w:sz w:val="24"/>
        </w:rPr>
        <w:t>and</w:t>
      </w:r>
      <w:r>
        <w:rPr>
          <w:spacing w:val="-4"/>
          <w:sz w:val="24"/>
        </w:rPr>
        <w:t> </w:t>
      </w:r>
      <w:r>
        <w:rPr>
          <w:sz w:val="24"/>
        </w:rPr>
        <w:t>Peripheral</w:t>
      </w:r>
      <w:r>
        <w:rPr>
          <w:spacing w:val="-4"/>
          <w:sz w:val="24"/>
        </w:rPr>
        <w:t> </w:t>
      </w:r>
      <w:r>
        <w:rPr>
          <w:sz w:val="24"/>
        </w:rPr>
        <w:t>Artery</w:t>
      </w:r>
      <w:r>
        <w:rPr>
          <w:spacing w:val="-2"/>
          <w:sz w:val="24"/>
        </w:rPr>
        <w:t> </w:t>
      </w:r>
      <w:r>
        <w:rPr>
          <w:sz w:val="24"/>
        </w:rPr>
        <w:t>Disease</w:t>
      </w:r>
      <w:r>
        <w:rPr>
          <w:spacing w:val="-5"/>
          <w:sz w:val="24"/>
        </w:rPr>
        <w:t> </w:t>
      </w:r>
      <w:r>
        <w:rPr>
          <w:sz w:val="24"/>
        </w:rPr>
        <w:t>Events.</w:t>
      </w:r>
      <w:r>
        <w:rPr>
          <w:spacing w:val="-4"/>
          <w:sz w:val="24"/>
        </w:rPr>
        <w:t> </w:t>
      </w:r>
      <w:r>
        <w:rPr>
          <w:sz w:val="24"/>
        </w:rPr>
        <w:t>JACC:</w:t>
      </w:r>
      <w:r>
        <w:rPr>
          <w:spacing w:val="-4"/>
          <w:sz w:val="24"/>
        </w:rPr>
        <w:t> </w:t>
      </w:r>
      <w:r>
        <w:rPr>
          <w:sz w:val="24"/>
        </w:rPr>
        <w:t>Cardiovascular Imaging. 2017. 10(9): 1003–1012. doi:10.1016/j.jcmg.2016.08.012</w:t>
      </w:r>
    </w:p>
    <w:p>
      <w:pPr>
        <w:pStyle w:val="ListParagraph"/>
        <w:numPr>
          <w:ilvl w:val="0"/>
          <w:numId w:val="25"/>
        </w:numPr>
        <w:tabs>
          <w:tab w:pos="1982" w:val="left" w:leader="none"/>
        </w:tabs>
        <w:spacing w:line="360" w:lineRule="auto" w:before="0" w:after="0"/>
        <w:ind w:left="1981" w:right="714" w:hanging="360"/>
        <w:jc w:val="left"/>
        <w:rPr>
          <w:sz w:val="24"/>
        </w:rPr>
      </w:pPr>
      <w:bookmarkStart w:name="_bookmark76" w:id="125"/>
      <w:bookmarkEnd w:id="125"/>
      <w:r>
        <w:rPr>
          <w:sz w:val="24"/>
        </w:rPr>
        <w:t>Sill</w:t>
      </w:r>
      <w:r>
        <w:rPr>
          <w:sz w:val="24"/>
        </w:rPr>
        <w:t>esen H, Sartori S, Sandholt B et al. Carotid plaque thickness and carotid plaque burden</w:t>
      </w:r>
      <w:r>
        <w:rPr>
          <w:spacing w:val="-4"/>
          <w:sz w:val="24"/>
        </w:rPr>
        <w:t> </w:t>
      </w:r>
      <w:r>
        <w:rPr>
          <w:sz w:val="24"/>
        </w:rPr>
        <w:t>predict</w:t>
      </w:r>
      <w:r>
        <w:rPr>
          <w:spacing w:val="-4"/>
          <w:sz w:val="24"/>
        </w:rPr>
        <w:t> </w:t>
      </w:r>
      <w:r>
        <w:rPr>
          <w:sz w:val="24"/>
        </w:rPr>
        <w:t>future</w:t>
      </w:r>
      <w:r>
        <w:rPr>
          <w:spacing w:val="-3"/>
          <w:sz w:val="24"/>
        </w:rPr>
        <w:t> </w:t>
      </w:r>
      <w:r>
        <w:rPr>
          <w:sz w:val="24"/>
        </w:rPr>
        <w:t>cardiovascular</w:t>
      </w:r>
      <w:r>
        <w:rPr>
          <w:spacing w:val="-5"/>
          <w:sz w:val="24"/>
        </w:rPr>
        <w:t> </w:t>
      </w:r>
      <w:r>
        <w:rPr>
          <w:sz w:val="24"/>
        </w:rPr>
        <w:t>events</w:t>
      </w:r>
      <w:r>
        <w:rPr>
          <w:spacing w:val="-4"/>
          <w:sz w:val="24"/>
        </w:rPr>
        <w:t> </w:t>
      </w:r>
      <w:r>
        <w:rPr>
          <w:sz w:val="24"/>
        </w:rPr>
        <w:t>in</w:t>
      </w:r>
      <w:r>
        <w:rPr>
          <w:spacing w:val="-4"/>
          <w:sz w:val="24"/>
        </w:rPr>
        <w:t> </w:t>
      </w:r>
      <w:r>
        <w:rPr>
          <w:sz w:val="24"/>
        </w:rPr>
        <w:t>asymptomatic</w:t>
      </w:r>
      <w:r>
        <w:rPr>
          <w:spacing w:val="-5"/>
          <w:sz w:val="24"/>
        </w:rPr>
        <w:t> </w:t>
      </w:r>
      <w:r>
        <w:rPr>
          <w:sz w:val="24"/>
        </w:rPr>
        <w:t>adult</w:t>
      </w:r>
      <w:r>
        <w:rPr>
          <w:spacing w:val="-4"/>
          <w:sz w:val="24"/>
        </w:rPr>
        <w:t> </w:t>
      </w:r>
      <w:r>
        <w:rPr>
          <w:sz w:val="24"/>
        </w:rPr>
        <w:t>Americans.</w:t>
      </w:r>
      <w:r>
        <w:rPr>
          <w:spacing w:val="-4"/>
          <w:sz w:val="24"/>
        </w:rPr>
        <w:t> </w:t>
      </w:r>
      <w:r>
        <w:rPr>
          <w:sz w:val="24"/>
        </w:rPr>
        <w:t>European Heart Journal — Cardiovascular Imaging. 2017. 19(9): 1042–1050. doi:10.1093/ehj</w:t>
      </w:r>
    </w:p>
    <w:p>
      <w:pPr>
        <w:spacing w:after="0" w:line="360" w:lineRule="auto"/>
        <w:jc w:val="left"/>
        <w:rPr>
          <w:sz w:val="24"/>
        </w:rPr>
        <w:sectPr>
          <w:pgSz w:w="11910" w:h="16840"/>
          <w:pgMar w:header="0" w:footer="710" w:top="1040" w:bottom="900" w:left="440" w:right="280"/>
        </w:sectPr>
      </w:pPr>
    </w:p>
    <w:p>
      <w:pPr>
        <w:pStyle w:val="ListParagraph"/>
        <w:numPr>
          <w:ilvl w:val="0"/>
          <w:numId w:val="25"/>
        </w:numPr>
        <w:tabs>
          <w:tab w:pos="1982" w:val="left" w:leader="none"/>
        </w:tabs>
        <w:spacing w:line="360" w:lineRule="auto" w:before="73" w:after="0"/>
        <w:ind w:left="1981" w:right="591" w:hanging="360"/>
        <w:jc w:val="left"/>
        <w:rPr>
          <w:sz w:val="24"/>
        </w:rPr>
      </w:pPr>
      <w:bookmarkStart w:name="_bookmark77" w:id="126"/>
      <w:bookmarkEnd w:id="126"/>
      <w:r>
        <w:rPr>
          <w:sz w:val="24"/>
        </w:rPr>
        <w:t>P</w:t>
      </w:r>
      <w:r>
        <w:rPr>
          <w:sz w:val="24"/>
        </w:rPr>
        <w:t>errone-Filardi</w:t>
      </w:r>
      <w:r>
        <w:rPr>
          <w:spacing w:val="-3"/>
          <w:sz w:val="24"/>
        </w:rPr>
        <w:t> </w:t>
      </w:r>
      <w:r>
        <w:rPr>
          <w:sz w:val="24"/>
        </w:rPr>
        <w:t>P,</w:t>
      </w:r>
      <w:r>
        <w:rPr>
          <w:spacing w:val="-3"/>
          <w:sz w:val="24"/>
        </w:rPr>
        <w:t> </w:t>
      </w:r>
      <w:r>
        <w:rPr>
          <w:sz w:val="24"/>
        </w:rPr>
        <w:t>Achenbach</w:t>
      </w:r>
      <w:r>
        <w:rPr>
          <w:spacing w:val="-3"/>
          <w:sz w:val="24"/>
        </w:rPr>
        <w:t> </w:t>
      </w:r>
      <w:r>
        <w:rPr>
          <w:sz w:val="24"/>
        </w:rPr>
        <w:t>S,</w:t>
      </w:r>
      <w:r>
        <w:rPr>
          <w:spacing w:val="-3"/>
          <w:sz w:val="24"/>
        </w:rPr>
        <w:t> </w:t>
      </w:r>
      <w:r>
        <w:rPr>
          <w:sz w:val="24"/>
        </w:rPr>
        <w:t>Mohlenkamp</w:t>
      </w:r>
      <w:r>
        <w:rPr>
          <w:spacing w:val="-3"/>
          <w:sz w:val="24"/>
        </w:rPr>
        <w:t> </w:t>
      </w:r>
      <w:r>
        <w:rPr>
          <w:sz w:val="24"/>
        </w:rPr>
        <w:t>S</w:t>
      </w:r>
      <w:r>
        <w:rPr>
          <w:spacing w:val="-3"/>
          <w:sz w:val="24"/>
        </w:rPr>
        <w:t> </w:t>
      </w:r>
      <w:r>
        <w:rPr>
          <w:sz w:val="24"/>
        </w:rPr>
        <w:t>et</w:t>
      </w:r>
      <w:r>
        <w:rPr>
          <w:spacing w:val="-3"/>
          <w:sz w:val="24"/>
        </w:rPr>
        <w:t> </w:t>
      </w:r>
      <w:r>
        <w:rPr>
          <w:sz w:val="24"/>
        </w:rPr>
        <w:t>al.</w:t>
      </w:r>
      <w:r>
        <w:rPr>
          <w:spacing w:val="-3"/>
          <w:sz w:val="24"/>
        </w:rPr>
        <w:t> </w:t>
      </w:r>
      <w:r>
        <w:rPr>
          <w:sz w:val="24"/>
        </w:rPr>
        <w:t>Cardiac</w:t>
      </w:r>
      <w:r>
        <w:rPr>
          <w:spacing w:val="-4"/>
          <w:sz w:val="24"/>
        </w:rPr>
        <w:t> </w:t>
      </w:r>
      <w:r>
        <w:rPr>
          <w:sz w:val="24"/>
        </w:rPr>
        <w:t>computed</w:t>
      </w:r>
      <w:r>
        <w:rPr>
          <w:spacing w:val="-3"/>
          <w:sz w:val="24"/>
        </w:rPr>
        <w:t> </w:t>
      </w:r>
      <w:r>
        <w:rPr>
          <w:sz w:val="24"/>
        </w:rPr>
        <w:t>tomography</w:t>
      </w:r>
      <w:r>
        <w:rPr>
          <w:spacing w:val="-3"/>
          <w:sz w:val="24"/>
        </w:rPr>
        <w:t> </w:t>
      </w:r>
      <w:r>
        <w:rPr>
          <w:sz w:val="24"/>
        </w:rPr>
        <w:t>and myocardial perfusion scintigraphy for risk stratification in asymptomatic individuals without known cardiovascular disease:, a position statement of the Working Group on Nuclear Cardiology and Cardiac CT of the European Society of Cardiology //European heart journal. 2011. Vol. 32. №. 16. P. 1986–1993.</w:t>
      </w:r>
    </w:p>
    <w:p>
      <w:pPr>
        <w:pStyle w:val="ListParagraph"/>
        <w:numPr>
          <w:ilvl w:val="0"/>
          <w:numId w:val="25"/>
        </w:numPr>
        <w:tabs>
          <w:tab w:pos="1982" w:val="left" w:leader="none"/>
        </w:tabs>
        <w:spacing w:line="360" w:lineRule="auto" w:before="2" w:after="0"/>
        <w:ind w:left="1981" w:right="723" w:hanging="360"/>
        <w:jc w:val="left"/>
        <w:rPr>
          <w:sz w:val="24"/>
        </w:rPr>
      </w:pPr>
      <w:bookmarkStart w:name="_bookmark78" w:id="127"/>
      <w:bookmarkEnd w:id="127"/>
      <w:r>
        <w:rPr>
          <w:sz w:val="24"/>
        </w:rPr>
        <w:t>D</w:t>
      </w:r>
      <w:r>
        <w:rPr>
          <w:sz w:val="24"/>
        </w:rPr>
        <w:t>en Ruijter HM, Peters SAE, Anderson TJ et al. Common Carotid Intima-Media Thickness</w:t>
      </w:r>
      <w:r>
        <w:rPr>
          <w:spacing w:val="-4"/>
          <w:sz w:val="24"/>
        </w:rPr>
        <w:t> </w:t>
      </w:r>
      <w:r>
        <w:rPr>
          <w:sz w:val="24"/>
        </w:rPr>
        <w:t>Measurements</w:t>
      </w:r>
      <w:r>
        <w:rPr>
          <w:spacing w:val="-3"/>
          <w:sz w:val="24"/>
        </w:rPr>
        <w:t> </w:t>
      </w:r>
      <w:r>
        <w:rPr>
          <w:sz w:val="24"/>
        </w:rPr>
        <w:t>in</w:t>
      </w:r>
      <w:r>
        <w:rPr>
          <w:spacing w:val="-4"/>
          <w:sz w:val="24"/>
        </w:rPr>
        <w:t> </w:t>
      </w:r>
      <w:r>
        <w:rPr>
          <w:sz w:val="24"/>
        </w:rPr>
        <w:t>Cardiovascular</w:t>
      </w:r>
      <w:r>
        <w:rPr>
          <w:spacing w:val="-5"/>
          <w:sz w:val="24"/>
        </w:rPr>
        <w:t> </w:t>
      </w:r>
      <w:r>
        <w:rPr>
          <w:sz w:val="24"/>
        </w:rPr>
        <w:t>Risk</w:t>
      </w:r>
      <w:r>
        <w:rPr>
          <w:spacing w:val="-4"/>
          <w:sz w:val="24"/>
        </w:rPr>
        <w:t> </w:t>
      </w:r>
      <w:r>
        <w:rPr>
          <w:sz w:val="24"/>
        </w:rPr>
        <w:t>Prediction.</w:t>
      </w:r>
      <w:r>
        <w:rPr>
          <w:spacing w:val="-4"/>
          <w:sz w:val="24"/>
        </w:rPr>
        <w:t> </w:t>
      </w:r>
      <w:r>
        <w:rPr>
          <w:sz w:val="24"/>
        </w:rPr>
        <w:t>JAMA.</w:t>
      </w:r>
      <w:r>
        <w:rPr>
          <w:spacing w:val="-4"/>
          <w:sz w:val="24"/>
        </w:rPr>
        <w:t> </w:t>
      </w:r>
      <w:r>
        <w:rPr>
          <w:sz w:val="24"/>
        </w:rPr>
        <w:t>2012.</w:t>
      </w:r>
      <w:r>
        <w:rPr>
          <w:spacing w:val="-3"/>
          <w:sz w:val="24"/>
        </w:rPr>
        <w:t> </w:t>
      </w:r>
      <w:r>
        <w:rPr>
          <w:sz w:val="24"/>
        </w:rPr>
        <w:t>308(8):</w:t>
      </w:r>
      <w:r>
        <w:rPr>
          <w:spacing w:val="-4"/>
          <w:sz w:val="24"/>
        </w:rPr>
        <w:t> </w:t>
      </w:r>
      <w:r>
        <w:rPr>
          <w:sz w:val="24"/>
        </w:rPr>
        <w:t>796– 803. doi:10.1001/jama.2012.9630</w:t>
      </w:r>
    </w:p>
    <w:p>
      <w:pPr>
        <w:pStyle w:val="ListParagraph"/>
        <w:numPr>
          <w:ilvl w:val="0"/>
          <w:numId w:val="25"/>
        </w:numPr>
        <w:tabs>
          <w:tab w:pos="1982" w:val="left" w:leader="none"/>
        </w:tabs>
        <w:spacing w:line="360" w:lineRule="auto" w:before="0" w:after="0"/>
        <w:ind w:left="1981" w:right="849" w:hanging="360"/>
        <w:jc w:val="left"/>
        <w:rPr>
          <w:sz w:val="24"/>
        </w:rPr>
      </w:pPr>
      <w:bookmarkStart w:name="_bookmark79" w:id="128"/>
      <w:bookmarkEnd w:id="128"/>
      <w:r>
        <w:rPr>
          <w:sz w:val="24"/>
        </w:rPr>
        <w:t>I</w:t>
      </w:r>
      <w:r>
        <w:rPr>
          <w:sz w:val="24"/>
        </w:rPr>
        <w:t>naba</w:t>
      </w:r>
      <w:r>
        <w:rPr>
          <w:spacing w:val="-4"/>
          <w:sz w:val="24"/>
        </w:rPr>
        <w:t> </w:t>
      </w:r>
      <w:r>
        <w:rPr>
          <w:sz w:val="24"/>
        </w:rPr>
        <w:t>Y,</w:t>
      </w:r>
      <w:r>
        <w:rPr>
          <w:spacing w:val="-3"/>
          <w:sz w:val="24"/>
        </w:rPr>
        <w:t> </w:t>
      </w:r>
      <w:r>
        <w:rPr>
          <w:sz w:val="24"/>
        </w:rPr>
        <w:t>Chen</w:t>
      </w:r>
      <w:r>
        <w:rPr>
          <w:spacing w:val="-3"/>
          <w:sz w:val="24"/>
        </w:rPr>
        <w:t> </w:t>
      </w:r>
      <w:r>
        <w:rPr>
          <w:sz w:val="24"/>
        </w:rPr>
        <w:t>JA,</w:t>
      </w:r>
      <w:r>
        <w:rPr>
          <w:spacing w:val="-3"/>
          <w:sz w:val="24"/>
        </w:rPr>
        <w:t> </w:t>
      </w:r>
      <w:r>
        <w:rPr>
          <w:sz w:val="24"/>
        </w:rPr>
        <w:t>Bergmann</w:t>
      </w:r>
      <w:r>
        <w:rPr>
          <w:spacing w:val="-3"/>
          <w:sz w:val="24"/>
        </w:rPr>
        <w:t> </w:t>
      </w:r>
      <w:r>
        <w:rPr>
          <w:sz w:val="24"/>
        </w:rPr>
        <w:t>SR.</w:t>
      </w:r>
      <w:r>
        <w:rPr>
          <w:spacing w:val="-3"/>
          <w:sz w:val="24"/>
        </w:rPr>
        <w:t> </w:t>
      </w:r>
      <w:r>
        <w:rPr>
          <w:sz w:val="24"/>
        </w:rPr>
        <w:t>Carotid</w:t>
      </w:r>
      <w:r>
        <w:rPr>
          <w:spacing w:val="-3"/>
          <w:sz w:val="24"/>
        </w:rPr>
        <w:t> </w:t>
      </w:r>
      <w:r>
        <w:rPr>
          <w:sz w:val="24"/>
        </w:rPr>
        <w:t>plaque,</w:t>
      </w:r>
      <w:r>
        <w:rPr>
          <w:spacing w:val="-3"/>
          <w:sz w:val="24"/>
        </w:rPr>
        <w:t> </w:t>
      </w:r>
      <w:r>
        <w:rPr>
          <w:sz w:val="24"/>
        </w:rPr>
        <w:t>compared</w:t>
      </w:r>
      <w:r>
        <w:rPr>
          <w:spacing w:val="-3"/>
          <w:sz w:val="24"/>
        </w:rPr>
        <w:t> </w:t>
      </w:r>
      <w:r>
        <w:rPr>
          <w:sz w:val="24"/>
        </w:rPr>
        <w:t>with</w:t>
      </w:r>
      <w:r>
        <w:rPr>
          <w:spacing w:val="-3"/>
          <w:sz w:val="24"/>
        </w:rPr>
        <w:t> </w:t>
      </w:r>
      <w:r>
        <w:rPr>
          <w:sz w:val="24"/>
        </w:rPr>
        <w:t>carotid</w:t>
      </w:r>
      <w:r>
        <w:rPr>
          <w:spacing w:val="-3"/>
          <w:sz w:val="24"/>
        </w:rPr>
        <w:t> </w:t>
      </w:r>
      <w:r>
        <w:rPr>
          <w:sz w:val="24"/>
        </w:rPr>
        <w:t>intima-media thickness, more accurately predicts coronary artery disease events: a meta-analysis // Atherosclerosis. 2012. Vol. 220. №. 1. P. 128–133.</w:t>
      </w:r>
    </w:p>
    <w:p>
      <w:pPr>
        <w:pStyle w:val="ListParagraph"/>
        <w:numPr>
          <w:ilvl w:val="0"/>
          <w:numId w:val="25"/>
        </w:numPr>
        <w:tabs>
          <w:tab w:pos="1982" w:val="left" w:leader="none"/>
        </w:tabs>
        <w:spacing w:line="360" w:lineRule="auto" w:before="0" w:after="0"/>
        <w:ind w:left="1981" w:right="752" w:hanging="360"/>
        <w:jc w:val="both"/>
        <w:rPr>
          <w:sz w:val="24"/>
        </w:rPr>
      </w:pPr>
      <w:bookmarkStart w:name="_bookmark80" w:id="129"/>
      <w:bookmarkEnd w:id="129"/>
      <w:r>
        <w:rPr>
          <w:sz w:val="24"/>
        </w:rPr>
        <w:t>L</w:t>
      </w:r>
      <w:r>
        <w:rPr>
          <w:sz w:val="24"/>
        </w:rPr>
        <w:t>orenz MW et al. Carotid intima-media thickness progression to predict cardiovascular events</w:t>
      </w:r>
      <w:r>
        <w:rPr>
          <w:spacing w:val="-4"/>
          <w:sz w:val="24"/>
        </w:rPr>
        <w:t> </w:t>
      </w:r>
      <w:r>
        <w:rPr>
          <w:sz w:val="24"/>
        </w:rPr>
        <w:t>in</w:t>
      </w:r>
      <w:r>
        <w:rPr>
          <w:spacing w:val="-4"/>
          <w:sz w:val="24"/>
        </w:rPr>
        <w:t> </w:t>
      </w:r>
      <w:r>
        <w:rPr>
          <w:sz w:val="24"/>
        </w:rPr>
        <w:t>the</w:t>
      </w:r>
      <w:r>
        <w:rPr>
          <w:spacing w:val="-5"/>
          <w:sz w:val="24"/>
        </w:rPr>
        <w:t> </w:t>
      </w:r>
      <w:r>
        <w:rPr>
          <w:sz w:val="24"/>
        </w:rPr>
        <w:t>general</w:t>
      </w:r>
      <w:r>
        <w:rPr>
          <w:spacing w:val="-4"/>
          <w:sz w:val="24"/>
        </w:rPr>
        <w:t> </w:t>
      </w:r>
      <w:r>
        <w:rPr>
          <w:sz w:val="24"/>
        </w:rPr>
        <w:t>population</w:t>
      </w:r>
      <w:r>
        <w:rPr>
          <w:spacing w:val="-4"/>
          <w:sz w:val="24"/>
        </w:rPr>
        <w:t> </w:t>
      </w:r>
      <w:r>
        <w:rPr>
          <w:sz w:val="24"/>
        </w:rPr>
        <w:t>(the</w:t>
      </w:r>
      <w:r>
        <w:rPr>
          <w:spacing w:val="-5"/>
          <w:sz w:val="24"/>
        </w:rPr>
        <w:t> </w:t>
      </w:r>
      <w:r>
        <w:rPr>
          <w:sz w:val="24"/>
        </w:rPr>
        <w:t>PROG-IMT</w:t>
      </w:r>
      <w:r>
        <w:rPr>
          <w:spacing w:val="-2"/>
          <w:sz w:val="24"/>
        </w:rPr>
        <w:t> </w:t>
      </w:r>
      <w:r>
        <w:rPr>
          <w:sz w:val="24"/>
        </w:rPr>
        <w:t>collaborative</w:t>
      </w:r>
      <w:r>
        <w:rPr>
          <w:spacing w:val="-5"/>
          <w:sz w:val="24"/>
        </w:rPr>
        <w:t> </w:t>
      </w:r>
      <w:r>
        <w:rPr>
          <w:sz w:val="24"/>
        </w:rPr>
        <w:t>project):</w:t>
      </w:r>
      <w:r>
        <w:rPr>
          <w:spacing w:val="-4"/>
          <w:sz w:val="24"/>
        </w:rPr>
        <w:t> </w:t>
      </w:r>
      <w:r>
        <w:rPr>
          <w:sz w:val="24"/>
        </w:rPr>
        <w:t>a</w:t>
      </w:r>
      <w:r>
        <w:rPr>
          <w:spacing w:val="-3"/>
          <w:sz w:val="24"/>
        </w:rPr>
        <w:t> </w:t>
      </w:r>
      <w:r>
        <w:rPr>
          <w:sz w:val="24"/>
        </w:rPr>
        <w:t>meta-analysis of individual participant data // The Lancet. 2012. Vol. 379. №. 9831. P. 2053–2062.</w:t>
      </w:r>
    </w:p>
    <w:p>
      <w:pPr>
        <w:pStyle w:val="ListParagraph"/>
        <w:numPr>
          <w:ilvl w:val="0"/>
          <w:numId w:val="25"/>
        </w:numPr>
        <w:tabs>
          <w:tab w:pos="1982" w:val="left" w:leader="none"/>
        </w:tabs>
        <w:spacing w:line="360" w:lineRule="auto" w:before="0" w:after="0"/>
        <w:ind w:left="1981" w:right="858" w:hanging="360"/>
        <w:jc w:val="left"/>
        <w:rPr>
          <w:sz w:val="24"/>
        </w:rPr>
      </w:pPr>
      <w:bookmarkStart w:name="_bookmark81" w:id="130"/>
      <w:bookmarkEnd w:id="130"/>
      <w:r>
        <w:rPr>
          <w:sz w:val="24"/>
        </w:rPr>
        <w:t>Pl</w:t>
      </w:r>
      <w:r>
        <w:rPr>
          <w:sz w:val="24"/>
        </w:rPr>
        <w:t>etcher MJ et al. Using the coronary artery calcium score to predict coronary heart disease</w:t>
      </w:r>
      <w:r>
        <w:rPr>
          <w:spacing w:val="-4"/>
          <w:sz w:val="24"/>
        </w:rPr>
        <w:t> </w:t>
      </w:r>
      <w:r>
        <w:rPr>
          <w:sz w:val="24"/>
        </w:rPr>
        <w:t>events:</w:t>
      </w:r>
      <w:r>
        <w:rPr>
          <w:spacing w:val="-3"/>
          <w:sz w:val="24"/>
        </w:rPr>
        <w:t> </w:t>
      </w:r>
      <w:r>
        <w:rPr>
          <w:sz w:val="24"/>
        </w:rPr>
        <w:t>a</w:t>
      </w:r>
      <w:r>
        <w:rPr>
          <w:spacing w:val="-4"/>
          <w:sz w:val="24"/>
        </w:rPr>
        <w:t> </w:t>
      </w:r>
      <w:r>
        <w:rPr>
          <w:sz w:val="24"/>
        </w:rPr>
        <w:t>systematic</w:t>
      </w:r>
      <w:r>
        <w:rPr>
          <w:spacing w:val="-4"/>
          <w:sz w:val="24"/>
        </w:rPr>
        <w:t> </w:t>
      </w:r>
      <w:r>
        <w:rPr>
          <w:sz w:val="24"/>
        </w:rPr>
        <w:t>review</w:t>
      </w:r>
      <w:r>
        <w:rPr>
          <w:spacing w:val="-4"/>
          <w:sz w:val="24"/>
        </w:rPr>
        <w:t> </w:t>
      </w:r>
      <w:r>
        <w:rPr>
          <w:sz w:val="24"/>
        </w:rPr>
        <w:t>and</w:t>
      </w:r>
      <w:r>
        <w:rPr>
          <w:spacing w:val="-3"/>
          <w:sz w:val="24"/>
        </w:rPr>
        <w:t> </w:t>
      </w:r>
      <w:r>
        <w:rPr>
          <w:sz w:val="24"/>
        </w:rPr>
        <w:t>meta-analysis</w:t>
      </w:r>
      <w:r>
        <w:rPr>
          <w:spacing w:val="-3"/>
          <w:sz w:val="24"/>
        </w:rPr>
        <w:t> </w:t>
      </w:r>
      <w:r>
        <w:rPr>
          <w:sz w:val="24"/>
        </w:rPr>
        <w:t>//</w:t>
      </w:r>
      <w:r>
        <w:rPr>
          <w:spacing w:val="-3"/>
          <w:sz w:val="24"/>
        </w:rPr>
        <w:t> </w:t>
      </w:r>
      <w:r>
        <w:rPr>
          <w:sz w:val="24"/>
        </w:rPr>
        <w:t>Archives</w:t>
      </w:r>
      <w:r>
        <w:rPr>
          <w:spacing w:val="-3"/>
          <w:sz w:val="24"/>
        </w:rPr>
        <w:t> </w:t>
      </w:r>
      <w:r>
        <w:rPr>
          <w:sz w:val="24"/>
        </w:rPr>
        <w:t>of</w:t>
      </w:r>
      <w:r>
        <w:rPr>
          <w:spacing w:val="-4"/>
          <w:sz w:val="24"/>
        </w:rPr>
        <w:t> </w:t>
      </w:r>
      <w:r>
        <w:rPr>
          <w:sz w:val="24"/>
        </w:rPr>
        <w:t>internal</w:t>
      </w:r>
      <w:r>
        <w:rPr>
          <w:spacing w:val="-3"/>
          <w:sz w:val="24"/>
        </w:rPr>
        <w:t> </w:t>
      </w:r>
      <w:r>
        <w:rPr>
          <w:sz w:val="24"/>
        </w:rPr>
        <w:t>medicine. 2004. Vol. 164. №. 12. P. 1285–1292.</w:t>
      </w:r>
    </w:p>
    <w:p>
      <w:pPr>
        <w:pStyle w:val="ListParagraph"/>
        <w:numPr>
          <w:ilvl w:val="0"/>
          <w:numId w:val="25"/>
        </w:numPr>
        <w:tabs>
          <w:tab w:pos="1982" w:val="left" w:leader="none"/>
        </w:tabs>
        <w:spacing w:line="360" w:lineRule="auto" w:before="0" w:after="0"/>
        <w:ind w:left="1981" w:right="1043" w:hanging="360"/>
        <w:jc w:val="left"/>
        <w:rPr>
          <w:sz w:val="24"/>
        </w:rPr>
      </w:pPr>
      <w:bookmarkStart w:name="_bookmark82" w:id="131"/>
      <w:bookmarkEnd w:id="131"/>
      <w:r>
        <w:rPr>
          <w:sz w:val="24"/>
        </w:rPr>
        <w:t>A</w:t>
      </w:r>
      <w:r>
        <w:rPr>
          <w:sz w:val="24"/>
        </w:rPr>
        <w:t>kioyamen</w:t>
      </w:r>
      <w:r>
        <w:rPr>
          <w:spacing w:val="-3"/>
          <w:sz w:val="24"/>
        </w:rPr>
        <w:t> </w:t>
      </w:r>
      <w:r>
        <w:rPr>
          <w:sz w:val="24"/>
        </w:rPr>
        <w:t>LE</w:t>
      </w:r>
      <w:r>
        <w:rPr>
          <w:spacing w:val="-4"/>
          <w:sz w:val="24"/>
        </w:rPr>
        <w:t> </w:t>
      </w:r>
      <w:r>
        <w:rPr>
          <w:sz w:val="24"/>
        </w:rPr>
        <w:t>et</w:t>
      </w:r>
      <w:r>
        <w:rPr>
          <w:spacing w:val="-3"/>
          <w:sz w:val="24"/>
        </w:rPr>
        <w:t> </w:t>
      </w:r>
      <w:r>
        <w:rPr>
          <w:sz w:val="24"/>
        </w:rPr>
        <w:t>al.</w:t>
      </w:r>
      <w:r>
        <w:rPr>
          <w:spacing w:val="-3"/>
          <w:sz w:val="24"/>
        </w:rPr>
        <w:t> </w:t>
      </w:r>
      <w:r>
        <w:rPr>
          <w:sz w:val="24"/>
        </w:rPr>
        <w:t>Risk</w:t>
      </w:r>
      <w:r>
        <w:rPr>
          <w:spacing w:val="-3"/>
          <w:sz w:val="24"/>
        </w:rPr>
        <w:t> </w:t>
      </w:r>
      <w:r>
        <w:rPr>
          <w:sz w:val="24"/>
        </w:rPr>
        <w:t>factors</w:t>
      </w:r>
      <w:r>
        <w:rPr>
          <w:spacing w:val="-3"/>
          <w:sz w:val="24"/>
        </w:rPr>
        <w:t> </w:t>
      </w:r>
      <w:r>
        <w:rPr>
          <w:sz w:val="24"/>
        </w:rPr>
        <w:t>for</w:t>
      </w:r>
      <w:r>
        <w:rPr>
          <w:spacing w:val="-4"/>
          <w:sz w:val="24"/>
        </w:rPr>
        <w:t> </w:t>
      </w:r>
      <w:r>
        <w:rPr>
          <w:sz w:val="24"/>
        </w:rPr>
        <w:t>cardiovascular</w:t>
      </w:r>
      <w:r>
        <w:rPr>
          <w:spacing w:val="-4"/>
          <w:sz w:val="24"/>
        </w:rPr>
        <w:t> </w:t>
      </w:r>
      <w:r>
        <w:rPr>
          <w:sz w:val="24"/>
        </w:rPr>
        <w:t>disease</w:t>
      </w:r>
      <w:r>
        <w:rPr>
          <w:spacing w:val="-4"/>
          <w:sz w:val="24"/>
        </w:rPr>
        <w:t> </w:t>
      </w:r>
      <w:r>
        <w:rPr>
          <w:sz w:val="24"/>
        </w:rPr>
        <w:t>in</w:t>
      </w:r>
      <w:r>
        <w:rPr>
          <w:spacing w:val="-3"/>
          <w:sz w:val="24"/>
        </w:rPr>
        <w:t> </w:t>
      </w:r>
      <w:r>
        <w:rPr>
          <w:sz w:val="24"/>
        </w:rPr>
        <w:t>heterozygous</w:t>
      </w:r>
      <w:r>
        <w:rPr>
          <w:spacing w:val="-3"/>
          <w:sz w:val="24"/>
        </w:rPr>
        <w:t> </w:t>
      </w:r>
      <w:r>
        <w:rPr>
          <w:sz w:val="24"/>
        </w:rPr>
        <w:t>familial hypercholesterolemia: A systematic review and meta-analysis // Journal of clinical lipidology. 2019. Vol. 13. №. 1. P. 15–30.</w:t>
      </w:r>
    </w:p>
    <w:p>
      <w:pPr>
        <w:pStyle w:val="ListParagraph"/>
        <w:numPr>
          <w:ilvl w:val="0"/>
          <w:numId w:val="25"/>
        </w:numPr>
        <w:tabs>
          <w:tab w:pos="1982" w:val="left" w:leader="none"/>
        </w:tabs>
        <w:spacing w:line="360" w:lineRule="auto" w:before="0" w:after="0"/>
        <w:ind w:left="1981" w:right="911" w:hanging="360"/>
        <w:jc w:val="left"/>
        <w:rPr>
          <w:sz w:val="24"/>
        </w:rPr>
      </w:pPr>
      <w:bookmarkStart w:name="_bookmark83" w:id="132"/>
      <w:bookmarkEnd w:id="132"/>
      <w:r>
        <w:rPr>
          <w:sz w:val="24"/>
        </w:rPr>
        <w:t>C</w:t>
      </w:r>
      <w:r>
        <w:rPr>
          <w:sz w:val="24"/>
        </w:rPr>
        <w:t>annon</w:t>
      </w:r>
      <w:r>
        <w:rPr>
          <w:spacing w:val="-3"/>
          <w:sz w:val="24"/>
        </w:rPr>
        <w:t> </w:t>
      </w:r>
      <w:r>
        <w:rPr>
          <w:sz w:val="24"/>
        </w:rPr>
        <w:t>C.</w:t>
      </w:r>
      <w:r>
        <w:rPr>
          <w:spacing w:val="-3"/>
          <w:sz w:val="24"/>
        </w:rPr>
        <w:t> </w:t>
      </w:r>
      <w:r>
        <w:rPr>
          <w:sz w:val="24"/>
        </w:rPr>
        <w:t>P</w:t>
      </w:r>
      <w:r>
        <w:rPr>
          <w:spacing w:val="-3"/>
          <w:sz w:val="24"/>
        </w:rPr>
        <w:t> </w:t>
      </w:r>
      <w:r>
        <w:rPr>
          <w:sz w:val="24"/>
        </w:rPr>
        <w:t>et</w:t>
      </w:r>
      <w:r>
        <w:rPr>
          <w:spacing w:val="-3"/>
          <w:sz w:val="24"/>
        </w:rPr>
        <w:t> </w:t>
      </w:r>
      <w:r>
        <w:rPr>
          <w:sz w:val="24"/>
        </w:rPr>
        <w:t>al.</w:t>
      </w:r>
      <w:r>
        <w:rPr>
          <w:spacing w:val="-3"/>
          <w:sz w:val="24"/>
        </w:rPr>
        <w:t> </w:t>
      </w:r>
      <w:r>
        <w:rPr>
          <w:sz w:val="24"/>
        </w:rPr>
        <w:t>Ezetimibe</w:t>
      </w:r>
      <w:r>
        <w:rPr>
          <w:spacing w:val="-4"/>
          <w:sz w:val="24"/>
        </w:rPr>
        <w:t> </w:t>
      </w:r>
      <w:r>
        <w:rPr>
          <w:sz w:val="24"/>
        </w:rPr>
        <w:t>added</w:t>
      </w:r>
      <w:r>
        <w:rPr>
          <w:spacing w:val="-3"/>
          <w:sz w:val="24"/>
        </w:rPr>
        <w:t> </w:t>
      </w:r>
      <w:r>
        <w:rPr>
          <w:sz w:val="24"/>
        </w:rPr>
        <w:t>to</w:t>
      </w:r>
      <w:r>
        <w:rPr>
          <w:spacing w:val="-3"/>
          <w:sz w:val="24"/>
        </w:rPr>
        <w:t> </w:t>
      </w:r>
      <w:r>
        <w:rPr>
          <w:sz w:val="24"/>
        </w:rPr>
        <w:t>statin</w:t>
      </w:r>
      <w:r>
        <w:rPr>
          <w:spacing w:val="-3"/>
          <w:sz w:val="24"/>
        </w:rPr>
        <w:t> </w:t>
      </w:r>
      <w:r>
        <w:rPr>
          <w:sz w:val="24"/>
        </w:rPr>
        <w:t>therapy</w:t>
      </w:r>
      <w:r>
        <w:rPr>
          <w:spacing w:val="-3"/>
          <w:sz w:val="24"/>
        </w:rPr>
        <w:t> </w:t>
      </w:r>
      <w:r>
        <w:rPr>
          <w:sz w:val="24"/>
        </w:rPr>
        <w:t>after</w:t>
      </w:r>
      <w:r>
        <w:rPr>
          <w:spacing w:val="-4"/>
          <w:sz w:val="24"/>
        </w:rPr>
        <w:t> </w:t>
      </w:r>
      <w:r>
        <w:rPr>
          <w:sz w:val="24"/>
        </w:rPr>
        <w:t>acute</w:t>
      </w:r>
      <w:r>
        <w:rPr>
          <w:spacing w:val="-4"/>
          <w:sz w:val="24"/>
        </w:rPr>
        <w:t> </w:t>
      </w:r>
      <w:r>
        <w:rPr>
          <w:sz w:val="24"/>
        </w:rPr>
        <w:t>coronary</w:t>
      </w:r>
      <w:r>
        <w:rPr>
          <w:spacing w:val="-1"/>
          <w:sz w:val="24"/>
        </w:rPr>
        <w:t> </w:t>
      </w:r>
      <w:r>
        <w:rPr>
          <w:sz w:val="24"/>
        </w:rPr>
        <w:t>syndromes</w:t>
      </w:r>
      <w:r>
        <w:rPr>
          <w:spacing w:val="-3"/>
          <w:sz w:val="24"/>
        </w:rPr>
        <w:t> </w:t>
      </w:r>
      <w:r>
        <w:rPr>
          <w:sz w:val="24"/>
        </w:rPr>
        <w:t>// New England Journal of Medicine. 2015. Vol. 372. №. 25. P. 2387–2397.</w:t>
      </w:r>
    </w:p>
    <w:p>
      <w:pPr>
        <w:pStyle w:val="ListParagraph"/>
        <w:numPr>
          <w:ilvl w:val="0"/>
          <w:numId w:val="25"/>
        </w:numPr>
        <w:tabs>
          <w:tab w:pos="1982" w:val="left" w:leader="none"/>
        </w:tabs>
        <w:spacing w:line="360" w:lineRule="auto" w:before="0" w:after="0"/>
        <w:ind w:left="1981" w:right="685" w:hanging="360"/>
        <w:jc w:val="both"/>
        <w:rPr>
          <w:sz w:val="24"/>
        </w:rPr>
      </w:pPr>
      <w:bookmarkStart w:name="_bookmark84" w:id="133"/>
      <w:bookmarkEnd w:id="133"/>
      <w:r>
        <w:rPr>
          <w:sz w:val="24"/>
        </w:rPr>
        <w:t>T</w:t>
      </w:r>
      <w:r>
        <w:rPr>
          <w:sz w:val="24"/>
        </w:rPr>
        <w:t>rialists</w:t>
      </w:r>
      <w:r>
        <w:rPr>
          <w:spacing w:val="-3"/>
          <w:sz w:val="24"/>
        </w:rPr>
        <w:t> </w:t>
      </w:r>
      <w:r>
        <w:rPr>
          <w:sz w:val="24"/>
        </w:rPr>
        <w:t>CT</w:t>
      </w:r>
      <w:r>
        <w:rPr>
          <w:spacing w:val="-4"/>
          <w:sz w:val="24"/>
        </w:rPr>
        <w:t> </w:t>
      </w:r>
      <w:r>
        <w:rPr>
          <w:sz w:val="24"/>
        </w:rPr>
        <w:t>et</w:t>
      </w:r>
      <w:r>
        <w:rPr>
          <w:spacing w:val="-3"/>
          <w:sz w:val="24"/>
        </w:rPr>
        <w:t> </w:t>
      </w:r>
      <w:r>
        <w:rPr>
          <w:sz w:val="24"/>
        </w:rPr>
        <w:t>al.</w:t>
      </w:r>
      <w:r>
        <w:rPr>
          <w:spacing w:val="-3"/>
          <w:sz w:val="24"/>
        </w:rPr>
        <w:t> </w:t>
      </w:r>
      <w:r>
        <w:rPr>
          <w:sz w:val="24"/>
        </w:rPr>
        <w:t>Efficacy</w:t>
      </w:r>
      <w:r>
        <w:rPr>
          <w:spacing w:val="-3"/>
          <w:sz w:val="24"/>
        </w:rPr>
        <w:t> </w:t>
      </w:r>
      <w:r>
        <w:rPr>
          <w:sz w:val="24"/>
        </w:rPr>
        <w:t>and</w:t>
      </w:r>
      <w:r>
        <w:rPr>
          <w:spacing w:val="-3"/>
          <w:sz w:val="24"/>
        </w:rPr>
        <w:t> </w:t>
      </w:r>
      <w:r>
        <w:rPr>
          <w:sz w:val="24"/>
        </w:rPr>
        <w:t>safety</w:t>
      </w:r>
      <w:r>
        <w:rPr>
          <w:spacing w:val="-3"/>
          <w:sz w:val="24"/>
        </w:rPr>
        <w:t> </w:t>
      </w:r>
      <w:r>
        <w:rPr>
          <w:sz w:val="24"/>
        </w:rPr>
        <w:t>of</w:t>
      </w:r>
      <w:r>
        <w:rPr>
          <w:spacing w:val="-4"/>
          <w:sz w:val="24"/>
        </w:rPr>
        <w:t> </w:t>
      </w:r>
      <w:r>
        <w:rPr>
          <w:sz w:val="24"/>
        </w:rPr>
        <w:t>LDL-lowering</w:t>
      </w:r>
      <w:r>
        <w:rPr>
          <w:spacing w:val="-3"/>
          <w:sz w:val="24"/>
        </w:rPr>
        <w:t> </w:t>
      </w:r>
      <w:r>
        <w:rPr>
          <w:sz w:val="24"/>
        </w:rPr>
        <w:t>therapy</w:t>
      </w:r>
      <w:r>
        <w:rPr>
          <w:spacing w:val="-1"/>
          <w:sz w:val="24"/>
        </w:rPr>
        <w:t> </w:t>
      </w:r>
      <w:r>
        <w:rPr>
          <w:sz w:val="24"/>
        </w:rPr>
        <w:t>among</w:t>
      </w:r>
      <w:r>
        <w:rPr>
          <w:spacing w:val="-3"/>
          <w:sz w:val="24"/>
        </w:rPr>
        <w:t> </w:t>
      </w:r>
      <w:r>
        <w:rPr>
          <w:sz w:val="24"/>
        </w:rPr>
        <w:t>men</w:t>
      </w:r>
      <w:r>
        <w:rPr>
          <w:spacing w:val="-3"/>
          <w:sz w:val="24"/>
        </w:rPr>
        <w:t> </w:t>
      </w:r>
      <w:r>
        <w:rPr>
          <w:sz w:val="24"/>
        </w:rPr>
        <w:t>and</w:t>
      </w:r>
      <w:r>
        <w:rPr>
          <w:spacing w:val="-3"/>
          <w:sz w:val="24"/>
        </w:rPr>
        <w:t> </w:t>
      </w:r>
      <w:r>
        <w:rPr>
          <w:sz w:val="24"/>
        </w:rPr>
        <w:t>women: meta-analysis</w:t>
      </w:r>
      <w:r>
        <w:rPr>
          <w:spacing w:val="-2"/>
          <w:sz w:val="24"/>
        </w:rPr>
        <w:t> </w:t>
      </w:r>
      <w:r>
        <w:rPr>
          <w:sz w:val="24"/>
        </w:rPr>
        <w:t>of</w:t>
      </w:r>
      <w:r>
        <w:rPr>
          <w:spacing w:val="-3"/>
          <w:sz w:val="24"/>
        </w:rPr>
        <w:t> </w:t>
      </w:r>
      <w:r>
        <w:rPr>
          <w:sz w:val="24"/>
        </w:rPr>
        <w:t>individual</w:t>
      </w:r>
      <w:r>
        <w:rPr>
          <w:spacing w:val="-2"/>
          <w:sz w:val="24"/>
        </w:rPr>
        <w:t> </w:t>
      </w:r>
      <w:r>
        <w:rPr>
          <w:sz w:val="24"/>
        </w:rPr>
        <w:t>data</w:t>
      </w:r>
      <w:r>
        <w:rPr>
          <w:spacing w:val="-3"/>
          <w:sz w:val="24"/>
        </w:rPr>
        <w:t> </w:t>
      </w:r>
      <w:r>
        <w:rPr>
          <w:sz w:val="24"/>
        </w:rPr>
        <w:t>from</w:t>
      </w:r>
      <w:r>
        <w:rPr>
          <w:spacing w:val="-2"/>
          <w:sz w:val="24"/>
        </w:rPr>
        <w:t> </w:t>
      </w:r>
      <w:r>
        <w:rPr>
          <w:sz w:val="24"/>
        </w:rPr>
        <w:t>174</w:t>
      </w:r>
      <w:r>
        <w:rPr>
          <w:spacing w:val="-2"/>
          <w:sz w:val="24"/>
        </w:rPr>
        <w:t> </w:t>
      </w:r>
      <w:r>
        <w:rPr>
          <w:sz w:val="24"/>
        </w:rPr>
        <w:t>000</w:t>
      </w:r>
      <w:r>
        <w:rPr>
          <w:spacing w:val="-2"/>
          <w:sz w:val="24"/>
        </w:rPr>
        <w:t> </w:t>
      </w:r>
      <w:r>
        <w:rPr>
          <w:sz w:val="24"/>
        </w:rPr>
        <w:t>participants</w:t>
      </w:r>
      <w:r>
        <w:rPr>
          <w:spacing w:val="-2"/>
          <w:sz w:val="24"/>
        </w:rPr>
        <w:t> </w:t>
      </w:r>
      <w:r>
        <w:rPr>
          <w:sz w:val="24"/>
        </w:rPr>
        <w:t>in</w:t>
      </w:r>
      <w:r>
        <w:rPr>
          <w:spacing w:val="-2"/>
          <w:sz w:val="24"/>
        </w:rPr>
        <w:t> </w:t>
      </w:r>
      <w:r>
        <w:rPr>
          <w:sz w:val="24"/>
        </w:rPr>
        <w:t>27</w:t>
      </w:r>
      <w:r>
        <w:rPr>
          <w:spacing w:val="-2"/>
          <w:sz w:val="24"/>
        </w:rPr>
        <w:t> </w:t>
      </w:r>
      <w:r>
        <w:rPr>
          <w:sz w:val="24"/>
        </w:rPr>
        <w:t>randomised</w:t>
      </w:r>
      <w:r>
        <w:rPr>
          <w:spacing w:val="-2"/>
          <w:sz w:val="24"/>
        </w:rPr>
        <w:t> </w:t>
      </w:r>
      <w:r>
        <w:rPr>
          <w:sz w:val="24"/>
        </w:rPr>
        <w:t>trials</w:t>
      </w:r>
      <w:r>
        <w:rPr>
          <w:spacing w:val="-2"/>
          <w:sz w:val="24"/>
        </w:rPr>
        <w:t> </w:t>
      </w:r>
      <w:r>
        <w:rPr>
          <w:sz w:val="24"/>
        </w:rPr>
        <w:t>//</w:t>
      </w:r>
      <w:r>
        <w:rPr>
          <w:spacing w:val="-2"/>
          <w:sz w:val="24"/>
        </w:rPr>
        <w:t> </w:t>
      </w:r>
      <w:r>
        <w:rPr>
          <w:sz w:val="24"/>
        </w:rPr>
        <w:t>The Lancet. 2015. Vol. 385. №. 9976. P. 1397–1405.</w:t>
      </w:r>
    </w:p>
    <w:p>
      <w:pPr>
        <w:pStyle w:val="ListParagraph"/>
        <w:numPr>
          <w:ilvl w:val="0"/>
          <w:numId w:val="25"/>
        </w:numPr>
        <w:tabs>
          <w:tab w:pos="1982" w:val="left" w:leader="none"/>
        </w:tabs>
        <w:spacing w:line="360" w:lineRule="auto" w:before="0" w:after="0"/>
        <w:ind w:left="1981" w:right="1021" w:hanging="360"/>
        <w:jc w:val="left"/>
        <w:rPr>
          <w:sz w:val="24"/>
        </w:rPr>
      </w:pPr>
      <w:bookmarkStart w:name="_bookmark85" w:id="134"/>
      <w:bookmarkEnd w:id="134"/>
      <w:r>
        <w:rPr>
          <w:sz w:val="24"/>
        </w:rPr>
        <w:t>S</w:t>
      </w:r>
      <w:r>
        <w:rPr>
          <w:sz w:val="24"/>
        </w:rPr>
        <w:t>abatine</w:t>
      </w:r>
      <w:r>
        <w:rPr>
          <w:spacing w:val="-5"/>
          <w:sz w:val="24"/>
        </w:rPr>
        <w:t> </w:t>
      </w:r>
      <w:r>
        <w:rPr>
          <w:sz w:val="24"/>
        </w:rPr>
        <w:t>MS</w:t>
      </w:r>
      <w:r>
        <w:rPr>
          <w:spacing w:val="-4"/>
          <w:sz w:val="24"/>
        </w:rPr>
        <w:t> </w:t>
      </w:r>
      <w:r>
        <w:rPr>
          <w:sz w:val="24"/>
        </w:rPr>
        <w:t>et</w:t>
      </w:r>
      <w:r>
        <w:rPr>
          <w:spacing w:val="-4"/>
          <w:sz w:val="24"/>
        </w:rPr>
        <w:t> </w:t>
      </w:r>
      <w:r>
        <w:rPr>
          <w:sz w:val="24"/>
        </w:rPr>
        <w:t>al.</w:t>
      </w:r>
      <w:r>
        <w:rPr>
          <w:spacing w:val="-4"/>
          <w:sz w:val="24"/>
        </w:rPr>
        <w:t> </w:t>
      </w:r>
      <w:r>
        <w:rPr>
          <w:sz w:val="24"/>
        </w:rPr>
        <w:t>Evolocumab</w:t>
      </w:r>
      <w:r>
        <w:rPr>
          <w:spacing w:val="-4"/>
          <w:sz w:val="24"/>
        </w:rPr>
        <w:t> </w:t>
      </w:r>
      <w:r>
        <w:rPr>
          <w:sz w:val="24"/>
        </w:rPr>
        <w:t>and</w:t>
      </w:r>
      <w:r>
        <w:rPr>
          <w:spacing w:val="-4"/>
          <w:sz w:val="24"/>
        </w:rPr>
        <w:t> </w:t>
      </w:r>
      <w:r>
        <w:rPr>
          <w:sz w:val="24"/>
        </w:rPr>
        <w:t>clinical</w:t>
      </w:r>
      <w:r>
        <w:rPr>
          <w:spacing w:val="-4"/>
          <w:sz w:val="24"/>
        </w:rPr>
        <w:t> </w:t>
      </w:r>
      <w:r>
        <w:rPr>
          <w:sz w:val="24"/>
        </w:rPr>
        <w:t>outcomes</w:t>
      </w:r>
      <w:r>
        <w:rPr>
          <w:spacing w:val="-4"/>
          <w:sz w:val="24"/>
        </w:rPr>
        <w:t> </w:t>
      </w:r>
      <w:r>
        <w:rPr>
          <w:sz w:val="24"/>
        </w:rPr>
        <w:t>in</w:t>
      </w:r>
      <w:r>
        <w:rPr>
          <w:spacing w:val="-4"/>
          <w:sz w:val="24"/>
        </w:rPr>
        <w:t> </w:t>
      </w:r>
      <w:r>
        <w:rPr>
          <w:sz w:val="24"/>
        </w:rPr>
        <w:t>patients</w:t>
      </w:r>
      <w:r>
        <w:rPr>
          <w:spacing w:val="-4"/>
          <w:sz w:val="24"/>
        </w:rPr>
        <w:t> </w:t>
      </w:r>
      <w:r>
        <w:rPr>
          <w:sz w:val="24"/>
        </w:rPr>
        <w:t>with</w:t>
      </w:r>
      <w:r>
        <w:rPr>
          <w:spacing w:val="-4"/>
          <w:sz w:val="24"/>
        </w:rPr>
        <w:t> </w:t>
      </w:r>
      <w:r>
        <w:rPr>
          <w:sz w:val="24"/>
        </w:rPr>
        <w:t>cardiovascular disease // New England Journal of Medicine. 2017. Vol. 376. №. 18. P. 1713–1722.</w:t>
      </w:r>
    </w:p>
    <w:p>
      <w:pPr>
        <w:pStyle w:val="ListParagraph"/>
        <w:numPr>
          <w:ilvl w:val="0"/>
          <w:numId w:val="25"/>
        </w:numPr>
        <w:tabs>
          <w:tab w:pos="1982" w:val="left" w:leader="none"/>
        </w:tabs>
        <w:spacing w:line="360" w:lineRule="auto" w:before="0" w:after="0"/>
        <w:ind w:left="1981" w:right="577" w:hanging="360"/>
        <w:jc w:val="left"/>
        <w:rPr>
          <w:sz w:val="24"/>
        </w:rPr>
      </w:pPr>
      <w:bookmarkStart w:name="_bookmark86" w:id="135"/>
      <w:bookmarkEnd w:id="135"/>
      <w:r>
        <w:rPr>
          <w:sz w:val="24"/>
        </w:rPr>
        <w:t>Juk</w:t>
      </w:r>
      <w:r>
        <w:rPr>
          <w:sz w:val="24"/>
        </w:rPr>
        <w:t>ema</w:t>
      </w:r>
      <w:r>
        <w:rPr>
          <w:spacing w:val="-5"/>
          <w:sz w:val="24"/>
        </w:rPr>
        <w:t> </w:t>
      </w:r>
      <w:r>
        <w:rPr>
          <w:sz w:val="24"/>
        </w:rPr>
        <w:t>JW</w:t>
      </w:r>
      <w:r>
        <w:rPr>
          <w:spacing w:val="-5"/>
          <w:sz w:val="24"/>
        </w:rPr>
        <w:t> </w:t>
      </w:r>
      <w:r>
        <w:rPr>
          <w:sz w:val="24"/>
        </w:rPr>
        <w:t>et</w:t>
      </w:r>
      <w:r>
        <w:rPr>
          <w:spacing w:val="-4"/>
          <w:sz w:val="24"/>
        </w:rPr>
        <w:t> </w:t>
      </w:r>
      <w:r>
        <w:rPr>
          <w:sz w:val="24"/>
        </w:rPr>
        <w:t>al.</w:t>
      </w:r>
      <w:r>
        <w:rPr>
          <w:spacing w:val="-4"/>
          <w:sz w:val="24"/>
        </w:rPr>
        <w:t> </w:t>
      </w:r>
      <w:r>
        <w:rPr>
          <w:sz w:val="24"/>
        </w:rPr>
        <w:t>ODYSSEY</w:t>
      </w:r>
      <w:r>
        <w:rPr>
          <w:spacing w:val="-5"/>
          <w:sz w:val="24"/>
        </w:rPr>
        <w:t> </w:t>
      </w:r>
      <w:r>
        <w:rPr>
          <w:sz w:val="24"/>
        </w:rPr>
        <w:t>OUTCOMES</w:t>
      </w:r>
      <w:r>
        <w:rPr>
          <w:spacing w:val="-4"/>
          <w:sz w:val="24"/>
        </w:rPr>
        <w:t> </w:t>
      </w:r>
      <w:r>
        <w:rPr>
          <w:sz w:val="24"/>
        </w:rPr>
        <w:t>Committees</w:t>
      </w:r>
      <w:r>
        <w:rPr>
          <w:spacing w:val="-4"/>
          <w:sz w:val="24"/>
        </w:rPr>
        <w:t> </w:t>
      </w:r>
      <w:r>
        <w:rPr>
          <w:sz w:val="24"/>
        </w:rPr>
        <w:t>and</w:t>
      </w:r>
      <w:r>
        <w:rPr>
          <w:spacing w:val="-2"/>
          <w:sz w:val="24"/>
        </w:rPr>
        <w:t> </w:t>
      </w:r>
      <w:r>
        <w:rPr>
          <w:sz w:val="24"/>
        </w:rPr>
        <w:t>Investigators.</w:t>
      </w:r>
      <w:r>
        <w:rPr>
          <w:spacing w:val="-4"/>
          <w:sz w:val="24"/>
        </w:rPr>
        <w:t> </w:t>
      </w:r>
      <w:r>
        <w:rPr>
          <w:sz w:val="24"/>
        </w:rPr>
        <w:t>Alirocumab</w:t>
      </w:r>
      <w:r>
        <w:rPr>
          <w:spacing w:val="-4"/>
          <w:sz w:val="24"/>
        </w:rPr>
        <w:t> </w:t>
      </w:r>
      <w:r>
        <w:rPr>
          <w:sz w:val="24"/>
        </w:rPr>
        <w:t>in patients with polyvascular disease and recent acute coronary syndrome: ODYSSEY OUTCOMES trial // J Am Coll Cardiol. 2019. Vol. 74. №. 9. P. 1167–1176.</w:t>
      </w:r>
    </w:p>
    <w:p>
      <w:pPr>
        <w:pStyle w:val="ListParagraph"/>
        <w:numPr>
          <w:ilvl w:val="0"/>
          <w:numId w:val="25"/>
        </w:numPr>
        <w:tabs>
          <w:tab w:pos="1982" w:val="left" w:leader="none"/>
        </w:tabs>
        <w:spacing w:line="360" w:lineRule="auto" w:before="0" w:after="0"/>
        <w:ind w:left="1981" w:right="572" w:hanging="360"/>
        <w:jc w:val="left"/>
        <w:rPr>
          <w:sz w:val="24"/>
        </w:rPr>
      </w:pPr>
      <w:bookmarkStart w:name="_bookmark87" w:id="136"/>
      <w:bookmarkEnd w:id="136"/>
      <w:r>
        <w:rPr>
          <w:sz w:val="24"/>
        </w:rPr>
        <w:t>T</w:t>
      </w:r>
      <w:r>
        <w:rPr>
          <w:sz w:val="24"/>
        </w:rPr>
        <w:t>rialists CT et al. The effects of lowering LDL cholesterol with statin therapy in people</w:t>
      </w:r>
      <w:r>
        <w:rPr>
          <w:spacing w:val="40"/>
          <w:sz w:val="24"/>
        </w:rPr>
        <w:t> </w:t>
      </w:r>
      <w:r>
        <w:rPr>
          <w:sz w:val="24"/>
        </w:rPr>
        <w:t>at</w:t>
      </w:r>
      <w:r>
        <w:rPr>
          <w:spacing w:val="-3"/>
          <w:sz w:val="24"/>
        </w:rPr>
        <w:t> </w:t>
      </w:r>
      <w:r>
        <w:rPr>
          <w:sz w:val="24"/>
        </w:rPr>
        <w:t>low</w:t>
      </w:r>
      <w:r>
        <w:rPr>
          <w:spacing w:val="-4"/>
          <w:sz w:val="24"/>
        </w:rPr>
        <w:t> </w:t>
      </w:r>
      <w:r>
        <w:rPr>
          <w:sz w:val="24"/>
        </w:rPr>
        <w:t>risk</w:t>
      </w:r>
      <w:r>
        <w:rPr>
          <w:spacing w:val="-3"/>
          <w:sz w:val="24"/>
        </w:rPr>
        <w:t> </w:t>
      </w:r>
      <w:r>
        <w:rPr>
          <w:sz w:val="24"/>
        </w:rPr>
        <w:t>of</w:t>
      </w:r>
      <w:r>
        <w:rPr>
          <w:spacing w:val="-4"/>
          <w:sz w:val="24"/>
        </w:rPr>
        <w:t> </w:t>
      </w:r>
      <w:r>
        <w:rPr>
          <w:sz w:val="24"/>
        </w:rPr>
        <w:t>vascular</w:t>
      </w:r>
      <w:r>
        <w:rPr>
          <w:spacing w:val="-4"/>
          <w:sz w:val="24"/>
        </w:rPr>
        <w:t> </w:t>
      </w:r>
      <w:r>
        <w:rPr>
          <w:sz w:val="24"/>
        </w:rPr>
        <w:t>disease:</w:t>
      </w:r>
      <w:r>
        <w:rPr>
          <w:spacing w:val="-3"/>
          <w:sz w:val="24"/>
        </w:rPr>
        <w:t> </w:t>
      </w:r>
      <w:r>
        <w:rPr>
          <w:sz w:val="24"/>
        </w:rPr>
        <w:t>meta-analysis</w:t>
      </w:r>
      <w:r>
        <w:rPr>
          <w:spacing w:val="-3"/>
          <w:sz w:val="24"/>
        </w:rPr>
        <w:t> </w:t>
      </w:r>
      <w:r>
        <w:rPr>
          <w:sz w:val="24"/>
        </w:rPr>
        <w:t>of</w:t>
      </w:r>
      <w:r>
        <w:rPr>
          <w:spacing w:val="-4"/>
          <w:sz w:val="24"/>
        </w:rPr>
        <w:t> </w:t>
      </w:r>
      <w:r>
        <w:rPr>
          <w:sz w:val="24"/>
        </w:rPr>
        <w:t>individual</w:t>
      </w:r>
      <w:r>
        <w:rPr>
          <w:spacing w:val="-3"/>
          <w:sz w:val="24"/>
        </w:rPr>
        <w:t> </w:t>
      </w:r>
      <w:r>
        <w:rPr>
          <w:sz w:val="24"/>
        </w:rPr>
        <w:t>data</w:t>
      </w:r>
      <w:r>
        <w:rPr>
          <w:spacing w:val="-4"/>
          <w:sz w:val="24"/>
        </w:rPr>
        <w:t> </w:t>
      </w:r>
      <w:r>
        <w:rPr>
          <w:sz w:val="24"/>
        </w:rPr>
        <w:t>from</w:t>
      </w:r>
      <w:r>
        <w:rPr>
          <w:spacing w:val="-3"/>
          <w:sz w:val="24"/>
        </w:rPr>
        <w:t> </w:t>
      </w:r>
      <w:r>
        <w:rPr>
          <w:sz w:val="24"/>
        </w:rPr>
        <w:t>27</w:t>
      </w:r>
      <w:r>
        <w:rPr>
          <w:spacing w:val="-3"/>
          <w:sz w:val="24"/>
        </w:rPr>
        <w:t> </w:t>
      </w:r>
      <w:r>
        <w:rPr>
          <w:sz w:val="24"/>
        </w:rPr>
        <w:t>randomised</w:t>
      </w:r>
      <w:r>
        <w:rPr>
          <w:spacing w:val="-3"/>
          <w:sz w:val="24"/>
        </w:rPr>
        <w:t> </w:t>
      </w:r>
      <w:r>
        <w:rPr>
          <w:sz w:val="24"/>
        </w:rPr>
        <w:t>trials</w:t>
      </w:r>
    </w:p>
    <w:p>
      <w:pPr>
        <w:pStyle w:val="BodyText"/>
      </w:pPr>
      <w:r>
        <w:rPr/>
        <w:t>//</w:t>
      </w:r>
      <w:r>
        <w:rPr>
          <w:spacing w:val="-1"/>
        </w:rPr>
        <w:t> </w:t>
      </w:r>
      <w:r>
        <w:rPr/>
        <w:t>The</w:t>
      </w:r>
      <w:r>
        <w:rPr>
          <w:spacing w:val="-2"/>
        </w:rPr>
        <w:t> </w:t>
      </w:r>
      <w:r>
        <w:rPr/>
        <w:t>Lancet.</w:t>
      </w:r>
      <w:r>
        <w:rPr>
          <w:spacing w:val="-1"/>
        </w:rPr>
        <w:t> </w:t>
      </w:r>
      <w:r>
        <w:rPr/>
        <w:t>2012.</w:t>
      </w:r>
      <w:r>
        <w:rPr>
          <w:spacing w:val="-1"/>
        </w:rPr>
        <w:t> </w:t>
      </w:r>
      <w:r>
        <w:rPr/>
        <w:t>Vol.</w:t>
      </w:r>
      <w:r>
        <w:rPr>
          <w:spacing w:val="2"/>
        </w:rPr>
        <w:t> </w:t>
      </w:r>
      <w:r>
        <w:rPr/>
        <w:t>380.</w:t>
      </w:r>
      <w:r>
        <w:rPr>
          <w:spacing w:val="-1"/>
        </w:rPr>
        <w:t> </w:t>
      </w:r>
      <w:r>
        <w:rPr/>
        <w:t>№.</w:t>
      </w:r>
      <w:r>
        <w:rPr>
          <w:spacing w:val="-1"/>
        </w:rPr>
        <w:t> </w:t>
      </w:r>
      <w:r>
        <w:rPr/>
        <w:t>9841.</w:t>
      </w:r>
      <w:r>
        <w:rPr>
          <w:spacing w:val="-1"/>
        </w:rPr>
        <w:t> </w:t>
      </w:r>
      <w:r>
        <w:rPr/>
        <w:t>P. </w:t>
      </w:r>
      <w:r>
        <w:rPr>
          <w:spacing w:val="-2"/>
        </w:rPr>
        <w:t>581–590.</w:t>
      </w:r>
    </w:p>
    <w:p>
      <w:pPr>
        <w:pStyle w:val="ListParagraph"/>
        <w:numPr>
          <w:ilvl w:val="0"/>
          <w:numId w:val="25"/>
        </w:numPr>
        <w:tabs>
          <w:tab w:pos="1982" w:val="left" w:leader="none"/>
        </w:tabs>
        <w:spacing w:line="360" w:lineRule="auto" w:before="139" w:after="0"/>
        <w:ind w:left="1981" w:right="672" w:hanging="360"/>
        <w:jc w:val="left"/>
        <w:rPr>
          <w:sz w:val="24"/>
        </w:rPr>
      </w:pPr>
      <w:bookmarkStart w:name="_bookmark88" w:id="137"/>
      <w:bookmarkEnd w:id="137"/>
      <w:r>
        <w:rPr>
          <w:sz w:val="24"/>
        </w:rPr>
        <w:t>S</w:t>
      </w:r>
      <w:r>
        <w:rPr>
          <w:sz w:val="24"/>
        </w:rPr>
        <w:t>antos</w:t>
      </w:r>
      <w:r>
        <w:rPr>
          <w:spacing w:val="-3"/>
          <w:sz w:val="24"/>
        </w:rPr>
        <w:t> </w:t>
      </w:r>
      <w:r>
        <w:rPr>
          <w:sz w:val="24"/>
        </w:rPr>
        <w:t>RD</w:t>
      </w:r>
      <w:r>
        <w:rPr>
          <w:spacing w:val="-4"/>
          <w:sz w:val="24"/>
        </w:rPr>
        <w:t> </w:t>
      </w:r>
      <w:r>
        <w:rPr>
          <w:sz w:val="24"/>
        </w:rPr>
        <w:t>et</w:t>
      </w:r>
      <w:r>
        <w:rPr>
          <w:spacing w:val="-3"/>
          <w:sz w:val="24"/>
        </w:rPr>
        <w:t> </w:t>
      </w:r>
      <w:r>
        <w:rPr>
          <w:sz w:val="24"/>
        </w:rPr>
        <w:t>al.</w:t>
      </w:r>
      <w:r>
        <w:rPr>
          <w:spacing w:val="-3"/>
          <w:sz w:val="24"/>
        </w:rPr>
        <w:t> </w:t>
      </w:r>
      <w:r>
        <w:rPr>
          <w:sz w:val="24"/>
        </w:rPr>
        <w:t>Defining</w:t>
      </w:r>
      <w:r>
        <w:rPr>
          <w:spacing w:val="-3"/>
          <w:sz w:val="24"/>
        </w:rPr>
        <w:t> </w:t>
      </w:r>
      <w:r>
        <w:rPr>
          <w:sz w:val="24"/>
        </w:rPr>
        <w:t>severe</w:t>
      </w:r>
      <w:r>
        <w:rPr>
          <w:spacing w:val="-2"/>
          <w:sz w:val="24"/>
        </w:rPr>
        <w:t> </w:t>
      </w:r>
      <w:r>
        <w:rPr>
          <w:sz w:val="24"/>
        </w:rPr>
        <w:t>familial</w:t>
      </w:r>
      <w:r>
        <w:rPr>
          <w:spacing w:val="-3"/>
          <w:sz w:val="24"/>
        </w:rPr>
        <w:t> </w:t>
      </w:r>
      <w:r>
        <w:rPr>
          <w:sz w:val="24"/>
        </w:rPr>
        <w:t>hypercholesterolaemia</w:t>
      </w:r>
      <w:r>
        <w:rPr>
          <w:spacing w:val="-4"/>
          <w:sz w:val="24"/>
        </w:rPr>
        <w:t> </w:t>
      </w:r>
      <w:r>
        <w:rPr>
          <w:sz w:val="24"/>
        </w:rPr>
        <w:t>and</w:t>
      </w:r>
      <w:r>
        <w:rPr>
          <w:spacing w:val="-3"/>
          <w:sz w:val="24"/>
        </w:rPr>
        <w:t> </w:t>
      </w:r>
      <w:r>
        <w:rPr>
          <w:sz w:val="24"/>
        </w:rPr>
        <w:t>the</w:t>
      </w:r>
      <w:r>
        <w:rPr>
          <w:spacing w:val="-4"/>
          <w:sz w:val="24"/>
        </w:rPr>
        <w:t> </w:t>
      </w:r>
      <w:r>
        <w:rPr>
          <w:sz w:val="24"/>
        </w:rPr>
        <w:t>implications</w:t>
      </w:r>
      <w:r>
        <w:rPr>
          <w:spacing w:val="-3"/>
          <w:sz w:val="24"/>
        </w:rPr>
        <w:t> </w:t>
      </w:r>
      <w:r>
        <w:rPr>
          <w:sz w:val="24"/>
        </w:rPr>
        <w:t>for clinical management: a consensus statement from the International Atherosclerosis</w:t>
      </w:r>
    </w:p>
    <w:p>
      <w:pPr>
        <w:spacing w:after="0" w:line="360" w:lineRule="auto"/>
        <w:jc w:val="left"/>
        <w:rPr>
          <w:sz w:val="24"/>
        </w:rPr>
        <w:sectPr>
          <w:pgSz w:w="11910" w:h="16840"/>
          <w:pgMar w:header="0" w:footer="710" w:top="1040" w:bottom="900" w:left="440" w:right="280"/>
        </w:sectPr>
      </w:pPr>
    </w:p>
    <w:p>
      <w:pPr>
        <w:pStyle w:val="BodyText"/>
        <w:spacing w:line="360" w:lineRule="auto" w:before="73"/>
        <w:ind w:right="571"/>
      </w:pPr>
      <w:r>
        <w:rPr/>
        <w:t>Society</w:t>
      </w:r>
      <w:r>
        <w:rPr>
          <w:spacing w:val="-4"/>
        </w:rPr>
        <w:t> </w:t>
      </w:r>
      <w:r>
        <w:rPr/>
        <w:t>Severe</w:t>
      </w:r>
      <w:r>
        <w:rPr>
          <w:spacing w:val="-3"/>
        </w:rPr>
        <w:t> </w:t>
      </w:r>
      <w:r>
        <w:rPr/>
        <w:t>Familial</w:t>
      </w:r>
      <w:r>
        <w:rPr>
          <w:spacing w:val="-4"/>
        </w:rPr>
        <w:t> </w:t>
      </w:r>
      <w:r>
        <w:rPr/>
        <w:t>Hypercholesterolemia</w:t>
      </w:r>
      <w:r>
        <w:rPr>
          <w:spacing w:val="-5"/>
        </w:rPr>
        <w:t> </w:t>
      </w:r>
      <w:r>
        <w:rPr/>
        <w:t>Panel</w:t>
      </w:r>
      <w:r>
        <w:rPr>
          <w:spacing w:val="-4"/>
        </w:rPr>
        <w:t> </w:t>
      </w:r>
      <w:r>
        <w:rPr/>
        <w:t>//</w:t>
      </w:r>
      <w:r>
        <w:rPr>
          <w:spacing w:val="-4"/>
        </w:rPr>
        <w:t> </w:t>
      </w:r>
      <w:r>
        <w:rPr/>
        <w:t>The</w:t>
      </w:r>
      <w:r>
        <w:rPr>
          <w:spacing w:val="-5"/>
        </w:rPr>
        <w:t> </w:t>
      </w:r>
      <w:r>
        <w:rPr/>
        <w:t>lancet</w:t>
      </w:r>
      <w:r>
        <w:rPr>
          <w:spacing w:val="-4"/>
        </w:rPr>
        <w:t> </w:t>
      </w:r>
      <w:r>
        <w:rPr/>
        <w:t>Diabetes</w:t>
      </w:r>
      <w:r>
        <w:rPr>
          <w:spacing w:val="-2"/>
        </w:rPr>
        <w:t> </w:t>
      </w:r>
      <w:r>
        <w:rPr/>
        <w:t>&amp; endocrinology. 2016. Vol. 4. №. 10. P. 850–861.</w:t>
      </w:r>
    </w:p>
    <w:p>
      <w:pPr>
        <w:pStyle w:val="ListParagraph"/>
        <w:numPr>
          <w:ilvl w:val="0"/>
          <w:numId w:val="25"/>
        </w:numPr>
        <w:tabs>
          <w:tab w:pos="1982" w:val="left" w:leader="none"/>
        </w:tabs>
        <w:spacing w:line="360" w:lineRule="auto" w:before="0" w:after="0"/>
        <w:ind w:left="1981" w:right="848" w:hanging="360"/>
        <w:jc w:val="left"/>
        <w:rPr>
          <w:sz w:val="24"/>
        </w:rPr>
      </w:pPr>
      <w:bookmarkStart w:name="_bookmark89" w:id="138"/>
      <w:bookmarkEnd w:id="138"/>
      <w:r>
        <w:rPr>
          <w:sz w:val="24"/>
        </w:rPr>
        <w:t>E</w:t>
      </w:r>
      <w:r>
        <w:rPr>
          <w:sz w:val="24"/>
        </w:rPr>
        <w:t>ckel RH, Jakicic JM, Ard JD et al. 2013 AHA/ACC Guideline on Lifestyle Management</w:t>
      </w:r>
      <w:r>
        <w:rPr>
          <w:spacing w:val="-4"/>
          <w:sz w:val="24"/>
        </w:rPr>
        <w:t> </w:t>
      </w:r>
      <w:r>
        <w:rPr>
          <w:sz w:val="24"/>
        </w:rPr>
        <w:t>to</w:t>
      </w:r>
      <w:r>
        <w:rPr>
          <w:spacing w:val="-4"/>
          <w:sz w:val="24"/>
        </w:rPr>
        <w:t> </w:t>
      </w:r>
      <w:r>
        <w:rPr>
          <w:sz w:val="24"/>
        </w:rPr>
        <w:t>Reduce</w:t>
      </w:r>
      <w:r>
        <w:rPr>
          <w:spacing w:val="-3"/>
          <w:sz w:val="24"/>
        </w:rPr>
        <w:t> </w:t>
      </w:r>
      <w:r>
        <w:rPr>
          <w:sz w:val="24"/>
        </w:rPr>
        <w:t>Cardiovascular</w:t>
      </w:r>
      <w:r>
        <w:rPr>
          <w:spacing w:val="-5"/>
          <w:sz w:val="24"/>
        </w:rPr>
        <w:t> </w:t>
      </w:r>
      <w:r>
        <w:rPr>
          <w:sz w:val="24"/>
        </w:rPr>
        <w:t>Risk.</w:t>
      </w:r>
      <w:r>
        <w:rPr>
          <w:spacing w:val="-4"/>
          <w:sz w:val="24"/>
        </w:rPr>
        <w:t> </w:t>
      </w:r>
      <w:r>
        <w:rPr>
          <w:sz w:val="24"/>
        </w:rPr>
        <w:t>Circulation.</w:t>
      </w:r>
      <w:r>
        <w:rPr>
          <w:spacing w:val="-4"/>
          <w:sz w:val="24"/>
        </w:rPr>
        <w:t> </w:t>
      </w:r>
      <w:r>
        <w:rPr>
          <w:sz w:val="24"/>
        </w:rPr>
        <w:t>2013.</w:t>
      </w:r>
      <w:r>
        <w:rPr>
          <w:spacing w:val="-4"/>
          <w:sz w:val="24"/>
        </w:rPr>
        <w:t> </w:t>
      </w:r>
      <w:r>
        <w:rPr>
          <w:sz w:val="24"/>
        </w:rPr>
        <w:t>129(25</w:t>
      </w:r>
      <w:r>
        <w:rPr>
          <w:spacing w:val="-4"/>
          <w:sz w:val="24"/>
        </w:rPr>
        <w:t> </w:t>
      </w:r>
      <w:r>
        <w:rPr>
          <w:sz w:val="24"/>
        </w:rPr>
        <w:t>suppl</w:t>
      </w:r>
      <w:r>
        <w:rPr>
          <w:spacing w:val="-4"/>
          <w:sz w:val="24"/>
        </w:rPr>
        <w:t> </w:t>
      </w:r>
      <w:r>
        <w:rPr>
          <w:sz w:val="24"/>
        </w:rPr>
        <w:t>2):</w:t>
      </w:r>
      <w:r>
        <w:rPr>
          <w:spacing w:val="-4"/>
          <w:sz w:val="24"/>
        </w:rPr>
        <w:t> </w:t>
      </w:r>
      <w:r>
        <w:rPr>
          <w:sz w:val="24"/>
        </w:rPr>
        <w:t>S76– S99. doi:10.1161/01.cir.0000437740.48606.d1</w:t>
      </w:r>
    </w:p>
    <w:p>
      <w:pPr>
        <w:pStyle w:val="ListParagraph"/>
        <w:numPr>
          <w:ilvl w:val="0"/>
          <w:numId w:val="25"/>
        </w:numPr>
        <w:tabs>
          <w:tab w:pos="1982" w:val="left" w:leader="none"/>
        </w:tabs>
        <w:spacing w:line="360" w:lineRule="auto" w:before="2" w:after="0"/>
        <w:ind w:left="1981" w:right="771" w:hanging="360"/>
        <w:jc w:val="left"/>
        <w:rPr>
          <w:sz w:val="24"/>
        </w:rPr>
      </w:pPr>
      <w:bookmarkStart w:name="_bookmark90" w:id="139"/>
      <w:bookmarkEnd w:id="139"/>
      <w:r>
        <w:rPr>
          <w:sz w:val="24"/>
        </w:rPr>
        <w:t>de</w:t>
      </w:r>
      <w:r>
        <w:rPr>
          <w:sz w:val="24"/>
        </w:rPr>
        <w:t> Lorgeril M, Salen P, Martin J-L et al. Mediterranean Diet, Traditional Risk Factors, and</w:t>
      </w:r>
      <w:r>
        <w:rPr>
          <w:spacing w:val="-4"/>
          <w:sz w:val="24"/>
        </w:rPr>
        <w:t> </w:t>
      </w:r>
      <w:r>
        <w:rPr>
          <w:sz w:val="24"/>
        </w:rPr>
        <w:t>the</w:t>
      </w:r>
      <w:r>
        <w:rPr>
          <w:spacing w:val="-5"/>
          <w:sz w:val="24"/>
        </w:rPr>
        <w:t> </w:t>
      </w:r>
      <w:r>
        <w:rPr>
          <w:sz w:val="24"/>
        </w:rPr>
        <w:t>Rate</w:t>
      </w:r>
      <w:r>
        <w:rPr>
          <w:spacing w:val="-5"/>
          <w:sz w:val="24"/>
        </w:rPr>
        <w:t> </w:t>
      </w:r>
      <w:r>
        <w:rPr>
          <w:sz w:val="24"/>
        </w:rPr>
        <w:t>of</w:t>
      </w:r>
      <w:r>
        <w:rPr>
          <w:spacing w:val="-5"/>
          <w:sz w:val="24"/>
        </w:rPr>
        <w:t> </w:t>
      </w:r>
      <w:r>
        <w:rPr>
          <w:sz w:val="24"/>
        </w:rPr>
        <w:t>Cardiovascular</w:t>
      </w:r>
      <w:r>
        <w:rPr>
          <w:spacing w:val="-5"/>
          <w:sz w:val="24"/>
        </w:rPr>
        <w:t> </w:t>
      </w:r>
      <w:r>
        <w:rPr>
          <w:sz w:val="24"/>
        </w:rPr>
        <w:t>Complications</w:t>
      </w:r>
      <w:r>
        <w:rPr>
          <w:spacing w:val="-4"/>
          <w:sz w:val="24"/>
        </w:rPr>
        <w:t> </w:t>
      </w:r>
      <w:r>
        <w:rPr>
          <w:sz w:val="24"/>
        </w:rPr>
        <w:t>After</w:t>
      </w:r>
      <w:r>
        <w:rPr>
          <w:spacing w:val="-5"/>
          <w:sz w:val="24"/>
        </w:rPr>
        <w:t> </w:t>
      </w:r>
      <w:r>
        <w:rPr>
          <w:sz w:val="24"/>
        </w:rPr>
        <w:t>Myocardial</w:t>
      </w:r>
      <w:r>
        <w:rPr>
          <w:spacing w:val="-2"/>
          <w:sz w:val="24"/>
        </w:rPr>
        <w:t> </w:t>
      </w:r>
      <w:r>
        <w:rPr>
          <w:sz w:val="24"/>
        </w:rPr>
        <w:t>Infarction.</w:t>
      </w:r>
      <w:r>
        <w:rPr>
          <w:spacing w:val="-2"/>
          <w:sz w:val="24"/>
        </w:rPr>
        <w:t> </w:t>
      </w:r>
      <w:r>
        <w:rPr>
          <w:sz w:val="24"/>
        </w:rPr>
        <w:t>Circulation. 1999. 99(6): 779–785. doi:10.1161/01.cir.99.6.779.</w:t>
      </w:r>
    </w:p>
    <w:p>
      <w:pPr>
        <w:pStyle w:val="ListParagraph"/>
        <w:numPr>
          <w:ilvl w:val="0"/>
          <w:numId w:val="25"/>
        </w:numPr>
        <w:tabs>
          <w:tab w:pos="1982" w:val="left" w:leader="none"/>
        </w:tabs>
        <w:spacing w:line="360" w:lineRule="auto" w:before="0" w:after="0"/>
        <w:ind w:left="1981" w:right="779" w:hanging="360"/>
        <w:jc w:val="both"/>
        <w:rPr>
          <w:sz w:val="24"/>
        </w:rPr>
      </w:pPr>
      <w:bookmarkStart w:name="_bookmark91" w:id="140"/>
      <w:bookmarkEnd w:id="140"/>
      <w:r>
        <w:rPr>
          <w:sz w:val="24"/>
        </w:rPr>
        <w:t>E</w:t>
      </w:r>
      <w:r>
        <w:rPr>
          <w:sz w:val="24"/>
        </w:rPr>
        <w:t>struch R, Ros E, Salas-Salvado J, et al. Primary Prevention of</w:t>
      </w:r>
      <w:r>
        <w:rPr>
          <w:spacing w:val="-1"/>
          <w:sz w:val="24"/>
        </w:rPr>
        <w:t> </w:t>
      </w:r>
      <w:r>
        <w:rPr>
          <w:sz w:val="24"/>
        </w:rPr>
        <w:t>Cardiovascular</w:t>
      </w:r>
      <w:r>
        <w:rPr>
          <w:spacing w:val="-1"/>
          <w:sz w:val="24"/>
        </w:rPr>
        <w:t> </w:t>
      </w:r>
      <w:r>
        <w:rPr>
          <w:sz w:val="24"/>
        </w:rPr>
        <w:t>Disease with</w:t>
      </w:r>
      <w:r>
        <w:rPr>
          <w:spacing w:val="-3"/>
          <w:sz w:val="24"/>
        </w:rPr>
        <w:t> </w:t>
      </w:r>
      <w:r>
        <w:rPr>
          <w:sz w:val="24"/>
        </w:rPr>
        <w:t>a</w:t>
      </w:r>
      <w:r>
        <w:rPr>
          <w:spacing w:val="-4"/>
          <w:sz w:val="24"/>
        </w:rPr>
        <w:t> </w:t>
      </w:r>
      <w:r>
        <w:rPr>
          <w:sz w:val="24"/>
        </w:rPr>
        <w:t>Mediterranean</w:t>
      </w:r>
      <w:r>
        <w:rPr>
          <w:spacing w:val="-3"/>
          <w:sz w:val="24"/>
        </w:rPr>
        <w:t> </w:t>
      </w:r>
      <w:r>
        <w:rPr>
          <w:sz w:val="24"/>
        </w:rPr>
        <w:t>Diet</w:t>
      </w:r>
      <w:r>
        <w:rPr>
          <w:spacing w:val="-3"/>
          <w:sz w:val="24"/>
        </w:rPr>
        <w:t> </w:t>
      </w:r>
      <w:r>
        <w:rPr>
          <w:sz w:val="24"/>
        </w:rPr>
        <w:t>Supplemented</w:t>
      </w:r>
      <w:r>
        <w:rPr>
          <w:spacing w:val="-3"/>
          <w:sz w:val="24"/>
        </w:rPr>
        <w:t> </w:t>
      </w:r>
      <w:r>
        <w:rPr>
          <w:sz w:val="24"/>
        </w:rPr>
        <w:t>with</w:t>
      </w:r>
      <w:r>
        <w:rPr>
          <w:spacing w:val="-3"/>
          <w:sz w:val="24"/>
        </w:rPr>
        <w:t> </w:t>
      </w:r>
      <w:r>
        <w:rPr>
          <w:sz w:val="24"/>
        </w:rPr>
        <w:t>Extra-Virgin</w:t>
      </w:r>
      <w:r>
        <w:rPr>
          <w:spacing w:val="-3"/>
          <w:sz w:val="24"/>
        </w:rPr>
        <w:t> </w:t>
      </w:r>
      <w:r>
        <w:rPr>
          <w:sz w:val="24"/>
        </w:rPr>
        <w:t>Olive</w:t>
      </w:r>
      <w:r>
        <w:rPr>
          <w:spacing w:val="-4"/>
          <w:sz w:val="24"/>
        </w:rPr>
        <w:t> </w:t>
      </w:r>
      <w:r>
        <w:rPr>
          <w:sz w:val="24"/>
        </w:rPr>
        <w:t>Oil</w:t>
      </w:r>
      <w:r>
        <w:rPr>
          <w:spacing w:val="-3"/>
          <w:sz w:val="24"/>
        </w:rPr>
        <w:t> </w:t>
      </w:r>
      <w:r>
        <w:rPr>
          <w:sz w:val="24"/>
        </w:rPr>
        <w:t>or</w:t>
      </w:r>
      <w:r>
        <w:rPr>
          <w:spacing w:val="-4"/>
          <w:sz w:val="24"/>
        </w:rPr>
        <w:t> </w:t>
      </w:r>
      <w:r>
        <w:rPr>
          <w:sz w:val="24"/>
        </w:rPr>
        <w:t>Nuts.</w:t>
      </w:r>
      <w:r>
        <w:rPr>
          <w:spacing w:val="-3"/>
          <w:sz w:val="24"/>
        </w:rPr>
        <w:t> </w:t>
      </w:r>
      <w:r>
        <w:rPr>
          <w:sz w:val="24"/>
        </w:rPr>
        <w:t>N</w:t>
      </w:r>
      <w:r>
        <w:rPr>
          <w:spacing w:val="-4"/>
          <w:sz w:val="24"/>
        </w:rPr>
        <w:t> </w:t>
      </w:r>
      <w:r>
        <w:rPr>
          <w:sz w:val="24"/>
        </w:rPr>
        <w:t>Engl</w:t>
      </w:r>
      <w:r>
        <w:rPr>
          <w:spacing w:val="-3"/>
          <w:sz w:val="24"/>
        </w:rPr>
        <w:t> </w:t>
      </w:r>
      <w:r>
        <w:rPr>
          <w:sz w:val="24"/>
        </w:rPr>
        <w:t>J Med. 2018. 378(25): e34. doi:10.1056/NEJMoa1800389.</w:t>
      </w:r>
    </w:p>
    <w:p>
      <w:pPr>
        <w:pStyle w:val="ListParagraph"/>
        <w:numPr>
          <w:ilvl w:val="0"/>
          <w:numId w:val="25"/>
        </w:numPr>
        <w:tabs>
          <w:tab w:pos="1982" w:val="left" w:leader="none"/>
        </w:tabs>
        <w:spacing w:line="360" w:lineRule="auto" w:before="0" w:after="0"/>
        <w:ind w:left="1981" w:right="709" w:hanging="360"/>
        <w:jc w:val="left"/>
        <w:rPr>
          <w:sz w:val="24"/>
        </w:rPr>
      </w:pPr>
      <w:bookmarkStart w:name="_bookmark92" w:id="141"/>
      <w:bookmarkEnd w:id="141"/>
      <w:r>
        <w:rPr>
          <w:sz w:val="24"/>
        </w:rPr>
        <w:t>Mo</w:t>
      </w:r>
      <w:r>
        <w:rPr>
          <w:sz w:val="24"/>
        </w:rPr>
        <w:t>zaffarian</w:t>
      </w:r>
      <w:r>
        <w:rPr>
          <w:spacing w:val="-4"/>
          <w:sz w:val="24"/>
        </w:rPr>
        <w:t> </w:t>
      </w:r>
      <w:r>
        <w:rPr>
          <w:sz w:val="24"/>
        </w:rPr>
        <w:t>D,</w:t>
      </w:r>
      <w:r>
        <w:rPr>
          <w:spacing w:val="-4"/>
          <w:sz w:val="24"/>
        </w:rPr>
        <w:t> </w:t>
      </w:r>
      <w:r>
        <w:rPr>
          <w:sz w:val="24"/>
        </w:rPr>
        <w:t>Lemaitre</w:t>
      </w:r>
      <w:r>
        <w:rPr>
          <w:spacing w:val="-3"/>
          <w:sz w:val="24"/>
        </w:rPr>
        <w:t> </w:t>
      </w:r>
      <w:r>
        <w:rPr>
          <w:sz w:val="24"/>
        </w:rPr>
        <w:t>RN,</w:t>
      </w:r>
      <w:r>
        <w:rPr>
          <w:spacing w:val="-4"/>
          <w:sz w:val="24"/>
        </w:rPr>
        <w:t> </w:t>
      </w:r>
      <w:r>
        <w:rPr>
          <w:sz w:val="24"/>
        </w:rPr>
        <w:t>King</w:t>
      </w:r>
      <w:r>
        <w:rPr>
          <w:spacing w:val="-4"/>
          <w:sz w:val="24"/>
        </w:rPr>
        <w:t> </w:t>
      </w:r>
      <w:r>
        <w:rPr>
          <w:sz w:val="24"/>
        </w:rPr>
        <w:t>IB</w:t>
      </w:r>
      <w:r>
        <w:rPr>
          <w:spacing w:val="-4"/>
          <w:sz w:val="24"/>
        </w:rPr>
        <w:t> </w:t>
      </w:r>
      <w:r>
        <w:rPr>
          <w:sz w:val="24"/>
        </w:rPr>
        <w:t>et</w:t>
      </w:r>
      <w:r>
        <w:rPr>
          <w:spacing w:val="-2"/>
          <w:sz w:val="24"/>
        </w:rPr>
        <w:t> </w:t>
      </w:r>
      <w:r>
        <w:rPr>
          <w:sz w:val="24"/>
        </w:rPr>
        <w:t>al.</w:t>
      </w:r>
      <w:r>
        <w:rPr>
          <w:spacing w:val="-4"/>
          <w:sz w:val="24"/>
        </w:rPr>
        <w:t> </w:t>
      </w:r>
      <w:r>
        <w:rPr>
          <w:sz w:val="24"/>
        </w:rPr>
        <w:t>Plasma</w:t>
      </w:r>
      <w:r>
        <w:rPr>
          <w:spacing w:val="-5"/>
          <w:sz w:val="24"/>
        </w:rPr>
        <w:t> </w:t>
      </w:r>
      <w:r>
        <w:rPr>
          <w:sz w:val="24"/>
        </w:rPr>
        <w:t>Phospholipid</w:t>
      </w:r>
      <w:r>
        <w:rPr>
          <w:spacing w:val="-4"/>
          <w:sz w:val="24"/>
        </w:rPr>
        <w:t> </w:t>
      </w:r>
      <w:r>
        <w:rPr>
          <w:sz w:val="24"/>
        </w:rPr>
        <w:t>Long-Chain</w:t>
      </w:r>
      <w:r>
        <w:rPr>
          <w:spacing w:val="-4"/>
          <w:sz w:val="24"/>
        </w:rPr>
        <w:t> </w:t>
      </w:r>
      <w:r>
        <w:rPr>
          <w:sz w:val="24"/>
        </w:rPr>
        <w:t>ω-3</w:t>
      </w:r>
      <w:r>
        <w:rPr>
          <w:spacing w:val="-4"/>
          <w:sz w:val="24"/>
        </w:rPr>
        <w:t> </w:t>
      </w:r>
      <w:r>
        <w:rPr>
          <w:sz w:val="24"/>
        </w:rPr>
        <w:t>Fatty Acids and Total and Cause-Specific Mortality in Older Adults. Ann Intern Med. 2013. 158(7): 515–525. doi:10.7326/0003-4819-158-7-201304020-00003</w:t>
      </w:r>
    </w:p>
    <w:p>
      <w:pPr>
        <w:pStyle w:val="ListParagraph"/>
        <w:numPr>
          <w:ilvl w:val="0"/>
          <w:numId w:val="25"/>
        </w:numPr>
        <w:tabs>
          <w:tab w:pos="1982" w:val="left" w:leader="none"/>
        </w:tabs>
        <w:spacing w:line="360" w:lineRule="auto" w:before="0" w:after="0"/>
        <w:ind w:left="1981" w:right="704" w:hanging="360"/>
        <w:jc w:val="left"/>
        <w:rPr>
          <w:sz w:val="24"/>
        </w:rPr>
      </w:pPr>
      <w:bookmarkStart w:name="_bookmark93" w:id="142"/>
      <w:bookmarkEnd w:id="142"/>
      <w:r>
        <w:rPr>
          <w:sz w:val="24"/>
        </w:rPr>
        <w:t>L</w:t>
      </w:r>
      <w:r>
        <w:rPr>
          <w:sz w:val="24"/>
        </w:rPr>
        <w:t>u Z, Kou W, Du B, et al. Effect of Xuezhikang, an Extract From Red Yeast Chinese Rice,</w:t>
      </w:r>
      <w:r>
        <w:rPr>
          <w:spacing w:val="-3"/>
          <w:sz w:val="24"/>
        </w:rPr>
        <w:t> </w:t>
      </w:r>
      <w:r>
        <w:rPr>
          <w:sz w:val="24"/>
        </w:rPr>
        <w:t>on</w:t>
      </w:r>
      <w:r>
        <w:rPr>
          <w:spacing w:val="-3"/>
          <w:sz w:val="24"/>
        </w:rPr>
        <w:t> </w:t>
      </w:r>
      <w:r>
        <w:rPr>
          <w:sz w:val="24"/>
        </w:rPr>
        <w:t>Coronary</w:t>
      </w:r>
      <w:r>
        <w:rPr>
          <w:spacing w:val="-3"/>
          <w:sz w:val="24"/>
        </w:rPr>
        <w:t> </w:t>
      </w:r>
      <w:r>
        <w:rPr>
          <w:sz w:val="24"/>
        </w:rPr>
        <w:t>Events</w:t>
      </w:r>
      <w:r>
        <w:rPr>
          <w:spacing w:val="-3"/>
          <w:sz w:val="24"/>
        </w:rPr>
        <w:t> </w:t>
      </w:r>
      <w:r>
        <w:rPr>
          <w:sz w:val="24"/>
        </w:rPr>
        <w:t>in</w:t>
      </w:r>
      <w:r>
        <w:rPr>
          <w:spacing w:val="-3"/>
          <w:sz w:val="24"/>
        </w:rPr>
        <w:t> </w:t>
      </w:r>
      <w:r>
        <w:rPr>
          <w:sz w:val="24"/>
        </w:rPr>
        <w:t>a</w:t>
      </w:r>
      <w:r>
        <w:rPr>
          <w:spacing w:val="-4"/>
          <w:sz w:val="24"/>
        </w:rPr>
        <w:t> </w:t>
      </w:r>
      <w:r>
        <w:rPr>
          <w:sz w:val="24"/>
        </w:rPr>
        <w:t>Chinese</w:t>
      </w:r>
      <w:r>
        <w:rPr>
          <w:spacing w:val="-4"/>
          <w:sz w:val="24"/>
        </w:rPr>
        <w:t> </w:t>
      </w:r>
      <w:r>
        <w:rPr>
          <w:sz w:val="24"/>
        </w:rPr>
        <w:t>Population</w:t>
      </w:r>
      <w:r>
        <w:rPr>
          <w:spacing w:val="-3"/>
          <w:sz w:val="24"/>
        </w:rPr>
        <w:t> </w:t>
      </w:r>
      <w:r>
        <w:rPr>
          <w:sz w:val="24"/>
        </w:rPr>
        <w:t>With</w:t>
      </w:r>
      <w:r>
        <w:rPr>
          <w:spacing w:val="-3"/>
          <w:sz w:val="24"/>
        </w:rPr>
        <w:t> </w:t>
      </w:r>
      <w:r>
        <w:rPr>
          <w:sz w:val="24"/>
        </w:rPr>
        <w:t>Previous</w:t>
      </w:r>
      <w:r>
        <w:rPr>
          <w:spacing w:val="-3"/>
          <w:sz w:val="24"/>
        </w:rPr>
        <w:t> </w:t>
      </w:r>
      <w:r>
        <w:rPr>
          <w:sz w:val="24"/>
        </w:rPr>
        <w:t>Myocardial</w:t>
      </w:r>
      <w:r>
        <w:rPr>
          <w:spacing w:val="-3"/>
          <w:sz w:val="24"/>
        </w:rPr>
        <w:t> </w:t>
      </w:r>
      <w:r>
        <w:rPr>
          <w:sz w:val="24"/>
        </w:rPr>
        <w:t>Infarction. Am J Cardiol. 2008. 101(12): 1689–1693. doi:10.1016/j.amjcard.2008.02.056</w:t>
      </w:r>
    </w:p>
    <w:p>
      <w:pPr>
        <w:pStyle w:val="ListParagraph"/>
        <w:numPr>
          <w:ilvl w:val="0"/>
          <w:numId w:val="25"/>
        </w:numPr>
        <w:tabs>
          <w:tab w:pos="1982" w:val="left" w:leader="none"/>
        </w:tabs>
        <w:spacing w:line="360" w:lineRule="auto" w:before="0" w:after="0"/>
        <w:ind w:left="1981" w:right="766" w:hanging="360"/>
        <w:jc w:val="left"/>
        <w:rPr>
          <w:sz w:val="24"/>
        </w:rPr>
      </w:pPr>
      <w:bookmarkStart w:name="_bookmark94" w:id="143"/>
      <w:bookmarkEnd w:id="143"/>
      <w:r>
        <w:rPr>
          <w:sz w:val="24"/>
        </w:rPr>
        <w:t>L</w:t>
      </w:r>
      <w:r>
        <w:rPr>
          <w:sz w:val="24"/>
        </w:rPr>
        <w:t>i Y, Jiang L, Jia Z, et al. A Meta-Analysis of Red Yeast Rice: An Effective and Relatively</w:t>
      </w:r>
      <w:r>
        <w:rPr>
          <w:spacing w:val="-4"/>
          <w:sz w:val="24"/>
        </w:rPr>
        <w:t> </w:t>
      </w:r>
      <w:r>
        <w:rPr>
          <w:sz w:val="24"/>
        </w:rPr>
        <w:t>Safe</w:t>
      </w:r>
      <w:r>
        <w:rPr>
          <w:spacing w:val="-5"/>
          <w:sz w:val="24"/>
        </w:rPr>
        <w:t> </w:t>
      </w:r>
      <w:r>
        <w:rPr>
          <w:sz w:val="24"/>
        </w:rPr>
        <w:t>Alternative</w:t>
      </w:r>
      <w:r>
        <w:rPr>
          <w:spacing w:val="-5"/>
          <w:sz w:val="24"/>
        </w:rPr>
        <w:t> </w:t>
      </w:r>
      <w:r>
        <w:rPr>
          <w:sz w:val="24"/>
        </w:rPr>
        <w:t>Approach</w:t>
      </w:r>
      <w:r>
        <w:rPr>
          <w:spacing w:val="-4"/>
          <w:sz w:val="24"/>
        </w:rPr>
        <w:t> </w:t>
      </w:r>
      <w:r>
        <w:rPr>
          <w:sz w:val="24"/>
        </w:rPr>
        <w:t>for</w:t>
      </w:r>
      <w:r>
        <w:rPr>
          <w:spacing w:val="-3"/>
          <w:sz w:val="24"/>
        </w:rPr>
        <w:t> </w:t>
      </w:r>
      <w:r>
        <w:rPr>
          <w:sz w:val="24"/>
        </w:rPr>
        <w:t>Dyslipidemia.</w:t>
      </w:r>
      <w:r>
        <w:rPr>
          <w:spacing w:val="-4"/>
          <w:sz w:val="24"/>
        </w:rPr>
        <w:t> </w:t>
      </w:r>
      <w:r>
        <w:rPr>
          <w:sz w:val="24"/>
        </w:rPr>
        <w:t>PLoS</w:t>
      </w:r>
      <w:r>
        <w:rPr>
          <w:spacing w:val="-4"/>
          <w:sz w:val="24"/>
        </w:rPr>
        <w:t> </w:t>
      </w:r>
      <w:r>
        <w:rPr>
          <w:sz w:val="24"/>
        </w:rPr>
        <w:t>One.</w:t>
      </w:r>
      <w:r>
        <w:rPr>
          <w:spacing w:val="-4"/>
          <w:sz w:val="24"/>
        </w:rPr>
        <w:t> </w:t>
      </w:r>
      <w:r>
        <w:rPr>
          <w:sz w:val="24"/>
        </w:rPr>
        <w:t>2014.</w:t>
      </w:r>
      <w:r>
        <w:rPr>
          <w:spacing w:val="-4"/>
          <w:sz w:val="24"/>
        </w:rPr>
        <w:t> </w:t>
      </w:r>
      <w:r>
        <w:rPr>
          <w:sz w:val="24"/>
        </w:rPr>
        <w:t>9(6):</w:t>
      </w:r>
      <w:r>
        <w:rPr>
          <w:spacing w:val="-4"/>
          <w:sz w:val="24"/>
        </w:rPr>
        <w:t> </w:t>
      </w:r>
      <w:r>
        <w:rPr>
          <w:sz w:val="24"/>
        </w:rPr>
        <w:t>e98611. </w:t>
      </w:r>
      <w:r>
        <w:rPr>
          <w:spacing w:val="-2"/>
          <w:sz w:val="24"/>
        </w:rPr>
        <w:t>doi:10.1371/journal.pone.0098611</w:t>
      </w:r>
    </w:p>
    <w:p>
      <w:pPr>
        <w:pStyle w:val="ListParagraph"/>
        <w:numPr>
          <w:ilvl w:val="0"/>
          <w:numId w:val="25"/>
        </w:numPr>
        <w:tabs>
          <w:tab w:pos="1982" w:val="left" w:leader="none"/>
        </w:tabs>
        <w:spacing w:line="360" w:lineRule="auto" w:before="0" w:after="0"/>
        <w:ind w:left="1981" w:right="686" w:hanging="360"/>
        <w:jc w:val="left"/>
        <w:rPr>
          <w:sz w:val="24"/>
        </w:rPr>
      </w:pPr>
      <w:bookmarkStart w:name="_bookmark95" w:id="144"/>
      <w:bookmarkEnd w:id="144"/>
      <w:r>
        <w:rPr>
          <w:sz w:val="24"/>
        </w:rPr>
        <w:t>M</w:t>
      </w:r>
      <w:r>
        <w:rPr>
          <w:sz w:val="24"/>
        </w:rPr>
        <w:t>ach</w:t>
      </w:r>
      <w:r>
        <w:rPr>
          <w:spacing w:val="-3"/>
          <w:sz w:val="24"/>
        </w:rPr>
        <w:t> </w:t>
      </w:r>
      <w:r>
        <w:rPr>
          <w:sz w:val="24"/>
        </w:rPr>
        <w:t>F,</w:t>
      </w:r>
      <w:r>
        <w:rPr>
          <w:spacing w:val="-3"/>
          <w:sz w:val="24"/>
        </w:rPr>
        <w:t> </w:t>
      </w:r>
      <w:r>
        <w:rPr>
          <w:sz w:val="24"/>
        </w:rPr>
        <w:t>Baigent</w:t>
      </w:r>
      <w:r>
        <w:rPr>
          <w:spacing w:val="-3"/>
          <w:sz w:val="24"/>
        </w:rPr>
        <w:t> </w:t>
      </w:r>
      <w:r>
        <w:rPr>
          <w:sz w:val="24"/>
        </w:rPr>
        <w:t>C,</w:t>
      </w:r>
      <w:r>
        <w:rPr>
          <w:spacing w:val="-3"/>
          <w:sz w:val="24"/>
        </w:rPr>
        <w:t> </w:t>
      </w:r>
      <w:r>
        <w:rPr>
          <w:sz w:val="24"/>
        </w:rPr>
        <w:t>Catapano</w:t>
      </w:r>
      <w:r>
        <w:rPr>
          <w:spacing w:val="-3"/>
          <w:sz w:val="24"/>
        </w:rPr>
        <w:t> </w:t>
      </w:r>
      <w:r>
        <w:rPr>
          <w:sz w:val="24"/>
        </w:rPr>
        <w:t>A.L,</w:t>
      </w:r>
      <w:r>
        <w:rPr>
          <w:spacing w:val="-3"/>
          <w:sz w:val="24"/>
        </w:rPr>
        <w:t> </w:t>
      </w:r>
      <w:r>
        <w:rPr>
          <w:sz w:val="24"/>
        </w:rPr>
        <w:t>et</w:t>
      </w:r>
      <w:r>
        <w:rPr>
          <w:spacing w:val="-3"/>
          <w:sz w:val="24"/>
        </w:rPr>
        <w:t> </w:t>
      </w:r>
      <w:r>
        <w:rPr>
          <w:sz w:val="24"/>
        </w:rPr>
        <w:t>al.</w:t>
      </w:r>
      <w:r>
        <w:rPr>
          <w:spacing w:val="-3"/>
          <w:sz w:val="24"/>
        </w:rPr>
        <w:t> </w:t>
      </w:r>
      <w:r>
        <w:rPr>
          <w:sz w:val="24"/>
        </w:rPr>
        <w:t>2019</w:t>
      </w:r>
      <w:r>
        <w:rPr>
          <w:spacing w:val="-3"/>
          <w:sz w:val="24"/>
        </w:rPr>
        <w:t> </w:t>
      </w:r>
      <w:r>
        <w:rPr>
          <w:sz w:val="24"/>
        </w:rPr>
        <w:t>ESC/EAS</w:t>
      </w:r>
      <w:r>
        <w:rPr>
          <w:spacing w:val="-3"/>
          <w:sz w:val="24"/>
        </w:rPr>
        <w:t> </w:t>
      </w:r>
      <w:r>
        <w:rPr>
          <w:sz w:val="24"/>
        </w:rPr>
        <w:t>Guidelines</w:t>
      </w:r>
      <w:r>
        <w:rPr>
          <w:spacing w:val="-3"/>
          <w:sz w:val="24"/>
        </w:rPr>
        <w:t> </w:t>
      </w:r>
      <w:r>
        <w:rPr>
          <w:sz w:val="24"/>
        </w:rPr>
        <w:t>for</w:t>
      </w:r>
      <w:r>
        <w:rPr>
          <w:spacing w:val="-4"/>
          <w:sz w:val="24"/>
        </w:rPr>
        <w:t> </w:t>
      </w:r>
      <w:r>
        <w:rPr>
          <w:sz w:val="24"/>
        </w:rPr>
        <w:t>the</w:t>
      </w:r>
      <w:r>
        <w:rPr>
          <w:spacing w:val="-4"/>
          <w:sz w:val="24"/>
        </w:rPr>
        <w:t> </w:t>
      </w:r>
      <w:r>
        <w:rPr>
          <w:sz w:val="24"/>
        </w:rPr>
        <w:t>management of dyslipidaemias: lipid modification to reduce cardiovascular risk. Eur Heart J. 2019. </w:t>
      </w:r>
      <w:r>
        <w:rPr>
          <w:spacing w:val="-2"/>
          <w:sz w:val="24"/>
        </w:rPr>
        <w:t>doi:10.1093/eurheartj/ehz455</w:t>
      </w:r>
    </w:p>
    <w:p>
      <w:pPr>
        <w:pStyle w:val="ListParagraph"/>
        <w:numPr>
          <w:ilvl w:val="0"/>
          <w:numId w:val="25"/>
        </w:numPr>
        <w:tabs>
          <w:tab w:pos="1982" w:val="left" w:leader="none"/>
        </w:tabs>
        <w:spacing w:line="360" w:lineRule="auto" w:before="0" w:after="0"/>
        <w:ind w:left="1981" w:right="1577" w:hanging="360"/>
        <w:jc w:val="left"/>
        <w:rPr>
          <w:sz w:val="24"/>
        </w:rPr>
      </w:pPr>
      <w:bookmarkStart w:name="_bookmark96" w:id="145"/>
      <w:bookmarkEnd w:id="145"/>
      <w:r>
        <w:rPr>
          <w:sz w:val="24"/>
        </w:rPr>
        <w:t>T</w:t>
      </w:r>
      <w:r>
        <w:rPr>
          <w:sz w:val="24"/>
        </w:rPr>
        <w:t>aylor</w:t>
      </w:r>
      <w:r>
        <w:rPr>
          <w:spacing w:val="-4"/>
          <w:sz w:val="24"/>
        </w:rPr>
        <w:t> </w:t>
      </w:r>
      <w:r>
        <w:rPr>
          <w:sz w:val="24"/>
        </w:rPr>
        <w:t>F,</w:t>
      </w:r>
      <w:r>
        <w:rPr>
          <w:spacing w:val="-3"/>
          <w:sz w:val="24"/>
        </w:rPr>
        <w:t> </w:t>
      </w:r>
      <w:r>
        <w:rPr>
          <w:sz w:val="24"/>
        </w:rPr>
        <w:t>Huffman</w:t>
      </w:r>
      <w:r>
        <w:rPr>
          <w:spacing w:val="-3"/>
          <w:sz w:val="24"/>
        </w:rPr>
        <w:t> </w:t>
      </w:r>
      <w:r>
        <w:rPr>
          <w:sz w:val="24"/>
        </w:rPr>
        <w:t>MD,</w:t>
      </w:r>
      <w:r>
        <w:rPr>
          <w:spacing w:val="-1"/>
          <w:sz w:val="24"/>
        </w:rPr>
        <w:t> </w:t>
      </w:r>
      <w:r>
        <w:rPr>
          <w:sz w:val="24"/>
        </w:rPr>
        <w:t>Macedo</w:t>
      </w:r>
      <w:r>
        <w:rPr>
          <w:spacing w:val="-3"/>
          <w:sz w:val="24"/>
        </w:rPr>
        <w:t> </w:t>
      </w:r>
      <w:r>
        <w:rPr>
          <w:sz w:val="24"/>
        </w:rPr>
        <w:t>AF</w:t>
      </w:r>
      <w:r>
        <w:rPr>
          <w:spacing w:val="-5"/>
          <w:sz w:val="24"/>
        </w:rPr>
        <w:t> </w:t>
      </w:r>
      <w:r>
        <w:rPr>
          <w:sz w:val="24"/>
        </w:rPr>
        <w:t>et</w:t>
      </w:r>
      <w:r>
        <w:rPr>
          <w:spacing w:val="-1"/>
          <w:sz w:val="24"/>
        </w:rPr>
        <w:t> </w:t>
      </w:r>
      <w:r>
        <w:rPr>
          <w:sz w:val="24"/>
        </w:rPr>
        <w:t>al.</w:t>
      </w:r>
      <w:r>
        <w:rPr>
          <w:spacing w:val="-3"/>
          <w:sz w:val="24"/>
        </w:rPr>
        <w:t> </w:t>
      </w:r>
      <w:r>
        <w:rPr>
          <w:sz w:val="24"/>
        </w:rPr>
        <w:t>Statins</w:t>
      </w:r>
      <w:r>
        <w:rPr>
          <w:spacing w:val="-3"/>
          <w:sz w:val="24"/>
        </w:rPr>
        <w:t> </w:t>
      </w:r>
      <w:r>
        <w:rPr>
          <w:sz w:val="24"/>
        </w:rPr>
        <w:t>for</w:t>
      </w:r>
      <w:r>
        <w:rPr>
          <w:spacing w:val="-4"/>
          <w:sz w:val="24"/>
        </w:rPr>
        <w:t> </w:t>
      </w:r>
      <w:r>
        <w:rPr>
          <w:sz w:val="24"/>
        </w:rPr>
        <w:t>the</w:t>
      </w:r>
      <w:r>
        <w:rPr>
          <w:spacing w:val="-4"/>
          <w:sz w:val="24"/>
        </w:rPr>
        <w:t> </w:t>
      </w:r>
      <w:r>
        <w:rPr>
          <w:sz w:val="24"/>
        </w:rPr>
        <w:t>primary</w:t>
      </w:r>
      <w:r>
        <w:rPr>
          <w:spacing w:val="-3"/>
          <w:sz w:val="24"/>
        </w:rPr>
        <w:t> </w:t>
      </w:r>
      <w:r>
        <w:rPr>
          <w:sz w:val="24"/>
        </w:rPr>
        <w:t>prevention</w:t>
      </w:r>
      <w:r>
        <w:rPr>
          <w:spacing w:val="-3"/>
          <w:sz w:val="24"/>
        </w:rPr>
        <w:t> </w:t>
      </w:r>
      <w:r>
        <w:rPr>
          <w:sz w:val="24"/>
        </w:rPr>
        <w:t>of cardiovascular disease. Cochrane Database of Systematic Reviews. 2013. </w:t>
      </w:r>
      <w:r>
        <w:rPr>
          <w:spacing w:val="-2"/>
          <w:sz w:val="24"/>
        </w:rPr>
        <w:t>doi:10.1002/14651858.cd004816.pub5</w:t>
      </w:r>
    </w:p>
    <w:p>
      <w:pPr>
        <w:pStyle w:val="ListParagraph"/>
        <w:numPr>
          <w:ilvl w:val="0"/>
          <w:numId w:val="25"/>
        </w:numPr>
        <w:tabs>
          <w:tab w:pos="1982" w:val="left" w:leader="none"/>
        </w:tabs>
        <w:spacing w:line="360" w:lineRule="auto" w:before="0" w:after="0"/>
        <w:ind w:left="1981" w:right="616" w:hanging="360"/>
        <w:jc w:val="left"/>
        <w:rPr>
          <w:sz w:val="24"/>
        </w:rPr>
      </w:pPr>
      <w:bookmarkStart w:name="_bookmark97" w:id="146"/>
      <w:bookmarkEnd w:id="146"/>
      <w:r>
        <w:rPr>
          <w:sz w:val="24"/>
        </w:rPr>
        <w:t>S</w:t>
      </w:r>
      <w:r>
        <w:rPr>
          <w:sz w:val="24"/>
        </w:rPr>
        <w:t>ever PS, Dahlöf B, Poulter NR et al. Prevention of coronary and stroke events with atorvastatin in hypertensive</w:t>
      </w:r>
      <w:r>
        <w:rPr>
          <w:spacing w:val="-1"/>
          <w:sz w:val="24"/>
        </w:rPr>
        <w:t> </w:t>
      </w:r>
      <w:r>
        <w:rPr>
          <w:sz w:val="24"/>
        </w:rPr>
        <w:t>patients who have average</w:t>
      </w:r>
      <w:r>
        <w:rPr>
          <w:spacing w:val="-1"/>
          <w:sz w:val="24"/>
        </w:rPr>
        <w:t> </w:t>
      </w:r>
      <w:r>
        <w:rPr>
          <w:sz w:val="24"/>
        </w:rPr>
        <w:t>or</w:t>
      </w:r>
      <w:r>
        <w:rPr>
          <w:spacing w:val="-1"/>
          <w:sz w:val="24"/>
        </w:rPr>
        <w:t> </w:t>
      </w:r>
      <w:r>
        <w:rPr>
          <w:sz w:val="24"/>
        </w:rPr>
        <w:t>lower-than-average</w:t>
      </w:r>
      <w:r>
        <w:rPr>
          <w:spacing w:val="-1"/>
          <w:sz w:val="24"/>
        </w:rPr>
        <w:t> </w:t>
      </w:r>
      <w:r>
        <w:rPr>
          <w:sz w:val="24"/>
        </w:rPr>
        <w:t>cholesterol concentrations,</w:t>
      </w:r>
      <w:r>
        <w:rPr>
          <w:spacing w:val="-5"/>
          <w:sz w:val="24"/>
        </w:rPr>
        <w:t> </w:t>
      </w:r>
      <w:r>
        <w:rPr>
          <w:sz w:val="24"/>
        </w:rPr>
        <w:t>in</w:t>
      </w:r>
      <w:r>
        <w:rPr>
          <w:spacing w:val="-5"/>
          <w:sz w:val="24"/>
        </w:rPr>
        <w:t> </w:t>
      </w:r>
      <w:r>
        <w:rPr>
          <w:sz w:val="24"/>
        </w:rPr>
        <w:t>the</w:t>
      </w:r>
      <w:r>
        <w:rPr>
          <w:spacing w:val="-6"/>
          <w:sz w:val="24"/>
        </w:rPr>
        <w:t> </w:t>
      </w:r>
      <w:r>
        <w:rPr>
          <w:sz w:val="24"/>
        </w:rPr>
        <w:t>Anglo-Scandinavian</w:t>
      </w:r>
      <w:r>
        <w:rPr>
          <w:spacing w:val="-5"/>
          <w:sz w:val="24"/>
        </w:rPr>
        <w:t> </w:t>
      </w:r>
      <w:r>
        <w:rPr>
          <w:sz w:val="24"/>
        </w:rPr>
        <w:t>Cardiac</w:t>
      </w:r>
      <w:r>
        <w:rPr>
          <w:spacing w:val="-6"/>
          <w:sz w:val="24"/>
        </w:rPr>
        <w:t> </w:t>
      </w:r>
      <w:r>
        <w:rPr>
          <w:sz w:val="24"/>
        </w:rPr>
        <w:t>Outcomes</w:t>
      </w:r>
      <w:r>
        <w:rPr>
          <w:spacing w:val="-5"/>
          <w:sz w:val="24"/>
        </w:rPr>
        <w:t> </w:t>
      </w:r>
      <w:r>
        <w:rPr>
          <w:sz w:val="24"/>
        </w:rPr>
        <w:t>Trial,</w:t>
      </w:r>
      <w:r>
        <w:rPr>
          <w:spacing w:val="-5"/>
          <w:sz w:val="24"/>
        </w:rPr>
        <w:t> </w:t>
      </w:r>
      <w:r>
        <w:rPr>
          <w:sz w:val="24"/>
        </w:rPr>
        <w:t>Lipid</w:t>
      </w:r>
      <w:r>
        <w:rPr>
          <w:spacing w:val="-3"/>
          <w:sz w:val="24"/>
        </w:rPr>
        <w:t> </w:t>
      </w:r>
      <w:r>
        <w:rPr>
          <w:sz w:val="24"/>
        </w:rPr>
        <w:t>Lowering</w:t>
      </w:r>
      <w:r>
        <w:rPr>
          <w:spacing w:val="-5"/>
          <w:sz w:val="24"/>
        </w:rPr>
        <w:t> </w:t>
      </w:r>
      <w:r>
        <w:rPr>
          <w:sz w:val="24"/>
        </w:rPr>
        <w:t>Arm (ASCOT-LLA): a multicentre randomised controlled trial. The Lancet. 2003. 361(9364): 1149–1158. doi:10.1016/s0140-6736(03)12948-0</w:t>
      </w:r>
    </w:p>
    <w:p>
      <w:pPr>
        <w:pStyle w:val="ListParagraph"/>
        <w:numPr>
          <w:ilvl w:val="0"/>
          <w:numId w:val="25"/>
        </w:numPr>
        <w:tabs>
          <w:tab w:pos="1982" w:val="left" w:leader="none"/>
        </w:tabs>
        <w:spacing w:line="360" w:lineRule="auto" w:before="1" w:after="0"/>
        <w:ind w:left="1981" w:right="766" w:hanging="360"/>
        <w:jc w:val="left"/>
        <w:rPr>
          <w:sz w:val="24"/>
        </w:rPr>
      </w:pPr>
      <w:bookmarkStart w:name="_bookmark98" w:id="147"/>
      <w:bookmarkEnd w:id="147"/>
      <w:r>
        <w:rPr>
          <w:sz w:val="24"/>
        </w:rPr>
        <w:t>Colhoun</w:t>
      </w:r>
      <w:r>
        <w:rPr>
          <w:spacing w:val="-4"/>
          <w:sz w:val="24"/>
        </w:rPr>
        <w:t> </w:t>
      </w:r>
      <w:r>
        <w:rPr>
          <w:sz w:val="24"/>
        </w:rPr>
        <w:t>HM,</w:t>
      </w:r>
      <w:r>
        <w:rPr>
          <w:spacing w:val="-4"/>
          <w:sz w:val="24"/>
        </w:rPr>
        <w:t> </w:t>
      </w:r>
      <w:r>
        <w:rPr>
          <w:sz w:val="24"/>
        </w:rPr>
        <w:t>Betteridge</w:t>
      </w:r>
      <w:r>
        <w:rPr>
          <w:spacing w:val="-5"/>
          <w:sz w:val="24"/>
        </w:rPr>
        <w:t> </w:t>
      </w:r>
      <w:r>
        <w:rPr>
          <w:sz w:val="24"/>
        </w:rPr>
        <w:t>DJ,</w:t>
      </w:r>
      <w:r>
        <w:rPr>
          <w:spacing w:val="-4"/>
          <w:sz w:val="24"/>
        </w:rPr>
        <w:t> </w:t>
      </w:r>
      <w:r>
        <w:rPr>
          <w:sz w:val="24"/>
        </w:rPr>
        <w:t>Durrington</w:t>
      </w:r>
      <w:r>
        <w:rPr>
          <w:spacing w:val="-4"/>
          <w:sz w:val="24"/>
        </w:rPr>
        <w:t> </w:t>
      </w:r>
      <w:r>
        <w:rPr>
          <w:sz w:val="24"/>
        </w:rPr>
        <w:t>PN</w:t>
      </w:r>
      <w:r>
        <w:rPr>
          <w:spacing w:val="-5"/>
          <w:sz w:val="24"/>
        </w:rPr>
        <w:t> </w:t>
      </w:r>
      <w:r>
        <w:rPr>
          <w:sz w:val="24"/>
        </w:rPr>
        <w:t>et</w:t>
      </w:r>
      <w:r>
        <w:rPr>
          <w:spacing w:val="-4"/>
          <w:sz w:val="24"/>
        </w:rPr>
        <w:t> </w:t>
      </w:r>
      <w:r>
        <w:rPr>
          <w:sz w:val="24"/>
        </w:rPr>
        <w:t>al.</w:t>
      </w:r>
      <w:r>
        <w:rPr>
          <w:spacing w:val="-2"/>
          <w:sz w:val="24"/>
        </w:rPr>
        <w:t> </w:t>
      </w:r>
      <w:r>
        <w:rPr>
          <w:sz w:val="24"/>
        </w:rPr>
        <w:t>Primary</w:t>
      </w:r>
      <w:r>
        <w:rPr>
          <w:spacing w:val="-4"/>
          <w:sz w:val="24"/>
        </w:rPr>
        <w:t> </w:t>
      </w:r>
      <w:r>
        <w:rPr>
          <w:sz w:val="24"/>
        </w:rPr>
        <w:t>prevention</w:t>
      </w:r>
      <w:r>
        <w:rPr>
          <w:spacing w:val="-4"/>
          <w:sz w:val="24"/>
        </w:rPr>
        <w:t> </w:t>
      </w:r>
      <w:r>
        <w:rPr>
          <w:sz w:val="24"/>
        </w:rPr>
        <w:t>of</w:t>
      </w:r>
      <w:r>
        <w:rPr>
          <w:spacing w:val="-3"/>
          <w:sz w:val="24"/>
        </w:rPr>
        <w:t> </w:t>
      </w:r>
      <w:r>
        <w:rPr>
          <w:sz w:val="24"/>
        </w:rPr>
        <w:t>cardiovascular disease with atorvastatin in type 2 diabetes in the Collaborative Atorvastatin Diabetes Study (CARDS): multicentre randomised placebo-controlled trial. The Lancet, 2004. 364(9435): 685–696. doi:10.1016/s0140-6736(04)16895-5</w:t>
      </w:r>
    </w:p>
    <w:p>
      <w:pPr>
        <w:spacing w:after="0" w:line="360" w:lineRule="auto"/>
        <w:jc w:val="left"/>
        <w:rPr>
          <w:sz w:val="24"/>
        </w:rPr>
        <w:sectPr>
          <w:pgSz w:w="11910" w:h="16840"/>
          <w:pgMar w:header="0" w:footer="710" w:top="1040" w:bottom="900" w:left="440" w:right="280"/>
        </w:sectPr>
      </w:pPr>
    </w:p>
    <w:p>
      <w:pPr>
        <w:pStyle w:val="ListParagraph"/>
        <w:numPr>
          <w:ilvl w:val="0"/>
          <w:numId w:val="25"/>
        </w:numPr>
        <w:tabs>
          <w:tab w:pos="1982" w:val="left" w:leader="none"/>
        </w:tabs>
        <w:spacing w:line="360" w:lineRule="auto" w:before="73" w:after="0"/>
        <w:ind w:left="1981" w:right="1076" w:hanging="360"/>
        <w:jc w:val="left"/>
        <w:rPr>
          <w:sz w:val="24"/>
        </w:rPr>
      </w:pPr>
      <w:bookmarkStart w:name="_bookmark99" w:id="148"/>
      <w:bookmarkEnd w:id="148"/>
      <w:r>
        <w:rPr>
          <w:sz w:val="24"/>
        </w:rPr>
        <w:t>S</w:t>
      </w:r>
      <w:r>
        <w:rPr>
          <w:sz w:val="24"/>
        </w:rPr>
        <w:t>chwartz GG. Effects of Atorvastatin on Early Recurrent Ischemic Events in Acute Coronary</w:t>
      </w:r>
      <w:r>
        <w:rPr>
          <w:spacing w:val="-5"/>
          <w:sz w:val="24"/>
        </w:rPr>
        <w:t> </w:t>
      </w:r>
      <w:r>
        <w:rPr>
          <w:sz w:val="24"/>
        </w:rPr>
        <w:t>Syndromes</w:t>
      </w:r>
      <w:r>
        <w:rPr>
          <w:spacing w:val="-5"/>
          <w:sz w:val="24"/>
        </w:rPr>
        <w:t> </w:t>
      </w:r>
      <w:r>
        <w:rPr>
          <w:sz w:val="24"/>
        </w:rPr>
        <w:t>«SUBTITLE»The</w:t>
      </w:r>
      <w:r>
        <w:rPr>
          <w:spacing w:val="-6"/>
          <w:sz w:val="24"/>
        </w:rPr>
        <w:t> </w:t>
      </w:r>
      <w:r>
        <w:rPr>
          <w:sz w:val="24"/>
        </w:rPr>
        <w:t>MIRACL</w:t>
      </w:r>
      <w:r>
        <w:rPr>
          <w:spacing w:val="-6"/>
          <w:sz w:val="24"/>
        </w:rPr>
        <w:t> </w:t>
      </w:r>
      <w:r>
        <w:rPr>
          <w:sz w:val="24"/>
        </w:rPr>
        <w:t>Study:</w:t>
      </w:r>
      <w:r>
        <w:rPr>
          <w:spacing w:val="-5"/>
          <w:sz w:val="24"/>
        </w:rPr>
        <w:t> </w:t>
      </w:r>
      <w:r>
        <w:rPr>
          <w:sz w:val="24"/>
        </w:rPr>
        <w:t>A</w:t>
      </w:r>
      <w:r>
        <w:rPr>
          <w:spacing w:val="-6"/>
          <w:sz w:val="24"/>
        </w:rPr>
        <w:t> </w:t>
      </w:r>
      <w:r>
        <w:rPr>
          <w:sz w:val="24"/>
        </w:rPr>
        <w:t>Randomized</w:t>
      </w:r>
      <w:r>
        <w:rPr>
          <w:spacing w:val="-5"/>
          <w:sz w:val="24"/>
        </w:rPr>
        <w:t> </w:t>
      </w:r>
      <w:r>
        <w:rPr>
          <w:sz w:val="24"/>
        </w:rPr>
        <w:t>Controlled Trial «SUBTITLE». JAMA. 2001. 285(13): 1711. doi:10.1001/jama.285.13.1711</w:t>
      </w:r>
    </w:p>
    <w:p>
      <w:pPr>
        <w:pStyle w:val="ListParagraph"/>
        <w:numPr>
          <w:ilvl w:val="0"/>
          <w:numId w:val="25"/>
        </w:numPr>
        <w:tabs>
          <w:tab w:pos="1982" w:val="left" w:leader="none"/>
        </w:tabs>
        <w:spacing w:line="360" w:lineRule="auto" w:before="2" w:after="0"/>
        <w:ind w:left="1981" w:right="817" w:hanging="360"/>
        <w:jc w:val="left"/>
        <w:rPr>
          <w:sz w:val="24"/>
        </w:rPr>
      </w:pPr>
      <w:bookmarkStart w:name="_bookmark100" w:id="149"/>
      <w:bookmarkEnd w:id="149"/>
      <w:r>
        <w:rPr>
          <w:sz w:val="24"/>
        </w:rPr>
        <w:t>C</w:t>
      </w:r>
      <w:r>
        <w:rPr>
          <w:sz w:val="24"/>
        </w:rPr>
        <w:t>annon CP, Braunwald E, McCabe CH et al. Intensive versus moderate lipid lowering with</w:t>
      </w:r>
      <w:r>
        <w:rPr>
          <w:spacing w:val="-3"/>
          <w:sz w:val="24"/>
        </w:rPr>
        <w:t> </w:t>
      </w:r>
      <w:r>
        <w:rPr>
          <w:sz w:val="24"/>
        </w:rPr>
        <w:t>statins</w:t>
      </w:r>
      <w:r>
        <w:rPr>
          <w:spacing w:val="-3"/>
          <w:sz w:val="24"/>
        </w:rPr>
        <w:t> </w:t>
      </w:r>
      <w:r>
        <w:rPr>
          <w:sz w:val="24"/>
        </w:rPr>
        <w:t>after</w:t>
      </w:r>
      <w:r>
        <w:rPr>
          <w:spacing w:val="-4"/>
          <w:sz w:val="24"/>
        </w:rPr>
        <w:t> </w:t>
      </w:r>
      <w:r>
        <w:rPr>
          <w:sz w:val="24"/>
        </w:rPr>
        <w:t>acute</w:t>
      </w:r>
      <w:r>
        <w:rPr>
          <w:spacing w:val="-4"/>
          <w:sz w:val="24"/>
        </w:rPr>
        <w:t> </w:t>
      </w:r>
      <w:r>
        <w:rPr>
          <w:sz w:val="24"/>
        </w:rPr>
        <w:t>coronary</w:t>
      </w:r>
      <w:r>
        <w:rPr>
          <w:spacing w:val="-3"/>
          <w:sz w:val="24"/>
        </w:rPr>
        <w:t> </w:t>
      </w:r>
      <w:r>
        <w:rPr>
          <w:sz w:val="24"/>
        </w:rPr>
        <w:t>syndromes.</w:t>
      </w:r>
      <w:r>
        <w:rPr>
          <w:spacing w:val="-1"/>
          <w:sz w:val="24"/>
        </w:rPr>
        <w:t> </w:t>
      </w:r>
      <w:r>
        <w:rPr>
          <w:sz w:val="24"/>
        </w:rPr>
        <w:t>N</w:t>
      </w:r>
      <w:r>
        <w:rPr>
          <w:spacing w:val="-4"/>
          <w:sz w:val="24"/>
        </w:rPr>
        <w:t> </w:t>
      </w:r>
      <w:r>
        <w:rPr>
          <w:sz w:val="24"/>
        </w:rPr>
        <w:t>Engl</w:t>
      </w:r>
      <w:r>
        <w:rPr>
          <w:spacing w:val="-3"/>
          <w:sz w:val="24"/>
        </w:rPr>
        <w:t> </w:t>
      </w:r>
      <w:r>
        <w:rPr>
          <w:sz w:val="24"/>
        </w:rPr>
        <w:t>J</w:t>
      </w:r>
      <w:r>
        <w:rPr>
          <w:spacing w:val="-3"/>
          <w:sz w:val="24"/>
        </w:rPr>
        <w:t> </w:t>
      </w:r>
      <w:r>
        <w:rPr>
          <w:sz w:val="24"/>
        </w:rPr>
        <w:t>Med.</w:t>
      </w:r>
      <w:r>
        <w:rPr>
          <w:spacing w:val="-3"/>
          <w:sz w:val="24"/>
        </w:rPr>
        <w:t> </w:t>
      </w:r>
      <w:r>
        <w:rPr>
          <w:sz w:val="24"/>
        </w:rPr>
        <w:t>2004.</w:t>
      </w:r>
      <w:r>
        <w:rPr>
          <w:spacing w:val="-3"/>
          <w:sz w:val="24"/>
        </w:rPr>
        <w:t> </w:t>
      </w:r>
      <w:r>
        <w:rPr>
          <w:sz w:val="24"/>
        </w:rPr>
        <w:t>350(15):</w:t>
      </w:r>
      <w:r>
        <w:rPr>
          <w:spacing w:val="-3"/>
          <w:sz w:val="24"/>
        </w:rPr>
        <w:t> </w:t>
      </w:r>
      <w:r>
        <w:rPr>
          <w:sz w:val="24"/>
        </w:rPr>
        <w:t>1495–1504. </w:t>
      </w:r>
      <w:r>
        <w:rPr>
          <w:spacing w:val="-2"/>
          <w:sz w:val="24"/>
        </w:rPr>
        <w:t>doi:10.1056/NEJMoa040583</w:t>
      </w:r>
    </w:p>
    <w:p>
      <w:pPr>
        <w:pStyle w:val="ListParagraph"/>
        <w:numPr>
          <w:ilvl w:val="0"/>
          <w:numId w:val="25"/>
        </w:numPr>
        <w:tabs>
          <w:tab w:pos="1982" w:val="left" w:leader="none"/>
        </w:tabs>
        <w:spacing w:line="360" w:lineRule="auto" w:before="0" w:after="0"/>
        <w:ind w:left="1981" w:right="1010" w:hanging="360"/>
        <w:jc w:val="left"/>
        <w:rPr>
          <w:sz w:val="24"/>
        </w:rPr>
      </w:pPr>
      <w:bookmarkStart w:name="_bookmark101" w:id="150"/>
      <w:bookmarkEnd w:id="150"/>
      <w:r>
        <w:rPr>
          <w:sz w:val="24"/>
        </w:rPr>
        <w:t>P</w:t>
      </w:r>
      <w:r>
        <w:rPr>
          <w:sz w:val="24"/>
        </w:rPr>
        <w:t>atti</w:t>
      </w:r>
      <w:r>
        <w:rPr>
          <w:spacing w:val="-3"/>
          <w:sz w:val="24"/>
        </w:rPr>
        <w:t> </w:t>
      </w:r>
      <w:r>
        <w:rPr>
          <w:sz w:val="24"/>
        </w:rPr>
        <w:t>G,</w:t>
      </w:r>
      <w:r>
        <w:rPr>
          <w:spacing w:val="-3"/>
          <w:sz w:val="24"/>
        </w:rPr>
        <w:t> </w:t>
      </w:r>
      <w:r>
        <w:rPr>
          <w:sz w:val="24"/>
        </w:rPr>
        <w:t>Pasceri</w:t>
      </w:r>
      <w:r>
        <w:rPr>
          <w:spacing w:val="-3"/>
          <w:sz w:val="24"/>
        </w:rPr>
        <w:t> </w:t>
      </w:r>
      <w:r>
        <w:rPr>
          <w:sz w:val="24"/>
        </w:rPr>
        <w:t>V,</w:t>
      </w:r>
      <w:r>
        <w:rPr>
          <w:spacing w:val="-3"/>
          <w:sz w:val="24"/>
        </w:rPr>
        <w:t> </w:t>
      </w:r>
      <w:r>
        <w:rPr>
          <w:sz w:val="24"/>
        </w:rPr>
        <w:t>Colonna</w:t>
      </w:r>
      <w:r>
        <w:rPr>
          <w:spacing w:val="-4"/>
          <w:sz w:val="24"/>
        </w:rPr>
        <w:t> </w:t>
      </w:r>
      <w:r>
        <w:rPr>
          <w:sz w:val="24"/>
        </w:rPr>
        <w:t>G</w:t>
      </w:r>
      <w:r>
        <w:rPr>
          <w:spacing w:val="-4"/>
          <w:sz w:val="24"/>
        </w:rPr>
        <w:t> </w:t>
      </w:r>
      <w:r>
        <w:rPr>
          <w:sz w:val="24"/>
        </w:rPr>
        <w:t>et</w:t>
      </w:r>
      <w:r>
        <w:rPr>
          <w:spacing w:val="-3"/>
          <w:sz w:val="24"/>
        </w:rPr>
        <w:t> </w:t>
      </w:r>
      <w:r>
        <w:rPr>
          <w:sz w:val="24"/>
        </w:rPr>
        <w:t>al.</w:t>
      </w:r>
      <w:r>
        <w:rPr>
          <w:spacing w:val="-3"/>
          <w:sz w:val="24"/>
        </w:rPr>
        <w:t> </w:t>
      </w:r>
      <w:r>
        <w:rPr>
          <w:sz w:val="24"/>
        </w:rPr>
        <w:t>Atorvastatin</w:t>
      </w:r>
      <w:r>
        <w:rPr>
          <w:spacing w:val="-3"/>
          <w:sz w:val="24"/>
        </w:rPr>
        <w:t> </w:t>
      </w:r>
      <w:r>
        <w:rPr>
          <w:sz w:val="24"/>
        </w:rPr>
        <w:t>Pretreatment</w:t>
      </w:r>
      <w:r>
        <w:rPr>
          <w:spacing w:val="-1"/>
          <w:sz w:val="24"/>
        </w:rPr>
        <w:t> </w:t>
      </w:r>
      <w:r>
        <w:rPr>
          <w:sz w:val="24"/>
        </w:rPr>
        <w:t>Improves</w:t>
      </w:r>
      <w:r>
        <w:rPr>
          <w:spacing w:val="-3"/>
          <w:sz w:val="24"/>
        </w:rPr>
        <w:t> </w:t>
      </w:r>
      <w:r>
        <w:rPr>
          <w:sz w:val="24"/>
        </w:rPr>
        <w:t>Outcomes</w:t>
      </w:r>
      <w:r>
        <w:rPr>
          <w:spacing w:val="-3"/>
          <w:sz w:val="24"/>
        </w:rPr>
        <w:t> </w:t>
      </w:r>
      <w:r>
        <w:rPr>
          <w:sz w:val="24"/>
        </w:rPr>
        <w:t>in Patients With Acute Coronary Syndromes Undergoing Early Percutaneous Coronary Intervention. J Am Coll Cardiol. 2007. 49(12): 1272–1278. </w:t>
      </w:r>
      <w:r>
        <w:rPr>
          <w:spacing w:val="-2"/>
          <w:sz w:val="24"/>
        </w:rPr>
        <w:t>doi:10.1016/j.jacc.2007.02.025</w:t>
      </w:r>
    </w:p>
    <w:p>
      <w:pPr>
        <w:pStyle w:val="ListParagraph"/>
        <w:numPr>
          <w:ilvl w:val="0"/>
          <w:numId w:val="25"/>
        </w:numPr>
        <w:tabs>
          <w:tab w:pos="1982" w:val="left" w:leader="none"/>
        </w:tabs>
        <w:spacing w:line="360" w:lineRule="auto" w:before="0" w:after="0"/>
        <w:ind w:left="1981" w:right="966" w:hanging="360"/>
        <w:jc w:val="left"/>
        <w:rPr>
          <w:sz w:val="24"/>
        </w:rPr>
      </w:pPr>
      <w:bookmarkStart w:name="_bookmark102" w:id="151"/>
      <w:bookmarkEnd w:id="151"/>
      <w:r>
        <w:rPr>
          <w:sz w:val="24"/>
        </w:rPr>
        <w:t>Sh</w:t>
      </w:r>
      <w:r>
        <w:rPr>
          <w:sz w:val="24"/>
        </w:rPr>
        <w:t>epherd J, Kastelein JJ, Bittner V et al. Intensive lipid lowering with atorvastatin in patients</w:t>
      </w:r>
      <w:r>
        <w:rPr>
          <w:spacing w:val="-3"/>
          <w:sz w:val="24"/>
        </w:rPr>
        <w:t> </w:t>
      </w:r>
      <w:r>
        <w:rPr>
          <w:sz w:val="24"/>
        </w:rPr>
        <w:t>with</w:t>
      </w:r>
      <w:r>
        <w:rPr>
          <w:spacing w:val="-3"/>
          <w:sz w:val="24"/>
        </w:rPr>
        <w:t> </w:t>
      </w:r>
      <w:r>
        <w:rPr>
          <w:sz w:val="24"/>
        </w:rPr>
        <w:t>coronary</w:t>
      </w:r>
      <w:r>
        <w:rPr>
          <w:spacing w:val="-3"/>
          <w:sz w:val="24"/>
        </w:rPr>
        <w:t> </w:t>
      </w:r>
      <w:r>
        <w:rPr>
          <w:sz w:val="24"/>
        </w:rPr>
        <w:t>heart</w:t>
      </w:r>
      <w:r>
        <w:rPr>
          <w:spacing w:val="-3"/>
          <w:sz w:val="24"/>
        </w:rPr>
        <w:t> </w:t>
      </w:r>
      <w:r>
        <w:rPr>
          <w:sz w:val="24"/>
        </w:rPr>
        <w:t>disease</w:t>
      </w:r>
      <w:r>
        <w:rPr>
          <w:spacing w:val="-2"/>
          <w:sz w:val="24"/>
        </w:rPr>
        <w:t> </w:t>
      </w:r>
      <w:r>
        <w:rPr>
          <w:sz w:val="24"/>
        </w:rPr>
        <w:t>and</w:t>
      </w:r>
      <w:r>
        <w:rPr>
          <w:spacing w:val="-3"/>
          <w:sz w:val="24"/>
        </w:rPr>
        <w:t> </w:t>
      </w:r>
      <w:r>
        <w:rPr>
          <w:sz w:val="24"/>
        </w:rPr>
        <w:t>chronic</w:t>
      </w:r>
      <w:r>
        <w:rPr>
          <w:spacing w:val="-4"/>
          <w:sz w:val="24"/>
        </w:rPr>
        <w:t> </w:t>
      </w:r>
      <w:r>
        <w:rPr>
          <w:sz w:val="24"/>
        </w:rPr>
        <w:t>kidney</w:t>
      </w:r>
      <w:r>
        <w:rPr>
          <w:spacing w:val="-3"/>
          <w:sz w:val="24"/>
        </w:rPr>
        <w:t> </w:t>
      </w:r>
      <w:r>
        <w:rPr>
          <w:sz w:val="24"/>
        </w:rPr>
        <w:t>disease:</w:t>
      </w:r>
      <w:r>
        <w:rPr>
          <w:spacing w:val="-3"/>
          <w:sz w:val="24"/>
        </w:rPr>
        <w:t> </w:t>
      </w:r>
      <w:r>
        <w:rPr>
          <w:sz w:val="24"/>
        </w:rPr>
        <w:t>the</w:t>
      </w:r>
      <w:r>
        <w:rPr>
          <w:spacing w:val="-4"/>
          <w:sz w:val="24"/>
        </w:rPr>
        <w:t> </w:t>
      </w:r>
      <w:r>
        <w:rPr>
          <w:sz w:val="24"/>
        </w:rPr>
        <w:t>TNT</w:t>
      </w:r>
      <w:r>
        <w:rPr>
          <w:spacing w:val="-4"/>
          <w:sz w:val="24"/>
        </w:rPr>
        <w:t> </w:t>
      </w:r>
      <w:r>
        <w:rPr>
          <w:sz w:val="24"/>
        </w:rPr>
        <w:t>(Treating</w:t>
      </w:r>
      <w:r>
        <w:rPr>
          <w:spacing w:val="-3"/>
          <w:sz w:val="24"/>
        </w:rPr>
        <w:t> </w:t>
      </w:r>
      <w:r>
        <w:rPr>
          <w:sz w:val="24"/>
        </w:rPr>
        <w:t>to New Targets) study. J Am Coll Cardiol. 2008. 51(15): 1448–1454. </w:t>
      </w:r>
      <w:r>
        <w:rPr>
          <w:spacing w:val="-2"/>
          <w:sz w:val="24"/>
        </w:rPr>
        <w:t>doi:10.1016/j.jacc.2007.11.072</w:t>
      </w:r>
    </w:p>
    <w:p>
      <w:pPr>
        <w:pStyle w:val="ListParagraph"/>
        <w:numPr>
          <w:ilvl w:val="0"/>
          <w:numId w:val="25"/>
        </w:numPr>
        <w:tabs>
          <w:tab w:pos="1982" w:val="left" w:leader="none"/>
        </w:tabs>
        <w:spacing w:line="360" w:lineRule="auto" w:before="0" w:after="0"/>
        <w:ind w:left="1981" w:right="666" w:hanging="360"/>
        <w:jc w:val="left"/>
        <w:rPr>
          <w:sz w:val="24"/>
        </w:rPr>
      </w:pPr>
      <w:bookmarkStart w:name="_bookmark103" w:id="152"/>
      <w:bookmarkEnd w:id="152"/>
      <w:r>
        <w:rPr>
          <w:sz w:val="24"/>
        </w:rPr>
        <w:t>A</w:t>
      </w:r>
      <w:r>
        <w:rPr>
          <w:sz w:val="24"/>
        </w:rPr>
        <w:t>thyros VG, Papageorgiou AA, Mercouris BR et al. Treatment with atorvastatin to the National</w:t>
      </w:r>
      <w:r>
        <w:rPr>
          <w:spacing w:val="-4"/>
          <w:sz w:val="24"/>
        </w:rPr>
        <w:t> </w:t>
      </w:r>
      <w:r>
        <w:rPr>
          <w:sz w:val="24"/>
        </w:rPr>
        <w:t>Cholesterol</w:t>
      </w:r>
      <w:r>
        <w:rPr>
          <w:spacing w:val="-4"/>
          <w:sz w:val="24"/>
        </w:rPr>
        <w:t> </w:t>
      </w:r>
      <w:r>
        <w:rPr>
          <w:sz w:val="24"/>
        </w:rPr>
        <w:t>Educational</w:t>
      </w:r>
      <w:r>
        <w:rPr>
          <w:spacing w:val="-4"/>
          <w:sz w:val="24"/>
        </w:rPr>
        <w:t> </w:t>
      </w:r>
      <w:r>
        <w:rPr>
          <w:sz w:val="24"/>
        </w:rPr>
        <w:t>Program</w:t>
      </w:r>
      <w:r>
        <w:rPr>
          <w:spacing w:val="-4"/>
          <w:sz w:val="24"/>
        </w:rPr>
        <w:t> </w:t>
      </w:r>
      <w:r>
        <w:rPr>
          <w:sz w:val="24"/>
        </w:rPr>
        <w:t>goal</w:t>
      </w:r>
      <w:r>
        <w:rPr>
          <w:spacing w:val="-4"/>
          <w:sz w:val="24"/>
        </w:rPr>
        <w:t> </w:t>
      </w:r>
      <w:r>
        <w:rPr>
          <w:sz w:val="24"/>
        </w:rPr>
        <w:t>versus</w:t>
      </w:r>
      <w:r>
        <w:rPr>
          <w:spacing w:val="-4"/>
          <w:sz w:val="24"/>
        </w:rPr>
        <w:t> </w:t>
      </w:r>
      <w:r>
        <w:rPr>
          <w:sz w:val="24"/>
        </w:rPr>
        <w:t>'usual'</w:t>
      </w:r>
      <w:r>
        <w:rPr>
          <w:spacing w:val="-5"/>
          <w:sz w:val="24"/>
        </w:rPr>
        <w:t> </w:t>
      </w:r>
      <w:r>
        <w:rPr>
          <w:sz w:val="24"/>
        </w:rPr>
        <w:t>care</w:t>
      </w:r>
      <w:r>
        <w:rPr>
          <w:spacing w:val="-5"/>
          <w:sz w:val="24"/>
        </w:rPr>
        <w:t> </w:t>
      </w:r>
      <w:r>
        <w:rPr>
          <w:sz w:val="24"/>
        </w:rPr>
        <w:t>in</w:t>
      </w:r>
      <w:r>
        <w:rPr>
          <w:spacing w:val="-4"/>
          <w:sz w:val="24"/>
        </w:rPr>
        <w:t> </w:t>
      </w:r>
      <w:r>
        <w:rPr>
          <w:sz w:val="24"/>
        </w:rPr>
        <w:t>secondary</w:t>
      </w:r>
      <w:r>
        <w:rPr>
          <w:spacing w:val="-4"/>
          <w:sz w:val="24"/>
        </w:rPr>
        <w:t> </w:t>
      </w:r>
      <w:r>
        <w:rPr>
          <w:sz w:val="24"/>
        </w:rPr>
        <w:t>coronary heart disease prevention. The GREek Atorvastatin and Coronary-heart-disease, Evaluation (GREACE) study. Curr Med Res Opin. 2002. 18(4): 220–228. </w:t>
      </w:r>
      <w:r>
        <w:rPr>
          <w:spacing w:val="-2"/>
          <w:sz w:val="24"/>
        </w:rPr>
        <w:t>doi:10.1185/030079902125000787</w:t>
      </w:r>
    </w:p>
    <w:p>
      <w:pPr>
        <w:pStyle w:val="ListParagraph"/>
        <w:numPr>
          <w:ilvl w:val="0"/>
          <w:numId w:val="25"/>
        </w:numPr>
        <w:tabs>
          <w:tab w:pos="1982" w:val="left" w:leader="none"/>
        </w:tabs>
        <w:spacing w:line="360" w:lineRule="auto" w:before="0" w:after="0"/>
        <w:ind w:left="1981" w:right="785" w:hanging="360"/>
        <w:jc w:val="left"/>
        <w:rPr>
          <w:sz w:val="24"/>
        </w:rPr>
      </w:pPr>
      <w:bookmarkStart w:name="_bookmark104" w:id="153"/>
      <w:bookmarkEnd w:id="153"/>
      <w:r>
        <w:rPr>
          <w:sz w:val="24"/>
        </w:rPr>
        <w:t>A</w:t>
      </w:r>
      <w:r>
        <w:rPr>
          <w:sz w:val="24"/>
        </w:rPr>
        <w:t>marenco</w:t>
      </w:r>
      <w:r>
        <w:rPr>
          <w:spacing w:val="-3"/>
          <w:sz w:val="24"/>
        </w:rPr>
        <w:t> </w:t>
      </w:r>
      <w:r>
        <w:rPr>
          <w:sz w:val="24"/>
        </w:rPr>
        <w:t>P,</w:t>
      </w:r>
      <w:r>
        <w:rPr>
          <w:spacing w:val="-3"/>
          <w:sz w:val="24"/>
        </w:rPr>
        <w:t> </w:t>
      </w:r>
      <w:r>
        <w:rPr>
          <w:sz w:val="24"/>
        </w:rPr>
        <w:t>Bogousslavsky</w:t>
      </w:r>
      <w:r>
        <w:rPr>
          <w:spacing w:val="-3"/>
          <w:sz w:val="24"/>
        </w:rPr>
        <w:t> </w:t>
      </w:r>
      <w:r>
        <w:rPr>
          <w:sz w:val="24"/>
        </w:rPr>
        <w:t>J,</w:t>
      </w:r>
      <w:r>
        <w:rPr>
          <w:spacing w:val="-3"/>
          <w:sz w:val="24"/>
        </w:rPr>
        <w:t> </w:t>
      </w:r>
      <w:r>
        <w:rPr>
          <w:sz w:val="24"/>
        </w:rPr>
        <w:t>Callahan</w:t>
      </w:r>
      <w:r>
        <w:rPr>
          <w:spacing w:val="-3"/>
          <w:sz w:val="24"/>
        </w:rPr>
        <w:t> </w:t>
      </w:r>
      <w:r>
        <w:rPr>
          <w:sz w:val="24"/>
        </w:rPr>
        <w:t>A</w:t>
      </w:r>
      <w:r>
        <w:rPr>
          <w:spacing w:val="-4"/>
          <w:sz w:val="24"/>
        </w:rPr>
        <w:t> </w:t>
      </w:r>
      <w:r>
        <w:rPr>
          <w:sz w:val="24"/>
        </w:rPr>
        <w:t>3rd</w:t>
      </w:r>
      <w:r>
        <w:rPr>
          <w:spacing w:val="-3"/>
          <w:sz w:val="24"/>
        </w:rPr>
        <w:t> </w:t>
      </w:r>
      <w:r>
        <w:rPr>
          <w:sz w:val="24"/>
        </w:rPr>
        <w:t>et</w:t>
      </w:r>
      <w:r>
        <w:rPr>
          <w:spacing w:val="-1"/>
          <w:sz w:val="24"/>
        </w:rPr>
        <w:t> </w:t>
      </w:r>
      <w:r>
        <w:rPr>
          <w:sz w:val="24"/>
        </w:rPr>
        <w:t>al.</w:t>
      </w:r>
      <w:r>
        <w:rPr>
          <w:spacing w:val="-3"/>
          <w:sz w:val="24"/>
        </w:rPr>
        <w:t> </w:t>
      </w:r>
      <w:r>
        <w:rPr>
          <w:sz w:val="24"/>
        </w:rPr>
        <w:t>High-dose</w:t>
      </w:r>
      <w:r>
        <w:rPr>
          <w:spacing w:val="-4"/>
          <w:sz w:val="24"/>
        </w:rPr>
        <w:t> </w:t>
      </w:r>
      <w:r>
        <w:rPr>
          <w:sz w:val="24"/>
        </w:rPr>
        <w:t>atorvastatin</w:t>
      </w:r>
      <w:r>
        <w:rPr>
          <w:spacing w:val="-3"/>
          <w:sz w:val="24"/>
        </w:rPr>
        <w:t> </w:t>
      </w:r>
      <w:r>
        <w:rPr>
          <w:sz w:val="24"/>
        </w:rPr>
        <w:t>after</w:t>
      </w:r>
      <w:r>
        <w:rPr>
          <w:spacing w:val="-4"/>
          <w:sz w:val="24"/>
        </w:rPr>
        <w:t> </w:t>
      </w:r>
      <w:r>
        <w:rPr>
          <w:sz w:val="24"/>
        </w:rPr>
        <w:t>stroke or transient ischemic attack. N Engl J Med. 2006. 355(6): 549–559. </w:t>
      </w:r>
      <w:r>
        <w:rPr>
          <w:spacing w:val="-2"/>
          <w:sz w:val="24"/>
        </w:rPr>
        <w:t>doi:10.1056/NEJMoa061894</w:t>
      </w:r>
    </w:p>
    <w:p>
      <w:pPr>
        <w:pStyle w:val="ListParagraph"/>
        <w:numPr>
          <w:ilvl w:val="0"/>
          <w:numId w:val="25"/>
        </w:numPr>
        <w:tabs>
          <w:tab w:pos="1982" w:val="left" w:leader="none"/>
        </w:tabs>
        <w:spacing w:line="360" w:lineRule="auto" w:before="0" w:after="0"/>
        <w:ind w:left="1981" w:right="726" w:hanging="360"/>
        <w:jc w:val="left"/>
        <w:rPr>
          <w:sz w:val="24"/>
        </w:rPr>
      </w:pPr>
      <w:bookmarkStart w:name="_bookmark105" w:id="154"/>
      <w:bookmarkEnd w:id="154"/>
      <w:r>
        <w:rPr>
          <w:sz w:val="24"/>
        </w:rPr>
        <w:t>N</w:t>
      </w:r>
      <w:r>
        <w:rPr>
          <w:sz w:val="24"/>
        </w:rPr>
        <w:t>ewman</w:t>
      </w:r>
      <w:r>
        <w:rPr>
          <w:spacing w:val="-3"/>
          <w:sz w:val="24"/>
        </w:rPr>
        <w:t> </w:t>
      </w:r>
      <w:r>
        <w:rPr>
          <w:sz w:val="24"/>
        </w:rPr>
        <w:t>CB,</w:t>
      </w:r>
      <w:r>
        <w:rPr>
          <w:spacing w:val="-3"/>
          <w:sz w:val="24"/>
        </w:rPr>
        <w:t> </w:t>
      </w:r>
      <w:r>
        <w:rPr>
          <w:sz w:val="24"/>
        </w:rPr>
        <w:t>Palmer</w:t>
      </w:r>
      <w:r>
        <w:rPr>
          <w:spacing w:val="-4"/>
          <w:sz w:val="24"/>
        </w:rPr>
        <w:t> </w:t>
      </w:r>
      <w:r>
        <w:rPr>
          <w:sz w:val="24"/>
        </w:rPr>
        <w:t>G,</w:t>
      </w:r>
      <w:r>
        <w:rPr>
          <w:spacing w:val="-1"/>
          <w:sz w:val="24"/>
        </w:rPr>
        <w:t> </w:t>
      </w:r>
      <w:r>
        <w:rPr>
          <w:sz w:val="24"/>
        </w:rPr>
        <w:t>Silbershatz</w:t>
      </w:r>
      <w:r>
        <w:rPr>
          <w:spacing w:val="-4"/>
          <w:sz w:val="24"/>
        </w:rPr>
        <w:t> </w:t>
      </w:r>
      <w:r>
        <w:rPr>
          <w:sz w:val="24"/>
        </w:rPr>
        <w:t>H</w:t>
      </w:r>
      <w:r>
        <w:rPr>
          <w:spacing w:val="-4"/>
          <w:sz w:val="24"/>
        </w:rPr>
        <w:t> </w:t>
      </w:r>
      <w:r>
        <w:rPr>
          <w:sz w:val="24"/>
        </w:rPr>
        <w:t>et</w:t>
      </w:r>
      <w:r>
        <w:rPr>
          <w:spacing w:val="-3"/>
          <w:sz w:val="24"/>
        </w:rPr>
        <w:t> </w:t>
      </w:r>
      <w:r>
        <w:rPr>
          <w:sz w:val="24"/>
        </w:rPr>
        <w:t>al.</w:t>
      </w:r>
      <w:r>
        <w:rPr>
          <w:spacing w:val="-3"/>
          <w:sz w:val="24"/>
        </w:rPr>
        <w:t> </w:t>
      </w:r>
      <w:r>
        <w:rPr>
          <w:sz w:val="24"/>
        </w:rPr>
        <w:t>Safety</w:t>
      </w:r>
      <w:r>
        <w:rPr>
          <w:spacing w:val="-3"/>
          <w:sz w:val="24"/>
        </w:rPr>
        <w:t> </w:t>
      </w:r>
      <w:r>
        <w:rPr>
          <w:sz w:val="24"/>
        </w:rPr>
        <w:t>of</w:t>
      </w:r>
      <w:r>
        <w:rPr>
          <w:spacing w:val="-4"/>
          <w:sz w:val="24"/>
        </w:rPr>
        <w:t> </w:t>
      </w:r>
      <w:r>
        <w:rPr>
          <w:sz w:val="24"/>
        </w:rPr>
        <w:t>atorvastatin</w:t>
      </w:r>
      <w:r>
        <w:rPr>
          <w:spacing w:val="-3"/>
          <w:sz w:val="24"/>
        </w:rPr>
        <w:t> </w:t>
      </w:r>
      <w:r>
        <w:rPr>
          <w:sz w:val="24"/>
        </w:rPr>
        <w:t>derived</w:t>
      </w:r>
      <w:r>
        <w:rPr>
          <w:spacing w:val="-1"/>
          <w:sz w:val="24"/>
        </w:rPr>
        <w:t> </w:t>
      </w:r>
      <w:r>
        <w:rPr>
          <w:sz w:val="24"/>
        </w:rPr>
        <w:t>from</w:t>
      </w:r>
      <w:r>
        <w:rPr>
          <w:spacing w:val="-3"/>
          <w:sz w:val="24"/>
        </w:rPr>
        <w:t> </w:t>
      </w:r>
      <w:r>
        <w:rPr>
          <w:sz w:val="24"/>
        </w:rPr>
        <w:t>analysis of 44 completed trials in 9,416 patients. Am J Cardiol. 2003. 92(6): 670–676. </w:t>
      </w:r>
      <w:r>
        <w:rPr>
          <w:spacing w:val="-2"/>
          <w:sz w:val="24"/>
        </w:rPr>
        <w:t>doi:10.1016/s0002-9149(03)00820-8</w:t>
      </w:r>
    </w:p>
    <w:p>
      <w:pPr>
        <w:pStyle w:val="ListParagraph"/>
        <w:numPr>
          <w:ilvl w:val="0"/>
          <w:numId w:val="25"/>
        </w:numPr>
        <w:tabs>
          <w:tab w:pos="1982" w:val="left" w:leader="none"/>
        </w:tabs>
        <w:spacing w:line="360" w:lineRule="auto" w:before="0" w:after="0"/>
        <w:ind w:left="1981" w:right="959" w:hanging="360"/>
        <w:jc w:val="left"/>
        <w:rPr>
          <w:sz w:val="24"/>
        </w:rPr>
      </w:pPr>
      <w:bookmarkStart w:name="_bookmark106" w:id="155"/>
      <w:bookmarkEnd w:id="155"/>
      <w:r>
        <w:rPr>
          <w:sz w:val="24"/>
        </w:rPr>
        <w:t>Bo</w:t>
      </w:r>
      <w:r>
        <w:rPr>
          <w:sz w:val="24"/>
        </w:rPr>
        <w:t>ekholdt SM, Hovingh GK, Mora S et al. Very Low Levels of Atherogenic Lipoproteins</w:t>
      </w:r>
      <w:r>
        <w:rPr>
          <w:spacing w:val="-3"/>
          <w:sz w:val="24"/>
        </w:rPr>
        <w:t> </w:t>
      </w:r>
      <w:r>
        <w:rPr>
          <w:sz w:val="24"/>
        </w:rPr>
        <w:t>and</w:t>
      </w:r>
      <w:r>
        <w:rPr>
          <w:spacing w:val="-3"/>
          <w:sz w:val="24"/>
        </w:rPr>
        <w:t> </w:t>
      </w:r>
      <w:r>
        <w:rPr>
          <w:sz w:val="24"/>
        </w:rPr>
        <w:t>the</w:t>
      </w:r>
      <w:r>
        <w:rPr>
          <w:spacing w:val="-4"/>
          <w:sz w:val="24"/>
        </w:rPr>
        <w:t> </w:t>
      </w:r>
      <w:r>
        <w:rPr>
          <w:sz w:val="24"/>
        </w:rPr>
        <w:t>Risk</w:t>
      </w:r>
      <w:r>
        <w:rPr>
          <w:spacing w:val="-3"/>
          <w:sz w:val="24"/>
        </w:rPr>
        <w:t> </w:t>
      </w:r>
      <w:r>
        <w:rPr>
          <w:sz w:val="24"/>
        </w:rPr>
        <w:t>for</w:t>
      </w:r>
      <w:r>
        <w:rPr>
          <w:spacing w:val="-4"/>
          <w:sz w:val="24"/>
        </w:rPr>
        <w:t> </w:t>
      </w:r>
      <w:r>
        <w:rPr>
          <w:sz w:val="24"/>
        </w:rPr>
        <w:t>Cardiovascular</w:t>
      </w:r>
      <w:r>
        <w:rPr>
          <w:spacing w:val="-4"/>
          <w:sz w:val="24"/>
        </w:rPr>
        <w:t> </w:t>
      </w:r>
      <w:r>
        <w:rPr>
          <w:sz w:val="24"/>
        </w:rPr>
        <w:t>Events.</w:t>
      </w:r>
      <w:r>
        <w:rPr>
          <w:spacing w:val="-3"/>
          <w:sz w:val="24"/>
        </w:rPr>
        <w:t> </w:t>
      </w:r>
      <w:r>
        <w:rPr>
          <w:sz w:val="24"/>
        </w:rPr>
        <w:t>J</w:t>
      </w:r>
      <w:r>
        <w:rPr>
          <w:spacing w:val="-3"/>
          <w:sz w:val="24"/>
        </w:rPr>
        <w:t> </w:t>
      </w:r>
      <w:r>
        <w:rPr>
          <w:sz w:val="24"/>
        </w:rPr>
        <w:t>Am</w:t>
      </w:r>
      <w:r>
        <w:rPr>
          <w:spacing w:val="-3"/>
          <w:sz w:val="24"/>
        </w:rPr>
        <w:t> </w:t>
      </w:r>
      <w:r>
        <w:rPr>
          <w:sz w:val="24"/>
        </w:rPr>
        <w:t>Coll</w:t>
      </w:r>
      <w:r>
        <w:rPr>
          <w:spacing w:val="-3"/>
          <w:sz w:val="24"/>
        </w:rPr>
        <w:t> </w:t>
      </w:r>
      <w:r>
        <w:rPr>
          <w:sz w:val="24"/>
        </w:rPr>
        <w:t>Cardiol.</w:t>
      </w:r>
      <w:r>
        <w:rPr>
          <w:spacing w:val="-3"/>
          <w:sz w:val="24"/>
        </w:rPr>
        <w:t> </w:t>
      </w:r>
      <w:r>
        <w:rPr>
          <w:sz w:val="24"/>
        </w:rPr>
        <w:t>2014.</w:t>
      </w:r>
      <w:r>
        <w:rPr>
          <w:spacing w:val="-3"/>
          <w:sz w:val="24"/>
        </w:rPr>
        <w:t> </w:t>
      </w:r>
      <w:r>
        <w:rPr>
          <w:sz w:val="24"/>
        </w:rPr>
        <w:t>64(5): 485–494. doi:10.1016/j.jacc.2014.02.615</w:t>
      </w:r>
    </w:p>
    <w:p>
      <w:pPr>
        <w:pStyle w:val="ListParagraph"/>
        <w:numPr>
          <w:ilvl w:val="0"/>
          <w:numId w:val="25"/>
        </w:numPr>
        <w:tabs>
          <w:tab w:pos="1982" w:val="left" w:leader="none"/>
        </w:tabs>
        <w:spacing w:line="360" w:lineRule="auto" w:before="0" w:after="0"/>
        <w:ind w:left="1981" w:right="1021" w:hanging="360"/>
        <w:jc w:val="left"/>
        <w:rPr>
          <w:sz w:val="24"/>
        </w:rPr>
      </w:pPr>
      <w:bookmarkStart w:name="_bookmark107" w:id="156"/>
      <w:bookmarkEnd w:id="156"/>
      <w:r>
        <w:rPr>
          <w:sz w:val="24"/>
        </w:rPr>
        <w:t>F</w:t>
      </w:r>
      <w:r>
        <w:rPr>
          <w:sz w:val="24"/>
        </w:rPr>
        <w:t>ruchart</w:t>
      </w:r>
      <w:r>
        <w:rPr>
          <w:spacing w:val="-3"/>
          <w:sz w:val="24"/>
        </w:rPr>
        <w:t> </w:t>
      </w:r>
      <w:r>
        <w:rPr>
          <w:sz w:val="24"/>
        </w:rPr>
        <w:t>JC,</w:t>
      </w:r>
      <w:r>
        <w:rPr>
          <w:spacing w:val="-3"/>
          <w:sz w:val="24"/>
        </w:rPr>
        <w:t> </w:t>
      </w:r>
      <w:r>
        <w:rPr>
          <w:sz w:val="24"/>
        </w:rPr>
        <w:t>Duriez</w:t>
      </w:r>
      <w:r>
        <w:rPr>
          <w:spacing w:val="-4"/>
          <w:sz w:val="24"/>
        </w:rPr>
        <w:t> </w:t>
      </w:r>
      <w:r>
        <w:rPr>
          <w:sz w:val="24"/>
        </w:rPr>
        <w:t>P.</w:t>
      </w:r>
      <w:r>
        <w:rPr>
          <w:spacing w:val="-3"/>
          <w:sz w:val="24"/>
        </w:rPr>
        <w:t> </w:t>
      </w:r>
      <w:r>
        <w:rPr>
          <w:sz w:val="24"/>
        </w:rPr>
        <w:t>Mode</w:t>
      </w:r>
      <w:r>
        <w:rPr>
          <w:spacing w:val="-4"/>
          <w:sz w:val="24"/>
        </w:rPr>
        <w:t> </w:t>
      </w:r>
      <w:r>
        <w:rPr>
          <w:sz w:val="24"/>
        </w:rPr>
        <w:t>of</w:t>
      </w:r>
      <w:r>
        <w:rPr>
          <w:spacing w:val="-4"/>
          <w:sz w:val="24"/>
        </w:rPr>
        <w:t> </w:t>
      </w:r>
      <w:r>
        <w:rPr>
          <w:sz w:val="24"/>
        </w:rPr>
        <w:t>action</w:t>
      </w:r>
      <w:r>
        <w:rPr>
          <w:spacing w:val="-3"/>
          <w:sz w:val="24"/>
        </w:rPr>
        <w:t> </w:t>
      </w:r>
      <w:r>
        <w:rPr>
          <w:sz w:val="24"/>
        </w:rPr>
        <w:t>of</w:t>
      </w:r>
      <w:r>
        <w:rPr>
          <w:spacing w:val="-2"/>
          <w:sz w:val="24"/>
        </w:rPr>
        <w:t> </w:t>
      </w:r>
      <w:r>
        <w:rPr>
          <w:sz w:val="24"/>
        </w:rPr>
        <w:t>fibrates</w:t>
      </w:r>
      <w:r>
        <w:rPr>
          <w:spacing w:val="-3"/>
          <w:sz w:val="24"/>
        </w:rPr>
        <w:t> </w:t>
      </w:r>
      <w:r>
        <w:rPr>
          <w:sz w:val="24"/>
        </w:rPr>
        <w:t>in</w:t>
      </w:r>
      <w:r>
        <w:rPr>
          <w:spacing w:val="-3"/>
          <w:sz w:val="24"/>
        </w:rPr>
        <w:t> </w:t>
      </w:r>
      <w:r>
        <w:rPr>
          <w:sz w:val="24"/>
        </w:rPr>
        <w:t>the</w:t>
      </w:r>
      <w:r>
        <w:rPr>
          <w:spacing w:val="-4"/>
          <w:sz w:val="24"/>
        </w:rPr>
        <w:t> </w:t>
      </w:r>
      <w:r>
        <w:rPr>
          <w:sz w:val="24"/>
        </w:rPr>
        <w:t>regulation</w:t>
      </w:r>
      <w:r>
        <w:rPr>
          <w:spacing w:val="-3"/>
          <w:sz w:val="24"/>
        </w:rPr>
        <w:t> </w:t>
      </w:r>
      <w:r>
        <w:rPr>
          <w:sz w:val="24"/>
        </w:rPr>
        <w:t>of</w:t>
      </w:r>
      <w:r>
        <w:rPr>
          <w:spacing w:val="-4"/>
          <w:sz w:val="24"/>
        </w:rPr>
        <w:t> </w:t>
      </w:r>
      <w:r>
        <w:rPr>
          <w:sz w:val="24"/>
        </w:rPr>
        <w:t>triglyceride</w:t>
      </w:r>
      <w:r>
        <w:rPr>
          <w:spacing w:val="-4"/>
          <w:sz w:val="24"/>
        </w:rPr>
        <w:t> </w:t>
      </w:r>
      <w:r>
        <w:rPr>
          <w:sz w:val="24"/>
        </w:rPr>
        <w:t>and HDL-cholesterol metabolism. Drugs of Today. 2006. 42(1): 39. </w:t>
      </w:r>
      <w:r>
        <w:rPr>
          <w:spacing w:val="-2"/>
          <w:sz w:val="24"/>
        </w:rPr>
        <w:t>doi:10.1358/dot.2006.42.1.963528.</w:t>
      </w:r>
    </w:p>
    <w:p>
      <w:pPr>
        <w:pStyle w:val="ListParagraph"/>
        <w:numPr>
          <w:ilvl w:val="0"/>
          <w:numId w:val="25"/>
        </w:numPr>
        <w:tabs>
          <w:tab w:pos="1982" w:val="left" w:leader="none"/>
        </w:tabs>
        <w:spacing w:line="360" w:lineRule="auto" w:before="1" w:after="0"/>
        <w:ind w:left="1981" w:right="2645" w:hanging="360"/>
        <w:jc w:val="left"/>
        <w:rPr>
          <w:sz w:val="24"/>
        </w:rPr>
      </w:pPr>
      <w:bookmarkStart w:name="_bookmark108" w:id="157"/>
      <w:bookmarkEnd w:id="157"/>
      <w:r>
        <w:rPr>
          <w:sz w:val="24"/>
        </w:rPr>
        <w:t>K</w:t>
      </w:r>
      <w:r>
        <w:rPr>
          <w:sz w:val="24"/>
        </w:rPr>
        <w:t>eating</w:t>
      </w:r>
      <w:r>
        <w:rPr>
          <w:spacing w:val="-5"/>
          <w:sz w:val="24"/>
        </w:rPr>
        <w:t> </w:t>
      </w:r>
      <w:r>
        <w:rPr>
          <w:sz w:val="24"/>
        </w:rPr>
        <w:t>GM,</w:t>
      </w:r>
      <w:r>
        <w:rPr>
          <w:spacing w:val="-5"/>
          <w:sz w:val="24"/>
        </w:rPr>
        <w:t> </w:t>
      </w:r>
      <w:r>
        <w:rPr>
          <w:sz w:val="24"/>
        </w:rPr>
        <w:t>Croom</w:t>
      </w:r>
      <w:r>
        <w:rPr>
          <w:spacing w:val="-5"/>
          <w:sz w:val="24"/>
        </w:rPr>
        <w:t> </w:t>
      </w:r>
      <w:r>
        <w:rPr>
          <w:sz w:val="24"/>
        </w:rPr>
        <w:t>KF.</w:t>
      </w:r>
      <w:r>
        <w:rPr>
          <w:spacing w:val="-3"/>
          <w:sz w:val="24"/>
        </w:rPr>
        <w:t> </w:t>
      </w:r>
      <w:r>
        <w:rPr>
          <w:sz w:val="24"/>
        </w:rPr>
        <w:t>Fenofibrate.</w:t>
      </w:r>
      <w:r>
        <w:rPr>
          <w:spacing w:val="-5"/>
          <w:sz w:val="24"/>
        </w:rPr>
        <w:t> </w:t>
      </w:r>
      <w:r>
        <w:rPr>
          <w:sz w:val="24"/>
        </w:rPr>
        <w:t>Drugs.</w:t>
      </w:r>
      <w:r>
        <w:rPr>
          <w:spacing w:val="-5"/>
          <w:sz w:val="24"/>
        </w:rPr>
        <w:t> </w:t>
      </w:r>
      <w:r>
        <w:rPr>
          <w:sz w:val="24"/>
        </w:rPr>
        <w:t>2007.</w:t>
      </w:r>
      <w:r>
        <w:rPr>
          <w:spacing w:val="-5"/>
          <w:sz w:val="24"/>
        </w:rPr>
        <w:t> </w:t>
      </w:r>
      <w:r>
        <w:rPr>
          <w:sz w:val="24"/>
        </w:rPr>
        <w:t>67(1):</w:t>
      </w:r>
      <w:r>
        <w:rPr>
          <w:spacing w:val="-5"/>
          <w:sz w:val="24"/>
        </w:rPr>
        <w:t> </w:t>
      </w:r>
      <w:r>
        <w:rPr>
          <w:sz w:val="24"/>
        </w:rPr>
        <w:t>121–153. </w:t>
      </w:r>
      <w:r>
        <w:rPr>
          <w:spacing w:val="-2"/>
          <w:sz w:val="24"/>
        </w:rPr>
        <w:t>doi:10.2165/00003495-200767010-00013.</w:t>
      </w:r>
    </w:p>
    <w:p>
      <w:pPr>
        <w:pStyle w:val="ListParagraph"/>
        <w:numPr>
          <w:ilvl w:val="0"/>
          <w:numId w:val="25"/>
        </w:numPr>
        <w:tabs>
          <w:tab w:pos="1982" w:val="left" w:leader="none"/>
        </w:tabs>
        <w:spacing w:line="360" w:lineRule="auto" w:before="0" w:after="0"/>
        <w:ind w:left="1981" w:right="583" w:hanging="360"/>
        <w:jc w:val="left"/>
        <w:rPr>
          <w:sz w:val="24"/>
        </w:rPr>
      </w:pPr>
      <w:bookmarkStart w:name="_bookmark109" w:id="158"/>
      <w:bookmarkEnd w:id="158"/>
      <w:r>
        <w:rPr>
          <w:sz w:val="24"/>
        </w:rPr>
        <w:t>G</w:t>
      </w:r>
      <w:r>
        <w:rPr>
          <w:sz w:val="24"/>
        </w:rPr>
        <w:t>roup</w:t>
      </w:r>
      <w:r>
        <w:rPr>
          <w:spacing w:val="-1"/>
          <w:sz w:val="24"/>
        </w:rPr>
        <w:t> </w:t>
      </w:r>
      <w:r>
        <w:rPr>
          <w:sz w:val="24"/>
        </w:rPr>
        <w:t>SC.</w:t>
      </w:r>
      <w:r>
        <w:rPr>
          <w:spacing w:val="-1"/>
          <w:sz w:val="24"/>
        </w:rPr>
        <w:t> </w:t>
      </w:r>
      <w:r>
        <w:rPr>
          <w:sz w:val="24"/>
        </w:rPr>
        <w:t>Study</w:t>
      </w:r>
      <w:r>
        <w:rPr>
          <w:spacing w:val="-1"/>
          <w:sz w:val="24"/>
        </w:rPr>
        <w:t> </w:t>
      </w:r>
      <w:r>
        <w:rPr>
          <w:sz w:val="24"/>
        </w:rPr>
        <w:t>of</w:t>
      </w:r>
      <w:r>
        <w:rPr>
          <w:spacing w:val="-2"/>
          <w:sz w:val="24"/>
        </w:rPr>
        <w:t> </w:t>
      </w:r>
      <w:r>
        <w:rPr>
          <w:sz w:val="24"/>
        </w:rPr>
        <w:t>Heart</w:t>
      </w:r>
      <w:r>
        <w:rPr>
          <w:spacing w:val="-1"/>
          <w:sz w:val="24"/>
        </w:rPr>
        <w:t> </w:t>
      </w:r>
      <w:r>
        <w:rPr>
          <w:sz w:val="24"/>
        </w:rPr>
        <w:t>and</w:t>
      </w:r>
      <w:r>
        <w:rPr>
          <w:spacing w:val="-1"/>
          <w:sz w:val="24"/>
        </w:rPr>
        <w:t> </w:t>
      </w:r>
      <w:r>
        <w:rPr>
          <w:sz w:val="24"/>
        </w:rPr>
        <w:t>Renal</w:t>
      </w:r>
      <w:r>
        <w:rPr>
          <w:spacing w:val="-1"/>
          <w:sz w:val="24"/>
        </w:rPr>
        <w:t> </w:t>
      </w:r>
      <w:r>
        <w:rPr>
          <w:sz w:val="24"/>
        </w:rPr>
        <w:t>Protection</w:t>
      </w:r>
      <w:r>
        <w:rPr>
          <w:spacing w:val="-1"/>
          <w:sz w:val="24"/>
        </w:rPr>
        <w:t> </w:t>
      </w:r>
      <w:r>
        <w:rPr>
          <w:sz w:val="24"/>
        </w:rPr>
        <w:t>(SHARP):</w:t>
      </w:r>
      <w:r>
        <w:rPr>
          <w:spacing w:val="-1"/>
          <w:sz w:val="24"/>
        </w:rPr>
        <w:t> </w:t>
      </w:r>
      <w:r>
        <w:rPr>
          <w:sz w:val="24"/>
        </w:rPr>
        <w:t>Randomized</w:t>
      </w:r>
      <w:r>
        <w:rPr>
          <w:spacing w:val="-1"/>
          <w:sz w:val="24"/>
        </w:rPr>
        <w:t> </w:t>
      </w:r>
      <w:r>
        <w:rPr>
          <w:sz w:val="24"/>
        </w:rPr>
        <w:t>trial</w:t>
      </w:r>
      <w:r>
        <w:rPr>
          <w:spacing w:val="-1"/>
          <w:sz w:val="24"/>
        </w:rPr>
        <w:t> </w:t>
      </w:r>
      <w:r>
        <w:rPr>
          <w:sz w:val="24"/>
        </w:rPr>
        <w:t>to</w:t>
      </w:r>
      <w:r>
        <w:rPr>
          <w:spacing w:val="-1"/>
          <w:sz w:val="24"/>
        </w:rPr>
        <w:t> </w:t>
      </w:r>
      <w:r>
        <w:rPr>
          <w:sz w:val="24"/>
        </w:rPr>
        <w:t>assess</w:t>
      </w:r>
      <w:r>
        <w:rPr>
          <w:spacing w:val="-1"/>
          <w:sz w:val="24"/>
        </w:rPr>
        <w:t> </w:t>
      </w:r>
      <w:r>
        <w:rPr>
          <w:sz w:val="24"/>
        </w:rPr>
        <w:t>the effects</w:t>
      </w:r>
      <w:r>
        <w:rPr>
          <w:spacing w:val="-4"/>
          <w:sz w:val="24"/>
        </w:rPr>
        <w:t> </w:t>
      </w:r>
      <w:r>
        <w:rPr>
          <w:sz w:val="24"/>
        </w:rPr>
        <w:t>of</w:t>
      </w:r>
      <w:r>
        <w:rPr>
          <w:spacing w:val="-5"/>
          <w:sz w:val="24"/>
        </w:rPr>
        <w:t> </w:t>
      </w:r>
      <w:r>
        <w:rPr>
          <w:sz w:val="24"/>
        </w:rPr>
        <w:t>lowering</w:t>
      </w:r>
      <w:r>
        <w:rPr>
          <w:spacing w:val="-4"/>
          <w:sz w:val="24"/>
        </w:rPr>
        <w:t> </w:t>
      </w:r>
      <w:r>
        <w:rPr>
          <w:sz w:val="24"/>
        </w:rPr>
        <w:t>low-density</w:t>
      </w:r>
      <w:r>
        <w:rPr>
          <w:spacing w:val="-4"/>
          <w:sz w:val="24"/>
        </w:rPr>
        <w:t> </w:t>
      </w:r>
      <w:r>
        <w:rPr>
          <w:sz w:val="24"/>
        </w:rPr>
        <w:t>lipoprotein</w:t>
      </w:r>
      <w:r>
        <w:rPr>
          <w:spacing w:val="-4"/>
          <w:sz w:val="24"/>
        </w:rPr>
        <w:t> </w:t>
      </w:r>
      <w:r>
        <w:rPr>
          <w:sz w:val="24"/>
        </w:rPr>
        <w:t>cholesterol</w:t>
      </w:r>
      <w:r>
        <w:rPr>
          <w:spacing w:val="-4"/>
          <w:sz w:val="24"/>
        </w:rPr>
        <w:t> </w:t>
      </w:r>
      <w:r>
        <w:rPr>
          <w:sz w:val="24"/>
        </w:rPr>
        <w:t>among</w:t>
      </w:r>
      <w:r>
        <w:rPr>
          <w:spacing w:val="-4"/>
          <w:sz w:val="24"/>
        </w:rPr>
        <w:t> </w:t>
      </w:r>
      <w:r>
        <w:rPr>
          <w:sz w:val="24"/>
        </w:rPr>
        <w:t>9,438</w:t>
      </w:r>
      <w:r>
        <w:rPr>
          <w:spacing w:val="-4"/>
          <w:sz w:val="24"/>
        </w:rPr>
        <w:t> </w:t>
      </w:r>
      <w:r>
        <w:rPr>
          <w:sz w:val="24"/>
        </w:rPr>
        <w:t>patients</w:t>
      </w:r>
      <w:r>
        <w:rPr>
          <w:spacing w:val="-4"/>
          <w:sz w:val="24"/>
        </w:rPr>
        <w:t> </w:t>
      </w:r>
      <w:r>
        <w:rPr>
          <w:sz w:val="24"/>
        </w:rPr>
        <w:t>with</w:t>
      </w:r>
      <w:r>
        <w:rPr>
          <w:spacing w:val="-4"/>
          <w:sz w:val="24"/>
        </w:rPr>
        <w:t> </w:t>
      </w:r>
      <w:r>
        <w:rPr>
          <w:sz w:val="24"/>
        </w:rPr>
        <w:t>chronic</w:t>
      </w:r>
    </w:p>
    <w:p>
      <w:pPr>
        <w:spacing w:after="0" w:line="360" w:lineRule="auto"/>
        <w:jc w:val="left"/>
        <w:rPr>
          <w:sz w:val="24"/>
        </w:rPr>
        <w:sectPr>
          <w:pgSz w:w="11910" w:h="16840"/>
          <w:pgMar w:header="0" w:footer="710" w:top="1040" w:bottom="900" w:left="440" w:right="280"/>
        </w:sectPr>
      </w:pPr>
    </w:p>
    <w:p>
      <w:pPr>
        <w:pStyle w:val="BodyText"/>
        <w:spacing w:before="73"/>
      </w:pPr>
      <w:r>
        <w:rPr/>
        <w:t>kidney</w:t>
      </w:r>
      <w:r>
        <w:rPr>
          <w:spacing w:val="-1"/>
        </w:rPr>
        <w:t> </w:t>
      </w:r>
      <w:r>
        <w:rPr/>
        <w:t>disease.</w:t>
      </w:r>
      <w:r>
        <w:rPr>
          <w:spacing w:val="-1"/>
        </w:rPr>
        <w:t> </w:t>
      </w:r>
      <w:r>
        <w:rPr/>
        <w:t>Am</w:t>
      </w:r>
      <w:r>
        <w:rPr>
          <w:spacing w:val="-1"/>
        </w:rPr>
        <w:t> </w:t>
      </w:r>
      <w:r>
        <w:rPr/>
        <w:t>Heart</w:t>
      </w:r>
      <w:r>
        <w:rPr>
          <w:spacing w:val="-1"/>
        </w:rPr>
        <w:t> </w:t>
      </w:r>
      <w:r>
        <w:rPr/>
        <w:t>J.</w:t>
      </w:r>
      <w:r>
        <w:rPr>
          <w:spacing w:val="-1"/>
        </w:rPr>
        <w:t> </w:t>
      </w:r>
      <w:r>
        <w:rPr/>
        <w:t>2010.</w:t>
      </w:r>
      <w:r>
        <w:rPr>
          <w:spacing w:val="-1"/>
        </w:rPr>
        <w:t> </w:t>
      </w:r>
      <w:r>
        <w:rPr/>
        <w:t>160(5):</w:t>
      </w:r>
      <w:r>
        <w:rPr>
          <w:spacing w:val="-1"/>
        </w:rPr>
        <w:t> </w:t>
      </w:r>
      <w:r>
        <w:rPr/>
        <w:t>785–794.e710.</w:t>
      </w:r>
      <w:r>
        <w:rPr>
          <w:spacing w:val="-1"/>
        </w:rPr>
        <w:t> </w:t>
      </w:r>
      <w:r>
        <w:rPr>
          <w:spacing w:val="-2"/>
        </w:rPr>
        <w:t>doi:10.1016/j.ahj.201.</w:t>
      </w:r>
    </w:p>
    <w:p>
      <w:pPr>
        <w:pStyle w:val="ListParagraph"/>
        <w:numPr>
          <w:ilvl w:val="0"/>
          <w:numId w:val="25"/>
        </w:numPr>
        <w:tabs>
          <w:tab w:pos="1982" w:val="left" w:leader="none"/>
        </w:tabs>
        <w:spacing w:line="360" w:lineRule="auto" w:before="139" w:after="0"/>
        <w:ind w:left="1981" w:right="817" w:hanging="360"/>
        <w:jc w:val="left"/>
        <w:rPr>
          <w:sz w:val="24"/>
        </w:rPr>
      </w:pPr>
      <w:bookmarkStart w:name="_bookmark110" w:id="159"/>
      <w:bookmarkEnd w:id="159"/>
      <w:r>
        <w:rPr>
          <w:sz w:val="24"/>
        </w:rPr>
        <w:t>A</w:t>
      </w:r>
      <w:r>
        <w:rPr>
          <w:sz w:val="24"/>
        </w:rPr>
        <w:t>bifadel</w:t>
      </w:r>
      <w:r>
        <w:rPr>
          <w:spacing w:val="-3"/>
          <w:sz w:val="24"/>
        </w:rPr>
        <w:t> </w:t>
      </w:r>
      <w:r>
        <w:rPr>
          <w:sz w:val="24"/>
        </w:rPr>
        <w:t>M,</w:t>
      </w:r>
      <w:r>
        <w:rPr>
          <w:spacing w:val="-3"/>
          <w:sz w:val="24"/>
        </w:rPr>
        <w:t> </w:t>
      </w:r>
      <w:r>
        <w:rPr>
          <w:sz w:val="24"/>
        </w:rPr>
        <w:t>Varret</w:t>
      </w:r>
      <w:r>
        <w:rPr>
          <w:spacing w:val="-3"/>
          <w:sz w:val="24"/>
        </w:rPr>
        <w:t> </w:t>
      </w:r>
      <w:r>
        <w:rPr>
          <w:sz w:val="24"/>
        </w:rPr>
        <w:t>M,</w:t>
      </w:r>
      <w:r>
        <w:rPr>
          <w:spacing w:val="-3"/>
          <w:sz w:val="24"/>
        </w:rPr>
        <w:t> </w:t>
      </w:r>
      <w:r>
        <w:rPr>
          <w:sz w:val="24"/>
        </w:rPr>
        <w:t>Rabès</w:t>
      </w:r>
      <w:r>
        <w:rPr>
          <w:spacing w:val="-3"/>
          <w:sz w:val="24"/>
        </w:rPr>
        <w:t> </w:t>
      </w:r>
      <w:r>
        <w:rPr>
          <w:sz w:val="24"/>
        </w:rPr>
        <w:t>J-P</w:t>
      </w:r>
      <w:r>
        <w:rPr>
          <w:spacing w:val="-3"/>
          <w:sz w:val="24"/>
        </w:rPr>
        <w:t> </w:t>
      </w:r>
      <w:r>
        <w:rPr>
          <w:sz w:val="24"/>
        </w:rPr>
        <w:t>et</w:t>
      </w:r>
      <w:r>
        <w:rPr>
          <w:spacing w:val="-3"/>
          <w:sz w:val="24"/>
        </w:rPr>
        <w:t> </w:t>
      </w:r>
      <w:r>
        <w:rPr>
          <w:sz w:val="24"/>
        </w:rPr>
        <w:t>al.</w:t>
      </w:r>
      <w:r>
        <w:rPr>
          <w:spacing w:val="-3"/>
          <w:sz w:val="24"/>
        </w:rPr>
        <w:t> </w:t>
      </w:r>
      <w:r>
        <w:rPr>
          <w:sz w:val="24"/>
        </w:rPr>
        <w:t>Mutations</w:t>
      </w:r>
      <w:r>
        <w:rPr>
          <w:spacing w:val="-3"/>
          <w:sz w:val="24"/>
        </w:rPr>
        <w:t> </w:t>
      </w:r>
      <w:r>
        <w:rPr>
          <w:sz w:val="24"/>
        </w:rPr>
        <w:t>in</w:t>
      </w:r>
      <w:r>
        <w:rPr>
          <w:spacing w:val="-3"/>
          <w:sz w:val="24"/>
        </w:rPr>
        <w:t> </w:t>
      </w:r>
      <w:r>
        <w:rPr>
          <w:sz w:val="24"/>
        </w:rPr>
        <w:t>PCSK9</w:t>
      </w:r>
      <w:r>
        <w:rPr>
          <w:spacing w:val="-3"/>
          <w:sz w:val="24"/>
        </w:rPr>
        <w:t> </w:t>
      </w:r>
      <w:r>
        <w:rPr>
          <w:sz w:val="24"/>
        </w:rPr>
        <w:t>cause</w:t>
      </w:r>
      <w:r>
        <w:rPr>
          <w:spacing w:val="-4"/>
          <w:sz w:val="24"/>
        </w:rPr>
        <w:t> </w:t>
      </w:r>
      <w:r>
        <w:rPr>
          <w:sz w:val="24"/>
        </w:rPr>
        <w:t>autosomal</w:t>
      </w:r>
      <w:r>
        <w:rPr>
          <w:spacing w:val="-3"/>
          <w:sz w:val="24"/>
        </w:rPr>
        <w:t> </w:t>
      </w:r>
      <w:r>
        <w:rPr>
          <w:sz w:val="24"/>
        </w:rPr>
        <w:t>dominant hypercholesterolemia. Nat Genet. 2003. 34(2): 154–156. doi:10.1038/ng1161</w:t>
      </w:r>
    </w:p>
    <w:p>
      <w:pPr>
        <w:pStyle w:val="ListParagraph"/>
        <w:numPr>
          <w:ilvl w:val="0"/>
          <w:numId w:val="25"/>
        </w:numPr>
        <w:tabs>
          <w:tab w:pos="1982" w:val="left" w:leader="none"/>
        </w:tabs>
        <w:spacing w:line="360" w:lineRule="auto" w:before="1" w:after="0"/>
        <w:ind w:left="1981" w:right="1278" w:hanging="360"/>
        <w:jc w:val="left"/>
        <w:rPr>
          <w:sz w:val="24"/>
        </w:rPr>
      </w:pPr>
      <w:bookmarkStart w:name="_bookmark111" w:id="160"/>
      <w:bookmarkEnd w:id="160"/>
      <w:r>
        <w:rPr>
          <w:sz w:val="24"/>
        </w:rPr>
        <w:t>N</w:t>
      </w:r>
      <w:r>
        <w:rPr>
          <w:sz w:val="24"/>
        </w:rPr>
        <w:t>orata</w:t>
      </w:r>
      <w:r>
        <w:rPr>
          <w:spacing w:val="-5"/>
          <w:sz w:val="24"/>
        </w:rPr>
        <w:t> </w:t>
      </w:r>
      <w:r>
        <w:rPr>
          <w:sz w:val="24"/>
        </w:rPr>
        <w:t>GD,</w:t>
      </w:r>
      <w:r>
        <w:rPr>
          <w:spacing w:val="-4"/>
          <w:sz w:val="24"/>
        </w:rPr>
        <w:t> </w:t>
      </w:r>
      <w:r>
        <w:rPr>
          <w:sz w:val="24"/>
        </w:rPr>
        <w:t>Tibolla</w:t>
      </w:r>
      <w:r>
        <w:rPr>
          <w:spacing w:val="-5"/>
          <w:sz w:val="24"/>
        </w:rPr>
        <w:t> </w:t>
      </w:r>
      <w:r>
        <w:rPr>
          <w:sz w:val="24"/>
        </w:rPr>
        <w:t>G,</w:t>
      </w:r>
      <w:r>
        <w:rPr>
          <w:spacing w:val="-4"/>
          <w:sz w:val="24"/>
        </w:rPr>
        <w:t> </w:t>
      </w:r>
      <w:r>
        <w:rPr>
          <w:sz w:val="24"/>
        </w:rPr>
        <w:t>Catapano</w:t>
      </w:r>
      <w:r>
        <w:rPr>
          <w:spacing w:val="-4"/>
          <w:sz w:val="24"/>
        </w:rPr>
        <w:t> </w:t>
      </w:r>
      <w:r>
        <w:rPr>
          <w:sz w:val="24"/>
        </w:rPr>
        <w:t>AL.</w:t>
      </w:r>
      <w:r>
        <w:rPr>
          <w:spacing w:val="-4"/>
          <w:sz w:val="24"/>
        </w:rPr>
        <w:t> </w:t>
      </w:r>
      <w:r>
        <w:rPr>
          <w:sz w:val="24"/>
        </w:rPr>
        <w:t>Targeting</w:t>
      </w:r>
      <w:r>
        <w:rPr>
          <w:spacing w:val="-4"/>
          <w:sz w:val="24"/>
        </w:rPr>
        <w:t> </w:t>
      </w:r>
      <w:r>
        <w:rPr>
          <w:sz w:val="24"/>
        </w:rPr>
        <w:t>PCSK9</w:t>
      </w:r>
      <w:r>
        <w:rPr>
          <w:spacing w:val="-4"/>
          <w:sz w:val="24"/>
        </w:rPr>
        <w:t> </w:t>
      </w:r>
      <w:r>
        <w:rPr>
          <w:sz w:val="24"/>
        </w:rPr>
        <w:t>for</w:t>
      </w:r>
      <w:r>
        <w:rPr>
          <w:spacing w:val="-5"/>
          <w:sz w:val="24"/>
        </w:rPr>
        <w:t> </w:t>
      </w:r>
      <w:r>
        <w:rPr>
          <w:sz w:val="24"/>
        </w:rPr>
        <w:t>Hypercholesterolemia. Annual Review of Pharmacology and Toxicology. 2014. 54(1): 273–293. </w:t>
      </w:r>
      <w:r>
        <w:rPr>
          <w:spacing w:val="-2"/>
          <w:sz w:val="24"/>
        </w:rPr>
        <w:t>doi:10.1146/annurev-pharmtox-011613-140025</w:t>
      </w:r>
    </w:p>
    <w:p>
      <w:pPr>
        <w:pStyle w:val="ListParagraph"/>
        <w:numPr>
          <w:ilvl w:val="0"/>
          <w:numId w:val="25"/>
        </w:numPr>
        <w:tabs>
          <w:tab w:pos="1982" w:val="left" w:leader="none"/>
        </w:tabs>
        <w:spacing w:line="360" w:lineRule="auto" w:before="0" w:after="0"/>
        <w:ind w:left="1981" w:right="731" w:hanging="360"/>
        <w:jc w:val="left"/>
        <w:rPr>
          <w:sz w:val="24"/>
        </w:rPr>
      </w:pPr>
      <w:bookmarkStart w:name="_bookmark112" w:id="161"/>
      <w:bookmarkEnd w:id="161"/>
      <w:r>
        <w:rPr>
          <w:sz w:val="24"/>
        </w:rPr>
        <w:t>G</w:t>
      </w:r>
      <w:r>
        <w:rPr>
          <w:sz w:val="24"/>
        </w:rPr>
        <w:t>iugliano RP et al. Clinical efficacy and safety of achieving very low LDL-cholesterol concentrations</w:t>
      </w:r>
      <w:r>
        <w:rPr>
          <w:spacing w:val="-4"/>
          <w:sz w:val="24"/>
        </w:rPr>
        <w:t> </w:t>
      </w:r>
      <w:r>
        <w:rPr>
          <w:sz w:val="24"/>
        </w:rPr>
        <w:t>with</w:t>
      </w:r>
      <w:r>
        <w:rPr>
          <w:spacing w:val="-4"/>
          <w:sz w:val="24"/>
        </w:rPr>
        <w:t> </w:t>
      </w:r>
      <w:r>
        <w:rPr>
          <w:sz w:val="24"/>
        </w:rPr>
        <w:t>the</w:t>
      </w:r>
      <w:r>
        <w:rPr>
          <w:spacing w:val="-5"/>
          <w:sz w:val="24"/>
        </w:rPr>
        <w:t> </w:t>
      </w:r>
      <w:r>
        <w:rPr>
          <w:sz w:val="24"/>
        </w:rPr>
        <w:t>PCSK9</w:t>
      </w:r>
      <w:r>
        <w:rPr>
          <w:spacing w:val="-4"/>
          <w:sz w:val="24"/>
        </w:rPr>
        <w:t> </w:t>
      </w:r>
      <w:r>
        <w:rPr>
          <w:sz w:val="24"/>
        </w:rPr>
        <w:t>inhibitor</w:t>
      </w:r>
      <w:r>
        <w:rPr>
          <w:spacing w:val="-5"/>
          <w:sz w:val="24"/>
        </w:rPr>
        <w:t> </w:t>
      </w:r>
      <w:r>
        <w:rPr>
          <w:sz w:val="24"/>
        </w:rPr>
        <w:t>evolocumab:</w:t>
      </w:r>
      <w:r>
        <w:rPr>
          <w:spacing w:val="-4"/>
          <w:sz w:val="24"/>
        </w:rPr>
        <w:t> </w:t>
      </w:r>
      <w:r>
        <w:rPr>
          <w:sz w:val="24"/>
        </w:rPr>
        <w:t>a</w:t>
      </w:r>
      <w:r>
        <w:rPr>
          <w:spacing w:val="-5"/>
          <w:sz w:val="24"/>
        </w:rPr>
        <w:t> </w:t>
      </w:r>
      <w:r>
        <w:rPr>
          <w:sz w:val="24"/>
        </w:rPr>
        <w:t>prespecified</w:t>
      </w:r>
      <w:r>
        <w:rPr>
          <w:spacing w:val="-4"/>
          <w:sz w:val="24"/>
        </w:rPr>
        <w:t> </w:t>
      </w:r>
      <w:r>
        <w:rPr>
          <w:sz w:val="24"/>
        </w:rPr>
        <w:t>secondary</w:t>
      </w:r>
      <w:r>
        <w:rPr>
          <w:spacing w:val="-4"/>
          <w:sz w:val="24"/>
        </w:rPr>
        <w:t> </w:t>
      </w:r>
      <w:r>
        <w:rPr>
          <w:sz w:val="24"/>
        </w:rPr>
        <w:t>analysis of the FOURIER trial //The Lancet. 2017. Vol. 390. №. 10106. P. 1962–1971.</w:t>
      </w:r>
    </w:p>
    <w:p>
      <w:pPr>
        <w:pStyle w:val="ListParagraph"/>
        <w:numPr>
          <w:ilvl w:val="0"/>
          <w:numId w:val="25"/>
        </w:numPr>
        <w:tabs>
          <w:tab w:pos="1982" w:val="left" w:leader="none"/>
        </w:tabs>
        <w:spacing w:line="360" w:lineRule="auto" w:before="0" w:after="0"/>
        <w:ind w:left="1981" w:right="807" w:hanging="360"/>
        <w:jc w:val="left"/>
        <w:rPr>
          <w:sz w:val="24"/>
        </w:rPr>
      </w:pPr>
      <w:bookmarkStart w:name="_bookmark113" w:id="162"/>
      <w:bookmarkEnd w:id="162"/>
      <w:r>
        <w:rPr>
          <w:sz w:val="24"/>
        </w:rPr>
        <w:t>Bh</w:t>
      </w:r>
      <w:r>
        <w:rPr>
          <w:sz w:val="24"/>
        </w:rPr>
        <w:t>att DL et al. Cardiovascular risk reduction with icosapent ethyl for hypertriglyceridemia</w:t>
      </w:r>
      <w:r>
        <w:rPr>
          <w:spacing w:val="-4"/>
          <w:sz w:val="24"/>
        </w:rPr>
        <w:t> </w:t>
      </w:r>
      <w:r>
        <w:rPr>
          <w:sz w:val="24"/>
        </w:rPr>
        <w:t>//New</w:t>
      </w:r>
      <w:r>
        <w:rPr>
          <w:spacing w:val="-4"/>
          <w:sz w:val="24"/>
        </w:rPr>
        <w:t> </w:t>
      </w:r>
      <w:r>
        <w:rPr>
          <w:sz w:val="24"/>
        </w:rPr>
        <w:t>England</w:t>
      </w:r>
      <w:r>
        <w:rPr>
          <w:spacing w:val="-3"/>
          <w:sz w:val="24"/>
        </w:rPr>
        <w:t> </w:t>
      </w:r>
      <w:r>
        <w:rPr>
          <w:sz w:val="24"/>
        </w:rPr>
        <w:t>Journal</w:t>
      </w:r>
      <w:r>
        <w:rPr>
          <w:spacing w:val="-3"/>
          <w:sz w:val="24"/>
        </w:rPr>
        <w:t> </w:t>
      </w:r>
      <w:r>
        <w:rPr>
          <w:sz w:val="24"/>
        </w:rPr>
        <w:t>of</w:t>
      </w:r>
      <w:r>
        <w:rPr>
          <w:spacing w:val="-4"/>
          <w:sz w:val="24"/>
        </w:rPr>
        <w:t> </w:t>
      </w:r>
      <w:r>
        <w:rPr>
          <w:sz w:val="24"/>
        </w:rPr>
        <w:t>Medicine.</w:t>
      </w:r>
      <w:r>
        <w:rPr>
          <w:spacing w:val="-3"/>
          <w:sz w:val="24"/>
        </w:rPr>
        <w:t> </w:t>
      </w:r>
      <w:r>
        <w:rPr>
          <w:sz w:val="24"/>
        </w:rPr>
        <w:t>2019.</w:t>
      </w:r>
      <w:r>
        <w:rPr>
          <w:spacing w:val="-3"/>
          <w:sz w:val="24"/>
        </w:rPr>
        <w:t> </w:t>
      </w:r>
      <w:r>
        <w:rPr>
          <w:sz w:val="24"/>
        </w:rPr>
        <w:t>Vol.</w:t>
      </w:r>
      <w:r>
        <w:rPr>
          <w:spacing w:val="-3"/>
          <w:sz w:val="24"/>
        </w:rPr>
        <w:t> </w:t>
      </w:r>
      <w:r>
        <w:rPr>
          <w:sz w:val="24"/>
        </w:rPr>
        <w:t>380.</w:t>
      </w:r>
      <w:r>
        <w:rPr>
          <w:spacing w:val="-1"/>
          <w:sz w:val="24"/>
        </w:rPr>
        <w:t> </w:t>
      </w:r>
      <w:r>
        <w:rPr>
          <w:sz w:val="24"/>
        </w:rPr>
        <w:t>№.</w:t>
      </w:r>
      <w:r>
        <w:rPr>
          <w:spacing w:val="-3"/>
          <w:sz w:val="24"/>
        </w:rPr>
        <w:t> </w:t>
      </w:r>
      <w:r>
        <w:rPr>
          <w:sz w:val="24"/>
        </w:rPr>
        <w:t>1.</w:t>
      </w:r>
      <w:r>
        <w:rPr>
          <w:spacing w:val="-3"/>
          <w:sz w:val="24"/>
        </w:rPr>
        <w:t> </w:t>
      </w:r>
      <w:r>
        <w:rPr>
          <w:sz w:val="24"/>
        </w:rPr>
        <w:t>P.</w:t>
      </w:r>
      <w:r>
        <w:rPr>
          <w:spacing w:val="-3"/>
          <w:sz w:val="24"/>
        </w:rPr>
        <w:t> </w:t>
      </w:r>
      <w:r>
        <w:rPr>
          <w:sz w:val="24"/>
        </w:rPr>
        <w:t>11–</w:t>
      </w:r>
    </w:p>
    <w:p>
      <w:pPr>
        <w:pStyle w:val="BodyText"/>
      </w:pPr>
      <w:r>
        <w:rPr>
          <w:spacing w:val="-5"/>
        </w:rPr>
        <w:t>22.</w:t>
      </w:r>
    </w:p>
    <w:p>
      <w:pPr>
        <w:pStyle w:val="ListParagraph"/>
        <w:numPr>
          <w:ilvl w:val="0"/>
          <w:numId w:val="25"/>
        </w:numPr>
        <w:tabs>
          <w:tab w:pos="1982" w:val="left" w:leader="none"/>
        </w:tabs>
        <w:spacing w:line="360" w:lineRule="auto" w:before="137" w:after="0"/>
        <w:ind w:left="1981" w:right="605" w:hanging="360"/>
        <w:jc w:val="left"/>
        <w:rPr>
          <w:sz w:val="24"/>
        </w:rPr>
      </w:pPr>
      <w:bookmarkStart w:name="_bookmark114" w:id="163"/>
      <w:bookmarkEnd w:id="163"/>
      <w:r>
        <w:rPr>
          <w:sz w:val="24"/>
        </w:rPr>
        <w:t>B</w:t>
      </w:r>
      <w:r>
        <w:rPr>
          <w:sz w:val="24"/>
        </w:rPr>
        <w:t>rugts JJ et al. The benefits of statins in people without established cardiovascular disease</w:t>
      </w:r>
      <w:r>
        <w:rPr>
          <w:spacing w:val="-5"/>
          <w:sz w:val="24"/>
        </w:rPr>
        <w:t> </w:t>
      </w:r>
      <w:r>
        <w:rPr>
          <w:sz w:val="24"/>
        </w:rPr>
        <w:t>but</w:t>
      </w:r>
      <w:r>
        <w:rPr>
          <w:spacing w:val="-4"/>
          <w:sz w:val="24"/>
        </w:rPr>
        <w:t> </w:t>
      </w:r>
      <w:r>
        <w:rPr>
          <w:sz w:val="24"/>
        </w:rPr>
        <w:t>with</w:t>
      </w:r>
      <w:r>
        <w:rPr>
          <w:spacing w:val="-4"/>
          <w:sz w:val="24"/>
        </w:rPr>
        <w:t> </w:t>
      </w:r>
      <w:r>
        <w:rPr>
          <w:sz w:val="24"/>
        </w:rPr>
        <w:t>cardiovascular</w:t>
      </w:r>
      <w:r>
        <w:rPr>
          <w:spacing w:val="-5"/>
          <w:sz w:val="24"/>
        </w:rPr>
        <w:t> </w:t>
      </w:r>
      <w:r>
        <w:rPr>
          <w:sz w:val="24"/>
        </w:rPr>
        <w:t>risk</w:t>
      </w:r>
      <w:r>
        <w:rPr>
          <w:spacing w:val="-4"/>
          <w:sz w:val="24"/>
        </w:rPr>
        <w:t> </w:t>
      </w:r>
      <w:r>
        <w:rPr>
          <w:sz w:val="24"/>
        </w:rPr>
        <w:t>factors:</w:t>
      </w:r>
      <w:r>
        <w:rPr>
          <w:spacing w:val="-4"/>
          <w:sz w:val="24"/>
        </w:rPr>
        <w:t> </w:t>
      </w:r>
      <w:r>
        <w:rPr>
          <w:sz w:val="24"/>
        </w:rPr>
        <w:t>meta-analysis</w:t>
      </w:r>
      <w:r>
        <w:rPr>
          <w:spacing w:val="-4"/>
          <w:sz w:val="24"/>
        </w:rPr>
        <w:t> </w:t>
      </w:r>
      <w:r>
        <w:rPr>
          <w:sz w:val="24"/>
        </w:rPr>
        <w:t>of</w:t>
      </w:r>
      <w:r>
        <w:rPr>
          <w:spacing w:val="-5"/>
          <w:sz w:val="24"/>
        </w:rPr>
        <w:t> </w:t>
      </w:r>
      <w:r>
        <w:rPr>
          <w:sz w:val="24"/>
        </w:rPr>
        <w:t>randomised</w:t>
      </w:r>
      <w:r>
        <w:rPr>
          <w:spacing w:val="-4"/>
          <w:sz w:val="24"/>
        </w:rPr>
        <w:t> </w:t>
      </w:r>
      <w:r>
        <w:rPr>
          <w:sz w:val="24"/>
        </w:rPr>
        <w:t>controlled</w:t>
      </w:r>
      <w:r>
        <w:rPr>
          <w:spacing w:val="-4"/>
          <w:sz w:val="24"/>
        </w:rPr>
        <w:t> </w:t>
      </w:r>
      <w:r>
        <w:rPr>
          <w:sz w:val="24"/>
        </w:rPr>
        <w:t>trials</w:t>
      </w:r>
    </w:p>
    <w:p>
      <w:pPr>
        <w:pStyle w:val="BodyText"/>
      </w:pPr>
      <w:r>
        <w:rPr/>
        <w:t>//</w:t>
      </w:r>
      <w:r>
        <w:rPr>
          <w:spacing w:val="-1"/>
        </w:rPr>
        <w:t> </w:t>
      </w:r>
      <w:r>
        <w:rPr/>
        <w:t>Bmj. 2009. Vol. </w:t>
      </w:r>
      <w:r>
        <w:rPr>
          <w:spacing w:val="-4"/>
        </w:rPr>
        <w:t>338.</w:t>
      </w:r>
    </w:p>
    <w:p>
      <w:pPr>
        <w:pStyle w:val="ListParagraph"/>
        <w:numPr>
          <w:ilvl w:val="0"/>
          <w:numId w:val="25"/>
        </w:numPr>
        <w:tabs>
          <w:tab w:pos="1982" w:val="left" w:leader="none"/>
        </w:tabs>
        <w:spacing w:line="360" w:lineRule="auto" w:before="139" w:after="0"/>
        <w:ind w:left="1981" w:right="638" w:hanging="360"/>
        <w:jc w:val="left"/>
        <w:rPr>
          <w:sz w:val="24"/>
        </w:rPr>
      </w:pPr>
      <w:bookmarkStart w:name="_bookmark115" w:id="164"/>
      <w:bookmarkEnd w:id="164"/>
      <w:r>
        <w:rPr>
          <w:sz w:val="24"/>
        </w:rPr>
        <w:t>Mills</w:t>
      </w:r>
      <w:r>
        <w:rPr>
          <w:sz w:val="24"/>
        </w:rPr>
        <w:t> EJ et al. Primary prevention of cardiovascular mortality and events with statin treatments:</w:t>
      </w:r>
      <w:r>
        <w:rPr>
          <w:spacing w:val="-3"/>
          <w:sz w:val="24"/>
        </w:rPr>
        <w:t> </w:t>
      </w:r>
      <w:r>
        <w:rPr>
          <w:sz w:val="24"/>
        </w:rPr>
        <w:t>a</w:t>
      </w:r>
      <w:r>
        <w:rPr>
          <w:spacing w:val="-4"/>
          <w:sz w:val="24"/>
        </w:rPr>
        <w:t> </w:t>
      </w:r>
      <w:r>
        <w:rPr>
          <w:sz w:val="24"/>
        </w:rPr>
        <w:t>network</w:t>
      </w:r>
      <w:r>
        <w:rPr>
          <w:spacing w:val="-3"/>
          <w:sz w:val="24"/>
        </w:rPr>
        <w:t> </w:t>
      </w:r>
      <w:r>
        <w:rPr>
          <w:sz w:val="24"/>
        </w:rPr>
        <w:t>meta-analysis</w:t>
      </w:r>
      <w:r>
        <w:rPr>
          <w:spacing w:val="-3"/>
          <w:sz w:val="24"/>
        </w:rPr>
        <w:t> </w:t>
      </w:r>
      <w:r>
        <w:rPr>
          <w:sz w:val="24"/>
        </w:rPr>
        <w:t>involving</w:t>
      </w:r>
      <w:r>
        <w:rPr>
          <w:spacing w:val="-3"/>
          <w:sz w:val="24"/>
        </w:rPr>
        <w:t> </w:t>
      </w:r>
      <w:r>
        <w:rPr>
          <w:sz w:val="24"/>
        </w:rPr>
        <w:t>more</w:t>
      </w:r>
      <w:r>
        <w:rPr>
          <w:spacing w:val="-4"/>
          <w:sz w:val="24"/>
        </w:rPr>
        <w:t> </w:t>
      </w:r>
      <w:r>
        <w:rPr>
          <w:sz w:val="24"/>
        </w:rPr>
        <w:t>than</w:t>
      </w:r>
      <w:r>
        <w:rPr>
          <w:spacing w:val="-3"/>
          <w:sz w:val="24"/>
        </w:rPr>
        <w:t> </w:t>
      </w:r>
      <w:r>
        <w:rPr>
          <w:sz w:val="24"/>
        </w:rPr>
        <w:t>65,000</w:t>
      </w:r>
      <w:r>
        <w:rPr>
          <w:spacing w:val="-3"/>
          <w:sz w:val="24"/>
        </w:rPr>
        <w:t> </w:t>
      </w:r>
      <w:r>
        <w:rPr>
          <w:sz w:val="24"/>
        </w:rPr>
        <w:t>patients</w:t>
      </w:r>
      <w:r>
        <w:rPr>
          <w:spacing w:val="-3"/>
          <w:sz w:val="24"/>
        </w:rPr>
        <w:t> </w:t>
      </w:r>
      <w:r>
        <w:rPr>
          <w:sz w:val="24"/>
        </w:rPr>
        <w:t>//</w:t>
      </w:r>
      <w:r>
        <w:rPr>
          <w:spacing w:val="-3"/>
          <w:sz w:val="24"/>
        </w:rPr>
        <w:t> </w:t>
      </w:r>
      <w:r>
        <w:rPr>
          <w:sz w:val="24"/>
        </w:rPr>
        <w:t>Journal</w:t>
      </w:r>
      <w:r>
        <w:rPr>
          <w:spacing w:val="-3"/>
          <w:sz w:val="24"/>
        </w:rPr>
        <w:t> </w:t>
      </w:r>
      <w:r>
        <w:rPr>
          <w:sz w:val="24"/>
        </w:rPr>
        <w:t>of</w:t>
      </w:r>
      <w:r>
        <w:rPr>
          <w:spacing w:val="-4"/>
          <w:sz w:val="24"/>
        </w:rPr>
        <w:t> </w:t>
      </w:r>
      <w:r>
        <w:rPr>
          <w:sz w:val="24"/>
        </w:rPr>
        <w:t>the American College of Cardiology. 2008. Vol. 52. №. 22. P. 1769–1781.</w:t>
      </w:r>
    </w:p>
    <w:p>
      <w:pPr>
        <w:pStyle w:val="ListParagraph"/>
        <w:numPr>
          <w:ilvl w:val="0"/>
          <w:numId w:val="25"/>
        </w:numPr>
        <w:tabs>
          <w:tab w:pos="1982" w:val="left" w:leader="none"/>
        </w:tabs>
        <w:spacing w:line="360" w:lineRule="auto" w:before="0" w:after="0"/>
        <w:ind w:left="1981" w:right="613" w:hanging="360"/>
        <w:jc w:val="left"/>
        <w:rPr>
          <w:sz w:val="24"/>
        </w:rPr>
      </w:pPr>
      <w:bookmarkStart w:name="_bookmark116" w:id="165"/>
      <w:bookmarkEnd w:id="165"/>
      <w:r>
        <w:rPr>
          <w:sz w:val="24"/>
        </w:rPr>
        <w:t>Mo</w:t>
      </w:r>
      <w:r>
        <w:rPr>
          <w:sz w:val="24"/>
        </w:rPr>
        <w:t>riarty PM et al. Efficacy and safety of alirocumab vs ezetimibe in statin-intolerant patients,</w:t>
      </w:r>
      <w:r>
        <w:rPr>
          <w:spacing w:val="-4"/>
          <w:sz w:val="24"/>
        </w:rPr>
        <w:t> </w:t>
      </w:r>
      <w:r>
        <w:rPr>
          <w:sz w:val="24"/>
        </w:rPr>
        <w:t>with</w:t>
      </w:r>
      <w:r>
        <w:rPr>
          <w:spacing w:val="-4"/>
          <w:sz w:val="24"/>
        </w:rPr>
        <w:t> </w:t>
      </w:r>
      <w:r>
        <w:rPr>
          <w:sz w:val="24"/>
        </w:rPr>
        <w:t>a</w:t>
      </w:r>
      <w:r>
        <w:rPr>
          <w:spacing w:val="-5"/>
          <w:sz w:val="24"/>
        </w:rPr>
        <w:t> </w:t>
      </w:r>
      <w:r>
        <w:rPr>
          <w:sz w:val="24"/>
        </w:rPr>
        <w:t>statin</w:t>
      </w:r>
      <w:r>
        <w:rPr>
          <w:spacing w:val="-4"/>
          <w:sz w:val="24"/>
        </w:rPr>
        <w:t> </w:t>
      </w:r>
      <w:r>
        <w:rPr>
          <w:sz w:val="24"/>
        </w:rPr>
        <w:t>rechallenge</w:t>
      </w:r>
      <w:r>
        <w:rPr>
          <w:spacing w:val="-5"/>
          <w:sz w:val="24"/>
        </w:rPr>
        <w:t> </w:t>
      </w:r>
      <w:r>
        <w:rPr>
          <w:sz w:val="24"/>
        </w:rPr>
        <w:t>arm:</w:t>
      </w:r>
      <w:r>
        <w:rPr>
          <w:spacing w:val="-4"/>
          <w:sz w:val="24"/>
        </w:rPr>
        <w:t> </w:t>
      </w:r>
      <w:r>
        <w:rPr>
          <w:sz w:val="24"/>
        </w:rPr>
        <w:t>the</w:t>
      </w:r>
      <w:r>
        <w:rPr>
          <w:spacing w:val="-5"/>
          <w:sz w:val="24"/>
        </w:rPr>
        <w:t> </w:t>
      </w:r>
      <w:r>
        <w:rPr>
          <w:sz w:val="24"/>
        </w:rPr>
        <w:t>ODYSSEY</w:t>
      </w:r>
      <w:r>
        <w:rPr>
          <w:spacing w:val="-5"/>
          <w:sz w:val="24"/>
        </w:rPr>
        <w:t> </w:t>
      </w:r>
      <w:r>
        <w:rPr>
          <w:sz w:val="24"/>
        </w:rPr>
        <w:t>ALTERNATIVE</w:t>
      </w:r>
      <w:r>
        <w:rPr>
          <w:spacing w:val="-2"/>
          <w:sz w:val="24"/>
        </w:rPr>
        <w:t> </w:t>
      </w:r>
      <w:r>
        <w:rPr>
          <w:sz w:val="24"/>
        </w:rPr>
        <w:t>randomized</w:t>
      </w:r>
      <w:r>
        <w:rPr>
          <w:spacing w:val="-4"/>
          <w:sz w:val="24"/>
        </w:rPr>
        <w:t> </w:t>
      </w:r>
      <w:r>
        <w:rPr>
          <w:sz w:val="24"/>
        </w:rPr>
        <w:t>trial</w:t>
      </w:r>
    </w:p>
    <w:p>
      <w:pPr>
        <w:pStyle w:val="BodyText"/>
      </w:pPr>
      <w:r>
        <w:rPr/>
        <w:t>//</w:t>
      </w:r>
      <w:r>
        <w:rPr>
          <w:spacing w:val="-1"/>
        </w:rPr>
        <w:t> </w:t>
      </w:r>
      <w:r>
        <w:rPr/>
        <w:t>Journal</w:t>
      </w:r>
      <w:r>
        <w:rPr>
          <w:spacing w:val="-1"/>
        </w:rPr>
        <w:t> </w:t>
      </w:r>
      <w:r>
        <w:rPr/>
        <w:t>of</w:t>
      </w:r>
      <w:r>
        <w:rPr>
          <w:spacing w:val="-1"/>
        </w:rPr>
        <w:t> </w:t>
      </w:r>
      <w:r>
        <w:rPr/>
        <w:t>clinical</w:t>
      </w:r>
      <w:r>
        <w:rPr>
          <w:spacing w:val="-1"/>
        </w:rPr>
        <w:t> </w:t>
      </w:r>
      <w:r>
        <w:rPr/>
        <w:t>lipidology. 2015.</w:t>
      </w:r>
      <w:r>
        <w:rPr>
          <w:spacing w:val="-1"/>
        </w:rPr>
        <w:t> </w:t>
      </w:r>
      <w:r>
        <w:rPr/>
        <w:t>Vol. 9.</w:t>
      </w:r>
      <w:r>
        <w:rPr>
          <w:spacing w:val="-1"/>
        </w:rPr>
        <w:t> </w:t>
      </w:r>
      <w:r>
        <w:rPr/>
        <w:t>№. 6.</w:t>
      </w:r>
      <w:r>
        <w:rPr>
          <w:spacing w:val="-1"/>
        </w:rPr>
        <w:t> </w:t>
      </w:r>
      <w:r>
        <w:rPr/>
        <w:t>P. </w:t>
      </w:r>
      <w:r>
        <w:rPr>
          <w:spacing w:val="-2"/>
        </w:rPr>
        <w:t>758–769.</w:t>
      </w:r>
    </w:p>
    <w:p>
      <w:pPr>
        <w:pStyle w:val="ListParagraph"/>
        <w:numPr>
          <w:ilvl w:val="0"/>
          <w:numId w:val="25"/>
        </w:numPr>
        <w:tabs>
          <w:tab w:pos="1982" w:val="left" w:leader="none"/>
        </w:tabs>
        <w:spacing w:line="360" w:lineRule="auto" w:before="138" w:after="0"/>
        <w:ind w:left="1981" w:right="805" w:hanging="360"/>
        <w:jc w:val="left"/>
        <w:rPr>
          <w:sz w:val="24"/>
        </w:rPr>
      </w:pPr>
      <w:bookmarkStart w:name="_bookmark117" w:id="166"/>
      <w:bookmarkEnd w:id="166"/>
      <w:r>
        <w:rPr>
          <w:sz w:val="24"/>
        </w:rPr>
        <w:t>N</w:t>
      </w:r>
      <w:r>
        <w:rPr>
          <w:sz w:val="24"/>
        </w:rPr>
        <w:t>issen SE et al. Efficacy and tolerability of evolocumab vs ezetimibe in patients with muscle-related</w:t>
      </w:r>
      <w:r>
        <w:rPr>
          <w:spacing w:val="-4"/>
          <w:sz w:val="24"/>
        </w:rPr>
        <w:t> </w:t>
      </w:r>
      <w:r>
        <w:rPr>
          <w:sz w:val="24"/>
        </w:rPr>
        <w:t>statin</w:t>
      </w:r>
      <w:r>
        <w:rPr>
          <w:spacing w:val="-4"/>
          <w:sz w:val="24"/>
        </w:rPr>
        <w:t> </w:t>
      </w:r>
      <w:r>
        <w:rPr>
          <w:sz w:val="24"/>
        </w:rPr>
        <w:t>intolerance:</w:t>
      </w:r>
      <w:r>
        <w:rPr>
          <w:spacing w:val="-4"/>
          <w:sz w:val="24"/>
        </w:rPr>
        <w:t> </w:t>
      </w:r>
      <w:r>
        <w:rPr>
          <w:sz w:val="24"/>
        </w:rPr>
        <w:t>the</w:t>
      </w:r>
      <w:r>
        <w:rPr>
          <w:spacing w:val="-5"/>
          <w:sz w:val="24"/>
        </w:rPr>
        <w:t> </w:t>
      </w:r>
      <w:r>
        <w:rPr>
          <w:sz w:val="24"/>
        </w:rPr>
        <w:t>GAUSS-3</w:t>
      </w:r>
      <w:r>
        <w:rPr>
          <w:spacing w:val="-4"/>
          <w:sz w:val="24"/>
        </w:rPr>
        <w:t> </w:t>
      </w:r>
      <w:r>
        <w:rPr>
          <w:sz w:val="24"/>
        </w:rPr>
        <w:t>randomized</w:t>
      </w:r>
      <w:r>
        <w:rPr>
          <w:spacing w:val="-4"/>
          <w:sz w:val="24"/>
        </w:rPr>
        <w:t> </w:t>
      </w:r>
      <w:r>
        <w:rPr>
          <w:sz w:val="24"/>
        </w:rPr>
        <w:t>clinical</w:t>
      </w:r>
      <w:r>
        <w:rPr>
          <w:spacing w:val="-4"/>
          <w:sz w:val="24"/>
        </w:rPr>
        <w:t> </w:t>
      </w:r>
      <w:r>
        <w:rPr>
          <w:sz w:val="24"/>
        </w:rPr>
        <w:t>trial</w:t>
      </w:r>
      <w:r>
        <w:rPr>
          <w:spacing w:val="-4"/>
          <w:sz w:val="24"/>
        </w:rPr>
        <w:t> </w:t>
      </w:r>
      <w:r>
        <w:rPr>
          <w:sz w:val="24"/>
        </w:rPr>
        <w:t>//</w:t>
      </w:r>
      <w:r>
        <w:rPr>
          <w:spacing w:val="-4"/>
          <w:sz w:val="24"/>
        </w:rPr>
        <w:t> </w:t>
      </w:r>
      <w:r>
        <w:rPr>
          <w:sz w:val="24"/>
        </w:rPr>
        <w:t>Jama.</w:t>
      </w:r>
      <w:r>
        <w:rPr>
          <w:spacing w:val="-4"/>
          <w:sz w:val="24"/>
        </w:rPr>
        <w:t> </w:t>
      </w:r>
      <w:r>
        <w:rPr>
          <w:sz w:val="24"/>
        </w:rPr>
        <w:t>2016. Vol. 315. №. 15. P. 1580–1590.</w:t>
      </w:r>
    </w:p>
    <w:p>
      <w:pPr>
        <w:pStyle w:val="ListParagraph"/>
        <w:numPr>
          <w:ilvl w:val="0"/>
          <w:numId w:val="25"/>
        </w:numPr>
        <w:tabs>
          <w:tab w:pos="1982" w:val="left" w:leader="none"/>
        </w:tabs>
        <w:spacing w:line="360" w:lineRule="auto" w:before="0" w:after="0"/>
        <w:ind w:left="1981" w:right="736" w:hanging="360"/>
        <w:jc w:val="left"/>
        <w:rPr>
          <w:sz w:val="24"/>
        </w:rPr>
      </w:pPr>
      <w:bookmarkStart w:name="_bookmark118" w:id="167"/>
      <w:bookmarkEnd w:id="167"/>
      <w:r>
        <w:rPr>
          <w:sz w:val="24"/>
        </w:rPr>
        <w:t>S</w:t>
      </w:r>
      <w:r>
        <w:rPr>
          <w:sz w:val="24"/>
        </w:rPr>
        <w:t>chreml</w:t>
      </w:r>
      <w:r>
        <w:rPr>
          <w:spacing w:val="-3"/>
          <w:sz w:val="24"/>
        </w:rPr>
        <w:t> </w:t>
      </w:r>
      <w:r>
        <w:rPr>
          <w:sz w:val="24"/>
        </w:rPr>
        <w:t>J,</w:t>
      </w:r>
      <w:r>
        <w:rPr>
          <w:spacing w:val="-3"/>
          <w:sz w:val="24"/>
        </w:rPr>
        <w:t> </w:t>
      </w:r>
      <w:r>
        <w:rPr>
          <w:sz w:val="24"/>
        </w:rPr>
        <w:t>Gouni-Berthold</w:t>
      </w:r>
      <w:r>
        <w:rPr>
          <w:spacing w:val="-3"/>
          <w:sz w:val="24"/>
        </w:rPr>
        <w:t> </w:t>
      </w:r>
      <w:r>
        <w:rPr>
          <w:sz w:val="24"/>
        </w:rPr>
        <w:t>I.</w:t>
      </w:r>
      <w:r>
        <w:rPr>
          <w:spacing w:val="-3"/>
          <w:sz w:val="24"/>
        </w:rPr>
        <w:t> </w:t>
      </w:r>
      <w:r>
        <w:rPr>
          <w:sz w:val="24"/>
        </w:rPr>
        <w:t>Role</w:t>
      </w:r>
      <w:r>
        <w:rPr>
          <w:spacing w:val="-4"/>
          <w:sz w:val="24"/>
        </w:rPr>
        <w:t> </w:t>
      </w:r>
      <w:r>
        <w:rPr>
          <w:sz w:val="24"/>
        </w:rPr>
        <w:t>of</w:t>
      </w:r>
      <w:r>
        <w:rPr>
          <w:spacing w:val="-2"/>
          <w:sz w:val="24"/>
        </w:rPr>
        <w:t> </w:t>
      </w:r>
      <w:r>
        <w:rPr>
          <w:sz w:val="24"/>
        </w:rPr>
        <w:t>anti-PCSK9</w:t>
      </w:r>
      <w:r>
        <w:rPr>
          <w:spacing w:val="-3"/>
          <w:sz w:val="24"/>
        </w:rPr>
        <w:t> </w:t>
      </w:r>
      <w:r>
        <w:rPr>
          <w:sz w:val="24"/>
        </w:rPr>
        <w:t>antibodies</w:t>
      </w:r>
      <w:r>
        <w:rPr>
          <w:spacing w:val="-3"/>
          <w:sz w:val="24"/>
        </w:rPr>
        <w:t> </w:t>
      </w:r>
      <w:r>
        <w:rPr>
          <w:sz w:val="24"/>
        </w:rPr>
        <w:t>in</w:t>
      </w:r>
      <w:r>
        <w:rPr>
          <w:spacing w:val="-3"/>
          <w:sz w:val="24"/>
        </w:rPr>
        <w:t> </w:t>
      </w:r>
      <w:r>
        <w:rPr>
          <w:sz w:val="24"/>
        </w:rPr>
        <w:t>the</w:t>
      </w:r>
      <w:r>
        <w:rPr>
          <w:spacing w:val="-4"/>
          <w:sz w:val="24"/>
        </w:rPr>
        <w:t> </w:t>
      </w:r>
      <w:r>
        <w:rPr>
          <w:sz w:val="24"/>
        </w:rPr>
        <w:t>treatment</w:t>
      </w:r>
      <w:r>
        <w:rPr>
          <w:spacing w:val="-3"/>
          <w:sz w:val="24"/>
        </w:rPr>
        <w:t> </w:t>
      </w:r>
      <w:r>
        <w:rPr>
          <w:sz w:val="24"/>
        </w:rPr>
        <w:t>of</w:t>
      </w:r>
      <w:r>
        <w:rPr>
          <w:spacing w:val="-4"/>
          <w:sz w:val="24"/>
        </w:rPr>
        <w:t> </w:t>
      </w:r>
      <w:r>
        <w:rPr>
          <w:sz w:val="24"/>
        </w:rPr>
        <w:t>patients with statin intolerance // Current medicinal chemistry. 2018. Vol. 25. №. 13. P. 1538– </w:t>
      </w:r>
      <w:r>
        <w:rPr>
          <w:spacing w:val="-2"/>
          <w:sz w:val="24"/>
        </w:rPr>
        <w:t>1548.</w:t>
      </w:r>
    </w:p>
    <w:p>
      <w:pPr>
        <w:pStyle w:val="ListParagraph"/>
        <w:numPr>
          <w:ilvl w:val="0"/>
          <w:numId w:val="25"/>
        </w:numPr>
        <w:tabs>
          <w:tab w:pos="1982" w:val="left" w:leader="none"/>
        </w:tabs>
        <w:spacing w:line="360" w:lineRule="auto" w:before="0" w:after="0"/>
        <w:ind w:left="1981" w:right="805" w:hanging="360"/>
        <w:jc w:val="left"/>
        <w:rPr>
          <w:sz w:val="24"/>
        </w:rPr>
      </w:pPr>
      <w:bookmarkStart w:name="_bookmark119" w:id="168"/>
      <w:bookmarkEnd w:id="168"/>
      <w:r>
        <w:rPr>
          <w:sz w:val="24"/>
        </w:rPr>
        <w:t>L</w:t>
      </w:r>
      <w:r>
        <w:rPr>
          <w:sz w:val="24"/>
        </w:rPr>
        <w:t>andmesser</w:t>
      </w:r>
      <w:r>
        <w:rPr>
          <w:spacing w:val="-5"/>
          <w:sz w:val="24"/>
        </w:rPr>
        <w:t> </w:t>
      </w:r>
      <w:r>
        <w:rPr>
          <w:sz w:val="24"/>
        </w:rPr>
        <w:t>U</w:t>
      </w:r>
      <w:r>
        <w:rPr>
          <w:spacing w:val="-3"/>
          <w:sz w:val="24"/>
        </w:rPr>
        <w:t> </w:t>
      </w:r>
      <w:r>
        <w:rPr>
          <w:sz w:val="24"/>
        </w:rPr>
        <w:t>et</w:t>
      </w:r>
      <w:r>
        <w:rPr>
          <w:spacing w:val="-4"/>
          <w:sz w:val="24"/>
        </w:rPr>
        <w:t> </w:t>
      </w:r>
      <w:r>
        <w:rPr>
          <w:sz w:val="24"/>
        </w:rPr>
        <w:t>al.</w:t>
      </w:r>
      <w:r>
        <w:rPr>
          <w:spacing w:val="-4"/>
          <w:sz w:val="24"/>
        </w:rPr>
        <w:t> </w:t>
      </w:r>
      <w:r>
        <w:rPr>
          <w:sz w:val="24"/>
        </w:rPr>
        <w:t>European</w:t>
      </w:r>
      <w:r>
        <w:rPr>
          <w:spacing w:val="-4"/>
          <w:sz w:val="24"/>
        </w:rPr>
        <w:t> </w:t>
      </w:r>
      <w:r>
        <w:rPr>
          <w:sz w:val="24"/>
        </w:rPr>
        <w:t>Society</w:t>
      </w:r>
      <w:r>
        <w:rPr>
          <w:spacing w:val="-4"/>
          <w:sz w:val="24"/>
        </w:rPr>
        <w:t> </w:t>
      </w:r>
      <w:r>
        <w:rPr>
          <w:sz w:val="24"/>
        </w:rPr>
        <w:t>of</w:t>
      </w:r>
      <w:r>
        <w:rPr>
          <w:spacing w:val="-5"/>
          <w:sz w:val="24"/>
        </w:rPr>
        <w:t> </w:t>
      </w:r>
      <w:r>
        <w:rPr>
          <w:sz w:val="24"/>
        </w:rPr>
        <w:t>Cardiology/European</w:t>
      </w:r>
      <w:r>
        <w:rPr>
          <w:spacing w:val="-4"/>
          <w:sz w:val="24"/>
        </w:rPr>
        <w:t> </w:t>
      </w:r>
      <w:r>
        <w:rPr>
          <w:sz w:val="24"/>
        </w:rPr>
        <w:t>Atherosclerosis</w:t>
      </w:r>
      <w:r>
        <w:rPr>
          <w:spacing w:val="-4"/>
          <w:sz w:val="24"/>
        </w:rPr>
        <w:t> </w:t>
      </w:r>
      <w:r>
        <w:rPr>
          <w:sz w:val="24"/>
        </w:rPr>
        <w:t>Society Task Force consensus statement on proprotein convertase subtilisin/kexin type 9 inhibitors: practical guidance for use in patients at very high cardiovascular risk //, European Heart Journal. 2017. Vol. 38. №. 29. P. 2245–2255.</w:t>
      </w:r>
    </w:p>
    <w:p>
      <w:pPr>
        <w:pStyle w:val="ListParagraph"/>
        <w:numPr>
          <w:ilvl w:val="0"/>
          <w:numId w:val="25"/>
        </w:numPr>
        <w:tabs>
          <w:tab w:pos="1982" w:val="left" w:leader="none"/>
        </w:tabs>
        <w:spacing w:line="240" w:lineRule="auto" w:before="0" w:after="0"/>
        <w:ind w:left="1981" w:right="0" w:hanging="361"/>
        <w:jc w:val="left"/>
        <w:rPr>
          <w:sz w:val="24"/>
        </w:rPr>
      </w:pPr>
      <w:bookmarkStart w:name="_bookmark120" w:id="169"/>
      <w:bookmarkEnd w:id="169"/>
      <w:r>
        <w:rPr>
          <w:sz w:val="24"/>
        </w:rPr>
        <w:t>Ridk</w:t>
      </w:r>
      <w:r>
        <w:rPr>
          <w:sz w:val="24"/>
        </w:rPr>
        <w:t>er</w:t>
      </w:r>
      <w:r>
        <w:rPr>
          <w:spacing w:val="-5"/>
          <w:sz w:val="24"/>
        </w:rPr>
        <w:t> </w:t>
      </w:r>
      <w:r>
        <w:rPr>
          <w:sz w:val="24"/>
        </w:rPr>
        <w:t>PM</w:t>
      </w:r>
      <w:r>
        <w:rPr>
          <w:spacing w:val="-1"/>
          <w:sz w:val="24"/>
        </w:rPr>
        <w:t> </w:t>
      </w:r>
      <w:r>
        <w:rPr>
          <w:sz w:val="24"/>
        </w:rPr>
        <w:t>et</w:t>
      </w:r>
      <w:r>
        <w:rPr>
          <w:spacing w:val="-2"/>
          <w:sz w:val="24"/>
        </w:rPr>
        <w:t> </w:t>
      </w:r>
      <w:r>
        <w:rPr>
          <w:sz w:val="24"/>
        </w:rPr>
        <w:t>al.</w:t>
      </w:r>
      <w:r>
        <w:rPr>
          <w:spacing w:val="-1"/>
          <w:sz w:val="24"/>
        </w:rPr>
        <w:t> </w:t>
      </w:r>
      <w:r>
        <w:rPr>
          <w:sz w:val="24"/>
        </w:rPr>
        <w:t>Cardiovascular</w:t>
      </w:r>
      <w:r>
        <w:rPr>
          <w:spacing w:val="-1"/>
          <w:sz w:val="24"/>
        </w:rPr>
        <w:t> </w:t>
      </w:r>
      <w:r>
        <w:rPr>
          <w:sz w:val="24"/>
        </w:rPr>
        <w:t>efficacy and</w:t>
      </w:r>
      <w:r>
        <w:rPr>
          <w:spacing w:val="-1"/>
          <w:sz w:val="24"/>
        </w:rPr>
        <w:t> </w:t>
      </w:r>
      <w:r>
        <w:rPr>
          <w:sz w:val="24"/>
        </w:rPr>
        <w:t>safety</w:t>
      </w:r>
      <w:r>
        <w:rPr>
          <w:spacing w:val="-2"/>
          <w:sz w:val="24"/>
        </w:rPr>
        <w:t> </w:t>
      </w:r>
      <w:r>
        <w:rPr>
          <w:sz w:val="24"/>
        </w:rPr>
        <w:t>of</w:t>
      </w:r>
      <w:r>
        <w:rPr>
          <w:spacing w:val="-2"/>
          <w:sz w:val="24"/>
        </w:rPr>
        <w:t> </w:t>
      </w:r>
      <w:r>
        <w:rPr>
          <w:sz w:val="24"/>
        </w:rPr>
        <w:t>bococizumab</w:t>
      </w:r>
      <w:r>
        <w:rPr>
          <w:spacing w:val="-1"/>
          <w:sz w:val="24"/>
        </w:rPr>
        <w:t> </w:t>
      </w:r>
      <w:r>
        <w:rPr>
          <w:sz w:val="24"/>
        </w:rPr>
        <w:t>in</w:t>
      </w:r>
      <w:r>
        <w:rPr>
          <w:spacing w:val="-2"/>
          <w:sz w:val="24"/>
        </w:rPr>
        <w:t> </w:t>
      </w:r>
      <w:r>
        <w:rPr>
          <w:sz w:val="24"/>
        </w:rPr>
        <w:t>high-risk</w:t>
      </w:r>
      <w:r>
        <w:rPr>
          <w:spacing w:val="-1"/>
          <w:sz w:val="24"/>
        </w:rPr>
        <w:t> </w:t>
      </w:r>
      <w:r>
        <w:rPr>
          <w:spacing w:val="-2"/>
          <w:sz w:val="24"/>
        </w:rPr>
        <w:t>patients</w:t>
      </w:r>
    </w:p>
    <w:p>
      <w:pPr>
        <w:pStyle w:val="BodyText"/>
        <w:spacing w:before="137"/>
      </w:pPr>
      <w:r>
        <w:rPr/>
        <w:t>//</w:t>
      </w:r>
      <w:r>
        <w:rPr>
          <w:spacing w:val="-3"/>
        </w:rPr>
        <w:t> </w:t>
      </w:r>
      <w:r>
        <w:rPr/>
        <w:t>New</w:t>
      </w:r>
      <w:r>
        <w:rPr>
          <w:spacing w:val="-2"/>
        </w:rPr>
        <w:t> </w:t>
      </w:r>
      <w:r>
        <w:rPr/>
        <w:t>England Journal</w:t>
      </w:r>
      <w:r>
        <w:rPr>
          <w:spacing w:val="-1"/>
        </w:rPr>
        <w:t> </w:t>
      </w:r>
      <w:r>
        <w:rPr/>
        <w:t>of</w:t>
      </w:r>
      <w:r>
        <w:rPr>
          <w:spacing w:val="-1"/>
        </w:rPr>
        <w:t> </w:t>
      </w:r>
      <w:r>
        <w:rPr/>
        <w:t>Medicine.</w:t>
      </w:r>
      <w:r>
        <w:rPr>
          <w:spacing w:val="-1"/>
        </w:rPr>
        <w:t> </w:t>
      </w:r>
      <w:r>
        <w:rPr/>
        <w:t>2017.</w:t>
      </w:r>
      <w:r>
        <w:rPr>
          <w:spacing w:val="-1"/>
        </w:rPr>
        <w:t> </w:t>
      </w:r>
      <w:r>
        <w:rPr/>
        <w:t>Vol. 376.</w:t>
      </w:r>
      <w:r>
        <w:rPr>
          <w:spacing w:val="-1"/>
        </w:rPr>
        <w:t> </w:t>
      </w:r>
      <w:r>
        <w:rPr/>
        <w:t>№. 16.</w:t>
      </w:r>
      <w:r>
        <w:rPr>
          <w:spacing w:val="-1"/>
        </w:rPr>
        <w:t> </w:t>
      </w:r>
      <w:r>
        <w:rPr/>
        <w:t>P. </w:t>
      </w:r>
      <w:r>
        <w:rPr>
          <w:spacing w:val="-2"/>
        </w:rPr>
        <w:t>1527–1539.</w:t>
      </w:r>
    </w:p>
    <w:p>
      <w:pPr>
        <w:pStyle w:val="ListParagraph"/>
        <w:numPr>
          <w:ilvl w:val="0"/>
          <w:numId w:val="25"/>
        </w:numPr>
        <w:tabs>
          <w:tab w:pos="1982" w:val="left" w:leader="none"/>
        </w:tabs>
        <w:spacing w:line="360" w:lineRule="auto" w:before="140" w:after="0"/>
        <w:ind w:left="1981" w:right="708" w:hanging="360"/>
        <w:jc w:val="left"/>
        <w:rPr>
          <w:sz w:val="24"/>
        </w:rPr>
      </w:pPr>
      <w:bookmarkStart w:name="_bookmark121" w:id="170"/>
      <w:bookmarkEnd w:id="170"/>
      <w:r>
        <w:rPr>
          <w:sz w:val="24"/>
        </w:rPr>
        <w:t>V</w:t>
      </w:r>
      <w:r>
        <w:rPr>
          <w:sz w:val="24"/>
        </w:rPr>
        <w:t>allejo-Vaz</w:t>
      </w:r>
      <w:r>
        <w:rPr>
          <w:spacing w:val="-5"/>
          <w:sz w:val="24"/>
        </w:rPr>
        <w:t> </w:t>
      </w:r>
      <w:r>
        <w:rPr>
          <w:sz w:val="24"/>
        </w:rPr>
        <w:t>AJ</w:t>
      </w:r>
      <w:r>
        <w:rPr>
          <w:spacing w:val="-4"/>
          <w:sz w:val="24"/>
        </w:rPr>
        <w:t> </w:t>
      </w:r>
      <w:r>
        <w:rPr>
          <w:sz w:val="24"/>
        </w:rPr>
        <w:t>et</w:t>
      </w:r>
      <w:r>
        <w:rPr>
          <w:spacing w:val="-4"/>
          <w:sz w:val="24"/>
        </w:rPr>
        <w:t> </w:t>
      </w:r>
      <w:r>
        <w:rPr>
          <w:sz w:val="24"/>
        </w:rPr>
        <w:t>al.</w:t>
      </w:r>
      <w:r>
        <w:rPr>
          <w:spacing w:val="-4"/>
          <w:sz w:val="24"/>
        </w:rPr>
        <w:t> </w:t>
      </w:r>
      <w:r>
        <w:rPr>
          <w:sz w:val="24"/>
        </w:rPr>
        <w:t>Triglyceride-rich</w:t>
      </w:r>
      <w:r>
        <w:rPr>
          <w:spacing w:val="-4"/>
          <w:sz w:val="24"/>
        </w:rPr>
        <w:t> </w:t>
      </w:r>
      <w:r>
        <w:rPr>
          <w:sz w:val="24"/>
        </w:rPr>
        <w:t>lipoprotein</w:t>
      </w:r>
      <w:r>
        <w:rPr>
          <w:spacing w:val="-4"/>
          <w:sz w:val="24"/>
        </w:rPr>
        <w:t> </w:t>
      </w:r>
      <w:r>
        <w:rPr>
          <w:sz w:val="24"/>
        </w:rPr>
        <w:t>cholesterol</w:t>
      </w:r>
      <w:r>
        <w:rPr>
          <w:spacing w:val="-4"/>
          <w:sz w:val="24"/>
        </w:rPr>
        <w:t> </w:t>
      </w:r>
      <w:r>
        <w:rPr>
          <w:sz w:val="24"/>
        </w:rPr>
        <w:t>and</w:t>
      </w:r>
      <w:r>
        <w:rPr>
          <w:spacing w:val="-4"/>
          <w:sz w:val="24"/>
        </w:rPr>
        <w:t> </w:t>
      </w:r>
      <w:r>
        <w:rPr>
          <w:sz w:val="24"/>
        </w:rPr>
        <w:t>risk</w:t>
      </w:r>
      <w:r>
        <w:rPr>
          <w:spacing w:val="-4"/>
          <w:sz w:val="24"/>
        </w:rPr>
        <w:t> </w:t>
      </w:r>
      <w:r>
        <w:rPr>
          <w:sz w:val="24"/>
        </w:rPr>
        <w:t>of</w:t>
      </w:r>
      <w:r>
        <w:rPr>
          <w:spacing w:val="-3"/>
          <w:sz w:val="24"/>
        </w:rPr>
        <w:t> </w:t>
      </w:r>
      <w:r>
        <w:rPr>
          <w:sz w:val="24"/>
        </w:rPr>
        <w:t>cardiovascular events among patients receiving statin therapy in the TNT trial //Circulation. 2018. Vol.</w:t>
      </w:r>
    </w:p>
    <w:p>
      <w:pPr>
        <w:spacing w:after="0" w:line="360" w:lineRule="auto"/>
        <w:jc w:val="left"/>
        <w:rPr>
          <w:sz w:val="24"/>
        </w:rPr>
        <w:sectPr>
          <w:pgSz w:w="11910" w:h="16840"/>
          <w:pgMar w:header="0" w:footer="710" w:top="1040" w:bottom="900" w:left="440" w:right="280"/>
        </w:sectPr>
      </w:pPr>
    </w:p>
    <w:p>
      <w:pPr>
        <w:pStyle w:val="BodyText"/>
        <w:spacing w:before="73"/>
      </w:pPr>
      <w:r>
        <w:rPr/>
        <w:t>138.</w:t>
      </w:r>
      <w:r>
        <w:rPr>
          <w:spacing w:val="-3"/>
        </w:rPr>
        <w:t> </w:t>
      </w:r>
      <w:r>
        <w:rPr/>
        <w:t>№. 8. P. </w:t>
      </w:r>
      <w:r>
        <w:rPr>
          <w:spacing w:val="-2"/>
        </w:rPr>
        <w:t>770–781.</w:t>
      </w:r>
    </w:p>
    <w:p>
      <w:pPr>
        <w:pStyle w:val="ListParagraph"/>
        <w:numPr>
          <w:ilvl w:val="0"/>
          <w:numId w:val="25"/>
        </w:numPr>
        <w:tabs>
          <w:tab w:pos="1982" w:val="left" w:leader="none"/>
        </w:tabs>
        <w:spacing w:line="360" w:lineRule="auto" w:before="139" w:after="0"/>
        <w:ind w:left="1981" w:right="632" w:hanging="360"/>
        <w:jc w:val="left"/>
        <w:rPr>
          <w:sz w:val="24"/>
        </w:rPr>
      </w:pPr>
      <w:bookmarkStart w:name="_bookmark122" w:id="171"/>
      <w:bookmarkEnd w:id="171"/>
      <w:r>
        <w:rPr>
          <w:sz w:val="24"/>
        </w:rPr>
        <w:t>Ch</w:t>
      </w:r>
      <w:r>
        <w:rPr>
          <w:sz w:val="24"/>
        </w:rPr>
        <w:t>apman MJ et al. Niacin and fibrates in atherogenic dyslipidemia: pharmacotherapy to reduce</w:t>
      </w:r>
      <w:r>
        <w:rPr>
          <w:spacing w:val="-2"/>
          <w:sz w:val="24"/>
        </w:rPr>
        <w:t> </w:t>
      </w:r>
      <w:r>
        <w:rPr>
          <w:sz w:val="24"/>
        </w:rPr>
        <w:t>cardiovascular</w:t>
      </w:r>
      <w:r>
        <w:rPr>
          <w:spacing w:val="-4"/>
          <w:sz w:val="24"/>
        </w:rPr>
        <w:t> </w:t>
      </w:r>
      <w:r>
        <w:rPr>
          <w:sz w:val="24"/>
        </w:rPr>
        <w:t>risk</w:t>
      </w:r>
      <w:r>
        <w:rPr>
          <w:spacing w:val="-3"/>
          <w:sz w:val="24"/>
        </w:rPr>
        <w:t> </w:t>
      </w:r>
      <w:r>
        <w:rPr>
          <w:sz w:val="24"/>
        </w:rPr>
        <w:t>//Pharmacology</w:t>
      </w:r>
      <w:r>
        <w:rPr>
          <w:spacing w:val="-3"/>
          <w:sz w:val="24"/>
        </w:rPr>
        <w:t> </w:t>
      </w:r>
      <w:r>
        <w:rPr>
          <w:sz w:val="24"/>
        </w:rPr>
        <w:t>&amp;</w:t>
      </w:r>
      <w:r>
        <w:rPr>
          <w:spacing w:val="-3"/>
          <w:sz w:val="24"/>
        </w:rPr>
        <w:t> </w:t>
      </w:r>
      <w:r>
        <w:rPr>
          <w:sz w:val="24"/>
        </w:rPr>
        <w:t>therapeutics.</w:t>
      </w:r>
      <w:r>
        <w:rPr>
          <w:spacing w:val="-3"/>
          <w:sz w:val="24"/>
        </w:rPr>
        <w:t> </w:t>
      </w:r>
      <w:r>
        <w:rPr>
          <w:sz w:val="24"/>
        </w:rPr>
        <w:t>2010.</w:t>
      </w:r>
      <w:r>
        <w:rPr>
          <w:spacing w:val="-3"/>
          <w:sz w:val="24"/>
        </w:rPr>
        <w:t> </w:t>
      </w:r>
      <w:r>
        <w:rPr>
          <w:sz w:val="24"/>
        </w:rPr>
        <w:t>Vol.</w:t>
      </w:r>
      <w:r>
        <w:rPr>
          <w:spacing w:val="-3"/>
          <w:sz w:val="24"/>
        </w:rPr>
        <w:t> </w:t>
      </w:r>
      <w:r>
        <w:rPr>
          <w:sz w:val="24"/>
        </w:rPr>
        <w:t>126.</w:t>
      </w:r>
      <w:r>
        <w:rPr>
          <w:spacing w:val="-1"/>
          <w:sz w:val="24"/>
        </w:rPr>
        <w:t> </w:t>
      </w:r>
      <w:r>
        <w:rPr>
          <w:sz w:val="24"/>
        </w:rPr>
        <w:t>№.</w:t>
      </w:r>
      <w:r>
        <w:rPr>
          <w:spacing w:val="-3"/>
          <w:sz w:val="24"/>
        </w:rPr>
        <w:t> </w:t>
      </w:r>
      <w:r>
        <w:rPr>
          <w:sz w:val="24"/>
        </w:rPr>
        <w:t>3.</w:t>
      </w:r>
      <w:r>
        <w:rPr>
          <w:spacing w:val="-3"/>
          <w:sz w:val="24"/>
        </w:rPr>
        <w:t> </w:t>
      </w:r>
      <w:r>
        <w:rPr>
          <w:sz w:val="24"/>
        </w:rPr>
        <w:t>P.</w:t>
      </w:r>
      <w:r>
        <w:rPr>
          <w:spacing w:val="-3"/>
          <w:sz w:val="24"/>
        </w:rPr>
        <w:t> </w:t>
      </w:r>
      <w:r>
        <w:rPr>
          <w:sz w:val="24"/>
        </w:rPr>
        <w:t>314–</w:t>
      </w:r>
    </w:p>
    <w:p>
      <w:pPr>
        <w:pStyle w:val="BodyText"/>
        <w:spacing w:before="1"/>
      </w:pPr>
      <w:r>
        <w:rPr>
          <w:spacing w:val="-4"/>
        </w:rPr>
        <w:t>345.</w:t>
      </w:r>
    </w:p>
    <w:p>
      <w:pPr>
        <w:pStyle w:val="ListParagraph"/>
        <w:numPr>
          <w:ilvl w:val="0"/>
          <w:numId w:val="25"/>
        </w:numPr>
        <w:tabs>
          <w:tab w:pos="1982" w:val="left" w:leader="none"/>
        </w:tabs>
        <w:spacing w:line="240" w:lineRule="auto" w:before="136" w:after="0"/>
        <w:ind w:left="1981" w:right="0" w:hanging="361"/>
        <w:jc w:val="left"/>
        <w:rPr>
          <w:sz w:val="24"/>
        </w:rPr>
      </w:pPr>
      <w:bookmarkStart w:name="_bookmark123" w:id="172"/>
      <w:bookmarkEnd w:id="172"/>
      <w:r>
        <w:rPr>
          <w:sz w:val="24"/>
        </w:rPr>
        <w:t>A</w:t>
      </w:r>
      <w:r>
        <w:rPr>
          <w:sz w:val="24"/>
        </w:rPr>
        <w:t>CCORD</w:t>
      </w:r>
      <w:r>
        <w:rPr>
          <w:spacing w:val="-5"/>
          <w:sz w:val="24"/>
        </w:rPr>
        <w:t> </w:t>
      </w:r>
      <w:r>
        <w:rPr>
          <w:sz w:val="24"/>
        </w:rPr>
        <w:t>Study</w:t>
      </w:r>
      <w:r>
        <w:rPr>
          <w:spacing w:val="-1"/>
          <w:sz w:val="24"/>
        </w:rPr>
        <w:t> </w:t>
      </w:r>
      <w:r>
        <w:rPr>
          <w:sz w:val="24"/>
        </w:rPr>
        <w:t>Group.</w:t>
      </w:r>
      <w:r>
        <w:rPr>
          <w:spacing w:val="-1"/>
          <w:sz w:val="24"/>
        </w:rPr>
        <w:t> </w:t>
      </w:r>
      <w:r>
        <w:rPr>
          <w:sz w:val="24"/>
        </w:rPr>
        <w:t>Effects</w:t>
      </w:r>
      <w:r>
        <w:rPr>
          <w:spacing w:val="-1"/>
          <w:sz w:val="24"/>
        </w:rPr>
        <w:t> </w:t>
      </w:r>
      <w:r>
        <w:rPr>
          <w:sz w:val="24"/>
        </w:rPr>
        <w:t>of</w:t>
      </w:r>
      <w:r>
        <w:rPr>
          <w:spacing w:val="-1"/>
          <w:sz w:val="24"/>
        </w:rPr>
        <w:t> </w:t>
      </w:r>
      <w:r>
        <w:rPr>
          <w:sz w:val="24"/>
        </w:rPr>
        <w:t>combination</w:t>
      </w:r>
      <w:r>
        <w:rPr>
          <w:spacing w:val="-1"/>
          <w:sz w:val="24"/>
        </w:rPr>
        <w:t> </w:t>
      </w:r>
      <w:r>
        <w:rPr>
          <w:sz w:val="24"/>
        </w:rPr>
        <w:t>lipid</w:t>
      </w:r>
      <w:r>
        <w:rPr>
          <w:spacing w:val="-1"/>
          <w:sz w:val="24"/>
        </w:rPr>
        <w:t> </w:t>
      </w:r>
      <w:r>
        <w:rPr>
          <w:sz w:val="24"/>
        </w:rPr>
        <w:t>therapy</w:t>
      </w:r>
      <w:r>
        <w:rPr>
          <w:spacing w:val="-2"/>
          <w:sz w:val="24"/>
        </w:rPr>
        <w:t> </w:t>
      </w:r>
      <w:r>
        <w:rPr>
          <w:sz w:val="24"/>
        </w:rPr>
        <w:t>in</w:t>
      </w:r>
      <w:r>
        <w:rPr>
          <w:spacing w:val="-1"/>
          <w:sz w:val="24"/>
        </w:rPr>
        <w:t> </w:t>
      </w:r>
      <w:r>
        <w:rPr>
          <w:sz w:val="24"/>
        </w:rPr>
        <w:t>type</w:t>
      </w:r>
      <w:r>
        <w:rPr>
          <w:spacing w:val="-2"/>
          <w:sz w:val="24"/>
        </w:rPr>
        <w:t> </w:t>
      </w:r>
      <w:r>
        <w:rPr>
          <w:sz w:val="24"/>
        </w:rPr>
        <w:t>2</w:t>
      </w:r>
      <w:r>
        <w:rPr>
          <w:spacing w:val="-1"/>
          <w:sz w:val="24"/>
        </w:rPr>
        <w:t> </w:t>
      </w:r>
      <w:r>
        <w:rPr>
          <w:sz w:val="24"/>
        </w:rPr>
        <w:t>diabetes</w:t>
      </w:r>
      <w:r>
        <w:rPr>
          <w:spacing w:val="-1"/>
          <w:sz w:val="24"/>
        </w:rPr>
        <w:t> </w:t>
      </w:r>
      <w:r>
        <w:rPr>
          <w:spacing w:val="-2"/>
          <w:sz w:val="24"/>
        </w:rPr>
        <w:t>mellitus</w:t>
      </w:r>
    </w:p>
    <w:p>
      <w:pPr>
        <w:pStyle w:val="BodyText"/>
        <w:spacing w:before="140"/>
      </w:pPr>
      <w:r>
        <w:rPr/>
        <w:t>//</w:t>
      </w:r>
      <w:r>
        <w:rPr>
          <w:spacing w:val="-3"/>
        </w:rPr>
        <w:t> </w:t>
      </w:r>
      <w:r>
        <w:rPr/>
        <w:t>New</w:t>
      </w:r>
      <w:r>
        <w:rPr>
          <w:spacing w:val="-2"/>
        </w:rPr>
        <w:t> </w:t>
      </w:r>
      <w:r>
        <w:rPr/>
        <w:t>England Journal</w:t>
      </w:r>
      <w:r>
        <w:rPr>
          <w:spacing w:val="-1"/>
        </w:rPr>
        <w:t> </w:t>
      </w:r>
      <w:r>
        <w:rPr/>
        <w:t>of</w:t>
      </w:r>
      <w:r>
        <w:rPr>
          <w:spacing w:val="-1"/>
        </w:rPr>
        <w:t> </w:t>
      </w:r>
      <w:r>
        <w:rPr/>
        <w:t>Medicine.</w:t>
      </w:r>
      <w:r>
        <w:rPr>
          <w:spacing w:val="-1"/>
        </w:rPr>
        <w:t> </w:t>
      </w:r>
      <w:r>
        <w:rPr/>
        <w:t>2010.</w:t>
      </w:r>
      <w:r>
        <w:rPr>
          <w:spacing w:val="-1"/>
        </w:rPr>
        <w:t> </w:t>
      </w:r>
      <w:r>
        <w:rPr/>
        <w:t>Vol. 362.</w:t>
      </w:r>
      <w:r>
        <w:rPr>
          <w:spacing w:val="-1"/>
        </w:rPr>
        <w:t> </w:t>
      </w:r>
      <w:r>
        <w:rPr/>
        <w:t>№. 17.</w:t>
      </w:r>
      <w:r>
        <w:rPr>
          <w:spacing w:val="-1"/>
        </w:rPr>
        <w:t> </w:t>
      </w:r>
      <w:r>
        <w:rPr/>
        <w:t>P. </w:t>
      </w:r>
      <w:r>
        <w:rPr>
          <w:spacing w:val="-2"/>
        </w:rPr>
        <w:t>1563–1574.</w:t>
      </w:r>
    </w:p>
    <w:p>
      <w:pPr>
        <w:pStyle w:val="ListParagraph"/>
        <w:numPr>
          <w:ilvl w:val="0"/>
          <w:numId w:val="25"/>
        </w:numPr>
        <w:tabs>
          <w:tab w:pos="1982" w:val="left" w:leader="none"/>
        </w:tabs>
        <w:spacing w:line="360" w:lineRule="auto" w:before="136" w:after="0"/>
        <w:ind w:left="1981" w:right="925" w:hanging="360"/>
        <w:jc w:val="left"/>
        <w:rPr>
          <w:sz w:val="24"/>
        </w:rPr>
      </w:pPr>
      <w:bookmarkStart w:name="_bookmark124" w:id="173"/>
      <w:bookmarkEnd w:id="173"/>
      <w:r>
        <w:rPr>
          <w:sz w:val="24"/>
        </w:rPr>
        <w:t>F</w:t>
      </w:r>
      <w:r>
        <w:rPr>
          <w:sz w:val="24"/>
        </w:rPr>
        <w:t>IELD Study Investigators et al. Effects of long-term fenofibrate therapy on cardiovascular</w:t>
      </w:r>
      <w:r>
        <w:rPr>
          <w:spacing w:val="-4"/>
          <w:sz w:val="24"/>
        </w:rPr>
        <w:t> </w:t>
      </w:r>
      <w:r>
        <w:rPr>
          <w:sz w:val="24"/>
        </w:rPr>
        <w:t>events</w:t>
      </w:r>
      <w:r>
        <w:rPr>
          <w:spacing w:val="-3"/>
          <w:sz w:val="24"/>
        </w:rPr>
        <w:t> </w:t>
      </w:r>
      <w:r>
        <w:rPr>
          <w:sz w:val="24"/>
        </w:rPr>
        <w:t>in</w:t>
      </w:r>
      <w:r>
        <w:rPr>
          <w:spacing w:val="-4"/>
          <w:sz w:val="24"/>
        </w:rPr>
        <w:t> </w:t>
      </w:r>
      <w:r>
        <w:rPr>
          <w:sz w:val="24"/>
        </w:rPr>
        <w:t>9795</w:t>
      </w:r>
      <w:r>
        <w:rPr>
          <w:spacing w:val="-3"/>
          <w:sz w:val="24"/>
        </w:rPr>
        <w:t> </w:t>
      </w:r>
      <w:r>
        <w:rPr>
          <w:sz w:val="24"/>
        </w:rPr>
        <w:t>people</w:t>
      </w:r>
      <w:r>
        <w:rPr>
          <w:spacing w:val="-4"/>
          <w:sz w:val="24"/>
        </w:rPr>
        <w:t> </w:t>
      </w:r>
      <w:r>
        <w:rPr>
          <w:sz w:val="24"/>
        </w:rPr>
        <w:t>with</w:t>
      </w:r>
      <w:r>
        <w:rPr>
          <w:spacing w:val="-3"/>
          <w:sz w:val="24"/>
        </w:rPr>
        <w:t> </w:t>
      </w:r>
      <w:r>
        <w:rPr>
          <w:sz w:val="24"/>
        </w:rPr>
        <w:t>type</w:t>
      </w:r>
      <w:r>
        <w:rPr>
          <w:spacing w:val="-4"/>
          <w:sz w:val="24"/>
        </w:rPr>
        <w:t> </w:t>
      </w:r>
      <w:r>
        <w:rPr>
          <w:sz w:val="24"/>
        </w:rPr>
        <w:t>2</w:t>
      </w:r>
      <w:r>
        <w:rPr>
          <w:spacing w:val="-1"/>
          <w:sz w:val="24"/>
        </w:rPr>
        <w:t> </w:t>
      </w:r>
      <w:r>
        <w:rPr>
          <w:sz w:val="24"/>
        </w:rPr>
        <w:t>diabetes</w:t>
      </w:r>
      <w:r>
        <w:rPr>
          <w:spacing w:val="-3"/>
          <w:sz w:val="24"/>
        </w:rPr>
        <w:t> </w:t>
      </w:r>
      <w:r>
        <w:rPr>
          <w:sz w:val="24"/>
        </w:rPr>
        <w:t>mellitus</w:t>
      </w:r>
      <w:r>
        <w:rPr>
          <w:spacing w:val="-3"/>
          <w:sz w:val="24"/>
        </w:rPr>
        <w:t> </w:t>
      </w:r>
      <w:r>
        <w:rPr>
          <w:sz w:val="24"/>
        </w:rPr>
        <w:t>(the</w:t>
      </w:r>
      <w:r>
        <w:rPr>
          <w:spacing w:val="-4"/>
          <w:sz w:val="24"/>
        </w:rPr>
        <w:t> </w:t>
      </w:r>
      <w:r>
        <w:rPr>
          <w:sz w:val="24"/>
        </w:rPr>
        <w:t>FIELD</w:t>
      </w:r>
      <w:r>
        <w:rPr>
          <w:spacing w:val="-4"/>
          <w:sz w:val="24"/>
        </w:rPr>
        <w:t> </w:t>
      </w:r>
      <w:r>
        <w:rPr>
          <w:sz w:val="24"/>
        </w:rPr>
        <w:t>study): randomised controlled trial // The Lancet. 2005. Vol. 366. №. 9500. P. 1849–1861.</w:t>
      </w:r>
    </w:p>
    <w:p>
      <w:pPr>
        <w:pStyle w:val="ListParagraph"/>
        <w:numPr>
          <w:ilvl w:val="0"/>
          <w:numId w:val="25"/>
        </w:numPr>
        <w:tabs>
          <w:tab w:pos="1982" w:val="left" w:leader="none"/>
        </w:tabs>
        <w:spacing w:line="360" w:lineRule="auto" w:before="2" w:after="0"/>
        <w:ind w:left="1981" w:right="726" w:hanging="360"/>
        <w:jc w:val="left"/>
        <w:rPr>
          <w:sz w:val="24"/>
        </w:rPr>
      </w:pPr>
      <w:bookmarkStart w:name="_bookmark125" w:id="174"/>
      <w:bookmarkEnd w:id="174"/>
      <w:r>
        <w:rPr>
          <w:sz w:val="24"/>
        </w:rPr>
        <w:t>D</w:t>
      </w:r>
      <w:r>
        <w:rPr>
          <w:sz w:val="24"/>
        </w:rPr>
        <w:t>oll R. Efficacy of cholesterol-lowering therapy in 18 686 people with diabetes in 14 randomised</w:t>
      </w:r>
      <w:r>
        <w:rPr>
          <w:spacing w:val="-3"/>
          <w:sz w:val="24"/>
        </w:rPr>
        <w:t> </w:t>
      </w:r>
      <w:r>
        <w:rPr>
          <w:sz w:val="24"/>
        </w:rPr>
        <w:t>trials</w:t>
      </w:r>
      <w:r>
        <w:rPr>
          <w:spacing w:val="-3"/>
          <w:sz w:val="24"/>
        </w:rPr>
        <w:t> </w:t>
      </w:r>
      <w:r>
        <w:rPr>
          <w:sz w:val="24"/>
        </w:rPr>
        <w:t>of</w:t>
      </w:r>
      <w:r>
        <w:rPr>
          <w:spacing w:val="-4"/>
          <w:sz w:val="24"/>
        </w:rPr>
        <w:t> </w:t>
      </w:r>
      <w:r>
        <w:rPr>
          <w:sz w:val="24"/>
        </w:rPr>
        <w:t>statins:</w:t>
      </w:r>
      <w:r>
        <w:rPr>
          <w:spacing w:val="-3"/>
          <w:sz w:val="24"/>
        </w:rPr>
        <w:t> </w:t>
      </w:r>
      <w:r>
        <w:rPr>
          <w:sz w:val="24"/>
        </w:rPr>
        <w:t>a</w:t>
      </w:r>
      <w:r>
        <w:rPr>
          <w:spacing w:val="-4"/>
          <w:sz w:val="24"/>
        </w:rPr>
        <w:t> </w:t>
      </w:r>
      <w:r>
        <w:rPr>
          <w:sz w:val="24"/>
        </w:rPr>
        <w:t>meta-analysis</w:t>
      </w:r>
      <w:r>
        <w:rPr>
          <w:spacing w:val="-3"/>
          <w:sz w:val="24"/>
        </w:rPr>
        <w:t> </w:t>
      </w:r>
      <w:r>
        <w:rPr>
          <w:sz w:val="24"/>
        </w:rPr>
        <w:t>//</w:t>
      </w:r>
      <w:r>
        <w:rPr>
          <w:spacing w:val="-3"/>
          <w:sz w:val="24"/>
        </w:rPr>
        <w:t> </w:t>
      </w:r>
      <w:r>
        <w:rPr>
          <w:sz w:val="24"/>
        </w:rPr>
        <w:t>Lancet.</w:t>
      </w:r>
      <w:r>
        <w:rPr>
          <w:spacing w:val="-3"/>
          <w:sz w:val="24"/>
        </w:rPr>
        <w:t> </w:t>
      </w:r>
      <w:r>
        <w:rPr>
          <w:sz w:val="24"/>
        </w:rPr>
        <w:t>2008.</w:t>
      </w:r>
      <w:r>
        <w:rPr>
          <w:spacing w:val="-3"/>
          <w:sz w:val="24"/>
        </w:rPr>
        <w:t> </w:t>
      </w:r>
      <w:r>
        <w:rPr>
          <w:sz w:val="24"/>
        </w:rPr>
        <w:t>Vol.</w:t>
      </w:r>
      <w:r>
        <w:rPr>
          <w:spacing w:val="-3"/>
          <w:sz w:val="24"/>
        </w:rPr>
        <w:t> </w:t>
      </w:r>
      <w:r>
        <w:rPr>
          <w:sz w:val="24"/>
        </w:rPr>
        <w:t>371.</w:t>
      </w:r>
      <w:r>
        <w:rPr>
          <w:spacing w:val="-3"/>
          <w:sz w:val="24"/>
        </w:rPr>
        <w:t> </w:t>
      </w:r>
      <w:r>
        <w:rPr>
          <w:sz w:val="24"/>
        </w:rPr>
        <w:t>№.</w:t>
      </w:r>
      <w:r>
        <w:rPr>
          <w:spacing w:val="-3"/>
          <w:sz w:val="24"/>
        </w:rPr>
        <w:t> </w:t>
      </w:r>
      <w:r>
        <w:rPr>
          <w:sz w:val="24"/>
        </w:rPr>
        <w:t>9607.</w:t>
      </w:r>
      <w:r>
        <w:rPr>
          <w:spacing w:val="-3"/>
          <w:sz w:val="24"/>
        </w:rPr>
        <w:t> </w:t>
      </w:r>
      <w:r>
        <w:rPr>
          <w:sz w:val="24"/>
        </w:rPr>
        <w:t>P.</w:t>
      </w:r>
      <w:r>
        <w:rPr>
          <w:spacing w:val="-3"/>
          <w:sz w:val="24"/>
        </w:rPr>
        <w:t> </w:t>
      </w:r>
      <w:r>
        <w:rPr>
          <w:sz w:val="24"/>
        </w:rPr>
        <w:t>117– </w:t>
      </w:r>
      <w:r>
        <w:rPr>
          <w:spacing w:val="-4"/>
          <w:sz w:val="24"/>
        </w:rPr>
        <w:t>125.</w:t>
      </w:r>
    </w:p>
    <w:p>
      <w:pPr>
        <w:pStyle w:val="ListParagraph"/>
        <w:numPr>
          <w:ilvl w:val="0"/>
          <w:numId w:val="25"/>
        </w:numPr>
        <w:tabs>
          <w:tab w:pos="1982" w:val="left" w:leader="none"/>
        </w:tabs>
        <w:spacing w:line="360" w:lineRule="auto" w:before="0" w:after="0"/>
        <w:ind w:left="1981" w:right="665" w:hanging="360"/>
        <w:jc w:val="left"/>
        <w:rPr>
          <w:sz w:val="24"/>
        </w:rPr>
      </w:pPr>
      <w:bookmarkStart w:name="_bookmark126" w:id="175"/>
      <w:bookmarkEnd w:id="175"/>
      <w:r>
        <w:rPr>
          <w:sz w:val="24"/>
        </w:rPr>
        <w:t>N</w:t>
      </w:r>
      <w:r>
        <w:rPr>
          <w:sz w:val="24"/>
        </w:rPr>
        <w:t>icholls SJ et al. Effect of diabetes on progression of coronary atherosclerosis and arterial</w:t>
      </w:r>
      <w:r>
        <w:rPr>
          <w:spacing w:val="-3"/>
          <w:sz w:val="24"/>
        </w:rPr>
        <w:t> </w:t>
      </w:r>
      <w:r>
        <w:rPr>
          <w:sz w:val="24"/>
        </w:rPr>
        <w:t>remodeling:</w:t>
      </w:r>
      <w:r>
        <w:rPr>
          <w:spacing w:val="-3"/>
          <w:sz w:val="24"/>
        </w:rPr>
        <w:t> </w:t>
      </w:r>
      <w:r>
        <w:rPr>
          <w:sz w:val="24"/>
        </w:rPr>
        <w:t>a</w:t>
      </w:r>
      <w:r>
        <w:rPr>
          <w:spacing w:val="-4"/>
          <w:sz w:val="24"/>
        </w:rPr>
        <w:t> </w:t>
      </w:r>
      <w:r>
        <w:rPr>
          <w:sz w:val="24"/>
        </w:rPr>
        <w:t>pooled</w:t>
      </w:r>
      <w:r>
        <w:rPr>
          <w:spacing w:val="-3"/>
          <w:sz w:val="24"/>
        </w:rPr>
        <w:t> </w:t>
      </w:r>
      <w:r>
        <w:rPr>
          <w:sz w:val="24"/>
        </w:rPr>
        <w:t>analysis</w:t>
      </w:r>
      <w:r>
        <w:rPr>
          <w:spacing w:val="-3"/>
          <w:sz w:val="24"/>
        </w:rPr>
        <w:t> </w:t>
      </w:r>
      <w:r>
        <w:rPr>
          <w:sz w:val="24"/>
        </w:rPr>
        <w:t>of</w:t>
      </w:r>
      <w:r>
        <w:rPr>
          <w:spacing w:val="-4"/>
          <w:sz w:val="24"/>
        </w:rPr>
        <w:t> </w:t>
      </w:r>
      <w:r>
        <w:rPr>
          <w:sz w:val="24"/>
        </w:rPr>
        <w:t>5</w:t>
      </w:r>
      <w:r>
        <w:rPr>
          <w:spacing w:val="-3"/>
          <w:sz w:val="24"/>
        </w:rPr>
        <w:t> </w:t>
      </w:r>
      <w:r>
        <w:rPr>
          <w:sz w:val="24"/>
        </w:rPr>
        <w:t>intravascular</w:t>
      </w:r>
      <w:r>
        <w:rPr>
          <w:spacing w:val="-4"/>
          <w:sz w:val="24"/>
        </w:rPr>
        <w:t> </w:t>
      </w:r>
      <w:r>
        <w:rPr>
          <w:sz w:val="24"/>
        </w:rPr>
        <w:t>ultrasound</w:t>
      </w:r>
      <w:r>
        <w:rPr>
          <w:spacing w:val="-3"/>
          <w:sz w:val="24"/>
        </w:rPr>
        <w:t> </w:t>
      </w:r>
      <w:r>
        <w:rPr>
          <w:sz w:val="24"/>
        </w:rPr>
        <w:t>trials</w:t>
      </w:r>
      <w:r>
        <w:rPr>
          <w:spacing w:val="-3"/>
          <w:sz w:val="24"/>
        </w:rPr>
        <w:t> </w:t>
      </w:r>
      <w:r>
        <w:rPr>
          <w:sz w:val="24"/>
        </w:rPr>
        <w:t>//</w:t>
      </w:r>
      <w:r>
        <w:rPr>
          <w:spacing w:val="-1"/>
          <w:sz w:val="24"/>
        </w:rPr>
        <w:t> </w:t>
      </w:r>
      <w:r>
        <w:rPr>
          <w:sz w:val="24"/>
        </w:rPr>
        <w:t>Journal</w:t>
      </w:r>
      <w:r>
        <w:rPr>
          <w:spacing w:val="-3"/>
          <w:sz w:val="24"/>
        </w:rPr>
        <w:t> </w:t>
      </w:r>
      <w:r>
        <w:rPr>
          <w:sz w:val="24"/>
        </w:rPr>
        <w:t>of</w:t>
      </w:r>
      <w:r>
        <w:rPr>
          <w:spacing w:val="-4"/>
          <w:sz w:val="24"/>
        </w:rPr>
        <w:t> </w:t>
      </w:r>
      <w:r>
        <w:rPr>
          <w:sz w:val="24"/>
        </w:rPr>
        <w:t>the American College of Cardiology. 2008. Vol. 52. №. 4. P. 255–262.</w:t>
      </w:r>
    </w:p>
    <w:p>
      <w:pPr>
        <w:pStyle w:val="ListParagraph"/>
        <w:numPr>
          <w:ilvl w:val="0"/>
          <w:numId w:val="25"/>
        </w:numPr>
        <w:tabs>
          <w:tab w:pos="1982" w:val="left" w:leader="none"/>
        </w:tabs>
        <w:spacing w:line="360" w:lineRule="auto" w:before="0" w:after="0"/>
        <w:ind w:left="1981" w:right="847" w:hanging="360"/>
        <w:jc w:val="left"/>
        <w:rPr>
          <w:sz w:val="24"/>
        </w:rPr>
      </w:pPr>
      <w:bookmarkStart w:name="_bookmark127" w:id="176"/>
      <w:bookmarkEnd w:id="176"/>
      <w:r>
        <w:rPr>
          <w:sz w:val="24"/>
        </w:rPr>
        <w:t>L</w:t>
      </w:r>
      <w:r>
        <w:rPr>
          <w:sz w:val="24"/>
        </w:rPr>
        <w:t>aing</w:t>
      </w:r>
      <w:r>
        <w:rPr>
          <w:spacing w:val="-2"/>
          <w:sz w:val="24"/>
        </w:rPr>
        <w:t> </w:t>
      </w:r>
      <w:r>
        <w:rPr>
          <w:sz w:val="24"/>
        </w:rPr>
        <w:t>SP</w:t>
      </w:r>
      <w:r>
        <w:rPr>
          <w:spacing w:val="-2"/>
          <w:sz w:val="24"/>
        </w:rPr>
        <w:t> </w:t>
      </w:r>
      <w:r>
        <w:rPr>
          <w:sz w:val="24"/>
        </w:rPr>
        <w:t>et</w:t>
      </w:r>
      <w:r>
        <w:rPr>
          <w:spacing w:val="-2"/>
          <w:sz w:val="24"/>
        </w:rPr>
        <w:t> </w:t>
      </w:r>
      <w:r>
        <w:rPr>
          <w:sz w:val="24"/>
        </w:rPr>
        <w:t>al.</w:t>
      </w:r>
      <w:r>
        <w:rPr>
          <w:spacing w:val="-2"/>
          <w:sz w:val="24"/>
        </w:rPr>
        <w:t> </w:t>
      </w:r>
      <w:r>
        <w:rPr>
          <w:sz w:val="24"/>
        </w:rPr>
        <w:t>Mortality</w:t>
      </w:r>
      <w:r>
        <w:rPr>
          <w:spacing w:val="-2"/>
          <w:sz w:val="24"/>
        </w:rPr>
        <w:t> </w:t>
      </w:r>
      <w:r>
        <w:rPr>
          <w:sz w:val="24"/>
        </w:rPr>
        <w:t>from</w:t>
      </w:r>
      <w:r>
        <w:rPr>
          <w:spacing w:val="-2"/>
          <w:sz w:val="24"/>
        </w:rPr>
        <w:t> </w:t>
      </w:r>
      <w:r>
        <w:rPr>
          <w:sz w:val="24"/>
        </w:rPr>
        <w:t>heart</w:t>
      </w:r>
      <w:r>
        <w:rPr>
          <w:spacing w:val="-2"/>
          <w:sz w:val="24"/>
        </w:rPr>
        <w:t> </w:t>
      </w:r>
      <w:r>
        <w:rPr>
          <w:sz w:val="24"/>
        </w:rPr>
        <w:t>disease</w:t>
      </w:r>
      <w:r>
        <w:rPr>
          <w:spacing w:val="-3"/>
          <w:sz w:val="24"/>
        </w:rPr>
        <w:t> </w:t>
      </w:r>
      <w:r>
        <w:rPr>
          <w:sz w:val="24"/>
        </w:rPr>
        <w:t>in</w:t>
      </w:r>
      <w:r>
        <w:rPr>
          <w:spacing w:val="-2"/>
          <w:sz w:val="24"/>
        </w:rPr>
        <w:t> </w:t>
      </w:r>
      <w:r>
        <w:rPr>
          <w:sz w:val="24"/>
        </w:rPr>
        <w:t>a</w:t>
      </w:r>
      <w:r>
        <w:rPr>
          <w:spacing w:val="-1"/>
          <w:sz w:val="24"/>
        </w:rPr>
        <w:t> </w:t>
      </w:r>
      <w:r>
        <w:rPr>
          <w:sz w:val="24"/>
        </w:rPr>
        <w:t>cohort</w:t>
      </w:r>
      <w:r>
        <w:rPr>
          <w:spacing w:val="-2"/>
          <w:sz w:val="24"/>
        </w:rPr>
        <w:t> </w:t>
      </w:r>
      <w:r>
        <w:rPr>
          <w:sz w:val="24"/>
        </w:rPr>
        <w:t>of</w:t>
      </w:r>
      <w:r>
        <w:rPr>
          <w:spacing w:val="-3"/>
          <w:sz w:val="24"/>
        </w:rPr>
        <w:t> </w:t>
      </w:r>
      <w:r>
        <w:rPr>
          <w:sz w:val="24"/>
        </w:rPr>
        <w:t>23,000</w:t>
      </w:r>
      <w:r>
        <w:rPr>
          <w:spacing w:val="-2"/>
          <w:sz w:val="24"/>
        </w:rPr>
        <w:t> </w:t>
      </w:r>
      <w:r>
        <w:rPr>
          <w:sz w:val="24"/>
        </w:rPr>
        <w:t>patients</w:t>
      </w:r>
      <w:r>
        <w:rPr>
          <w:spacing w:val="-2"/>
          <w:sz w:val="24"/>
        </w:rPr>
        <w:t> </w:t>
      </w:r>
      <w:r>
        <w:rPr>
          <w:sz w:val="24"/>
        </w:rPr>
        <w:t>with</w:t>
      </w:r>
      <w:r>
        <w:rPr>
          <w:spacing w:val="-2"/>
          <w:sz w:val="24"/>
        </w:rPr>
        <w:t> </w:t>
      </w:r>
      <w:r>
        <w:rPr>
          <w:sz w:val="24"/>
        </w:rPr>
        <w:t>insulin- treated diabetes //Diabetologia. 2003. Vol. 46. №. 6. P. 760–765.</w:t>
      </w:r>
    </w:p>
    <w:p>
      <w:pPr>
        <w:pStyle w:val="ListParagraph"/>
        <w:numPr>
          <w:ilvl w:val="0"/>
          <w:numId w:val="25"/>
        </w:numPr>
        <w:tabs>
          <w:tab w:pos="1982" w:val="left" w:leader="none"/>
        </w:tabs>
        <w:spacing w:line="360" w:lineRule="auto" w:before="0" w:after="0"/>
        <w:ind w:left="1981" w:right="572" w:hanging="360"/>
        <w:jc w:val="left"/>
        <w:rPr>
          <w:sz w:val="24"/>
        </w:rPr>
      </w:pPr>
      <w:bookmarkStart w:name="_bookmark128" w:id="177"/>
      <w:bookmarkEnd w:id="177"/>
      <w:r>
        <w:rPr>
          <w:sz w:val="24"/>
        </w:rPr>
        <w:t>G</w:t>
      </w:r>
      <w:r>
        <w:rPr>
          <w:sz w:val="24"/>
        </w:rPr>
        <w:t>iugliano RP et al. Benefit of adding ezetimibe to statin therapy on cardiovascular outcomes and safety in patients with versus without diabetes mellitus: results from IMPROVE-IT</w:t>
      </w:r>
      <w:r>
        <w:rPr>
          <w:spacing w:val="-5"/>
          <w:sz w:val="24"/>
        </w:rPr>
        <w:t> </w:t>
      </w:r>
      <w:r>
        <w:rPr>
          <w:sz w:val="24"/>
        </w:rPr>
        <w:t>(Improved</w:t>
      </w:r>
      <w:r>
        <w:rPr>
          <w:spacing w:val="-4"/>
          <w:sz w:val="24"/>
        </w:rPr>
        <w:t> </w:t>
      </w:r>
      <w:r>
        <w:rPr>
          <w:sz w:val="24"/>
        </w:rPr>
        <w:t>Reduction</w:t>
      </w:r>
      <w:r>
        <w:rPr>
          <w:spacing w:val="-4"/>
          <w:sz w:val="24"/>
        </w:rPr>
        <w:t> </w:t>
      </w:r>
      <w:r>
        <w:rPr>
          <w:sz w:val="24"/>
        </w:rPr>
        <w:t>of</w:t>
      </w:r>
      <w:r>
        <w:rPr>
          <w:spacing w:val="-5"/>
          <w:sz w:val="24"/>
        </w:rPr>
        <w:t> </w:t>
      </w:r>
      <w:r>
        <w:rPr>
          <w:sz w:val="24"/>
        </w:rPr>
        <w:t>Outcomes:</w:t>
      </w:r>
      <w:r>
        <w:rPr>
          <w:spacing w:val="-4"/>
          <w:sz w:val="24"/>
        </w:rPr>
        <w:t> </w:t>
      </w:r>
      <w:r>
        <w:rPr>
          <w:sz w:val="24"/>
        </w:rPr>
        <w:t>Vytorin</w:t>
      </w:r>
      <w:r>
        <w:rPr>
          <w:spacing w:val="-4"/>
          <w:sz w:val="24"/>
        </w:rPr>
        <w:t> </w:t>
      </w:r>
      <w:r>
        <w:rPr>
          <w:sz w:val="24"/>
        </w:rPr>
        <w:t>Efficacy</w:t>
      </w:r>
      <w:r>
        <w:rPr>
          <w:spacing w:val="-2"/>
          <w:sz w:val="24"/>
        </w:rPr>
        <w:t> </w:t>
      </w:r>
      <w:r>
        <w:rPr>
          <w:sz w:val="24"/>
        </w:rPr>
        <w:t>International</w:t>
      </w:r>
      <w:r>
        <w:rPr>
          <w:spacing w:val="-4"/>
          <w:sz w:val="24"/>
        </w:rPr>
        <w:t> </w:t>
      </w:r>
      <w:r>
        <w:rPr>
          <w:sz w:val="24"/>
        </w:rPr>
        <w:t>Trial)</w:t>
      </w:r>
      <w:r>
        <w:rPr>
          <w:spacing w:val="-5"/>
          <w:sz w:val="24"/>
        </w:rPr>
        <w:t> </w:t>
      </w:r>
      <w:r>
        <w:rPr>
          <w:sz w:val="24"/>
        </w:rPr>
        <w:t>// Circulation. 2018. Vol. 137. №. 15. P. 1571–1582.</w:t>
      </w:r>
    </w:p>
    <w:p>
      <w:pPr>
        <w:pStyle w:val="ListParagraph"/>
        <w:numPr>
          <w:ilvl w:val="0"/>
          <w:numId w:val="25"/>
        </w:numPr>
        <w:tabs>
          <w:tab w:pos="1982" w:val="left" w:leader="none"/>
        </w:tabs>
        <w:spacing w:line="360" w:lineRule="auto" w:before="0" w:after="0"/>
        <w:ind w:left="1981" w:right="786" w:hanging="360"/>
        <w:jc w:val="left"/>
        <w:rPr>
          <w:sz w:val="24"/>
        </w:rPr>
      </w:pPr>
      <w:bookmarkStart w:name="_bookmark129" w:id="178"/>
      <w:bookmarkEnd w:id="178"/>
      <w:r>
        <w:rPr>
          <w:sz w:val="24"/>
        </w:rPr>
        <w:t>Z</w:t>
      </w:r>
      <w:r>
        <w:rPr>
          <w:sz w:val="24"/>
        </w:rPr>
        <w:t>inman B, Wanner C, Lachin JM et al. Empagliflozin, Cardiovascular Outcomes, and Mortality</w:t>
      </w:r>
      <w:r>
        <w:rPr>
          <w:spacing w:val="-3"/>
          <w:sz w:val="24"/>
        </w:rPr>
        <w:t> </w:t>
      </w:r>
      <w:r>
        <w:rPr>
          <w:sz w:val="24"/>
        </w:rPr>
        <w:t>in</w:t>
      </w:r>
      <w:r>
        <w:rPr>
          <w:spacing w:val="-3"/>
          <w:sz w:val="24"/>
        </w:rPr>
        <w:t> </w:t>
      </w:r>
      <w:r>
        <w:rPr>
          <w:sz w:val="24"/>
        </w:rPr>
        <w:t>Type</w:t>
      </w:r>
      <w:r>
        <w:rPr>
          <w:spacing w:val="-4"/>
          <w:sz w:val="24"/>
        </w:rPr>
        <w:t> </w:t>
      </w:r>
      <w:r>
        <w:rPr>
          <w:sz w:val="24"/>
        </w:rPr>
        <w:t>2</w:t>
      </w:r>
      <w:r>
        <w:rPr>
          <w:spacing w:val="-3"/>
          <w:sz w:val="24"/>
        </w:rPr>
        <w:t> </w:t>
      </w:r>
      <w:r>
        <w:rPr>
          <w:sz w:val="24"/>
        </w:rPr>
        <w:t>Diabetes.</w:t>
      </w:r>
      <w:r>
        <w:rPr>
          <w:spacing w:val="-3"/>
          <w:sz w:val="24"/>
        </w:rPr>
        <w:t> </w:t>
      </w:r>
      <w:r>
        <w:rPr>
          <w:sz w:val="24"/>
        </w:rPr>
        <w:t>New</w:t>
      </w:r>
      <w:r>
        <w:rPr>
          <w:spacing w:val="-4"/>
          <w:sz w:val="24"/>
        </w:rPr>
        <w:t> </w:t>
      </w:r>
      <w:r>
        <w:rPr>
          <w:sz w:val="24"/>
        </w:rPr>
        <w:t>England</w:t>
      </w:r>
      <w:r>
        <w:rPr>
          <w:spacing w:val="-3"/>
          <w:sz w:val="24"/>
        </w:rPr>
        <w:t> </w:t>
      </w:r>
      <w:r>
        <w:rPr>
          <w:sz w:val="24"/>
        </w:rPr>
        <w:t>Journal</w:t>
      </w:r>
      <w:r>
        <w:rPr>
          <w:spacing w:val="-3"/>
          <w:sz w:val="24"/>
        </w:rPr>
        <w:t> </w:t>
      </w:r>
      <w:r>
        <w:rPr>
          <w:sz w:val="24"/>
        </w:rPr>
        <w:t>of</w:t>
      </w:r>
      <w:r>
        <w:rPr>
          <w:spacing w:val="-4"/>
          <w:sz w:val="24"/>
        </w:rPr>
        <w:t> </w:t>
      </w:r>
      <w:r>
        <w:rPr>
          <w:sz w:val="24"/>
        </w:rPr>
        <w:t>Medicine.</w:t>
      </w:r>
      <w:r>
        <w:rPr>
          <w:spacing w:val="-3"/>
          <w:sz w:val="24"/>
        </w:rPr>
        <w:t> </w:t>
      </w:r>
      <w:r>
        <w:rPr>
          <w:sz w:val="24"/>
        </w:rPr>
        <w:t>2015.</w:t>
      </w:r>
      <w:r>
        <w:rPr>
          <w:spacing w:val="-3"/>
          <w:sz w:val="24"/>
        </w:rPr>
        <w:t> </w:t>
      </w:r>
      <w:r>
        <w:rPr>
          <w:sz w:val="24"/>
        </w:rPr>
        <w:t>373(22):</w:t>
      </w:r>
      <w:r>
        <w:rPr>
          <w:spacing w:val="-3"/>
          <w:sz w:val="24"/>
        </w:rPr>
        <w:t> </w:t>
      </w:r>
      <w:r>
        <w:rPr>
          <w:sz w:val="24"/>
        </w:rPr>
        <w:t>2117–</w:t>
      </w:r>
    </w:p>
    <w:p>
      <w:pPr>
        <w:pStyle w:val="BodyText"/>
      </w:pPr>
      <w:r>
        <w:rPr>
          <w:spacing w:val="-2"/>
        </w:rPr>
        <w:t>2128.</w:t>
      </w:r>
    </w:p>
    <w:p>
      <w:pPr>
        <w:pStyle w:val="ListParagraph"/>
        <w:numPr>
          <w:ilvl w:val="0"/>
          <w:numId w:val="25"/>
        </w:numPr>
        <w:tabs>
          <w:tab w:pos="1982" w:val="left" w:leader="none"/>
        </w:tabs>
        <w:spacing w:line="360" w:lineRule="auto" w:before="137" w:after="0"/>
        <w:ind w:left="1981" w:right="1372" w:hanging="360"/>
        <w:jc w:val="left"/>
        <w:rPr>
          <w:sz w:val="24"/>
        </w:rPr>
      </w:pPr>
      <w:bookmarkStart w:name="_bookmark130" w:id="179"/>
      <w:bookmarkEnd w:id="179"/>
      <w:r>
        <w:rPr>
          <w:sz w:val="24"/>
        </w:rPr>
        <w:t>M</w:t>
      </w:r>
      <w:r>
        <w:rPr>
          <w:sz w:val="24"/>
        </w:rPr>
        <w:t>arso</w:t>
      </w:r>
      <w:r>
        <w:rPr>
          <w:spacing w:val="-3"/>
          <w:sz w:val="24"/>
        </w:rPr>
        <w:t> </w:t>
      </w:r>
      <w:r>
        <w:rPr>
          <w:sz w:val="24"/>
        </w:rPr>
        <w:t>SP</w:t>
      </w:r>
      <w:r>
        <w:rPr>
          <w:spacing w:val="-3"/>
          <w:sz w:val="24"/>
        </w:rPr>
        <w:t> </w:t>
      </w:r>
      <w:r>
        <w:rPr>
          <w:sz w:val="24"/>
        </w:rPr>
        <w:t>et</w:t>
      </w:r>
      <w:r>
        <w:rPr>
          <w:spacing w:val="-3"/>
          <w:sz w:val="24"/>
        </w:rPr>
        <w:t> </w:t>
      </w:r>
      <w:r>
        <w:rPr>
          <w:sz w:val="24"/>
        </w:rPr>
        <w:t>al.</w:t>
      </w:r>
      <w:r>
        <w:rPr>
          <w:spacing w:val="-3"/>
          <w:sz w:val="24"/>
        </w:rPr>
        <w:t> </w:t>
      </w:r>
      <w:r>
        <w:rPr>
          <w:sz w:val="24"/>
        </w:rPr>
        <w:t>Liraglutide</w:t>
      </w:r>
      <w:r>
        <w:rPr>
          <w:spacing w:val="-4"/>
          <w:sz w:val="24"/>
        </w:rPr>
        <w:t> </w:t>
      </w:r>
      <w:r>
        <w:rPr>
          <w:sz w:val="24"/>
        </w:rPr>
        <w:t>and</w:t>
      </w:r>
      <w:r>
        <w:rPr>
          <w:spacing w:val="-3"/>
          <w:sz w:val="24"/>
        </w:rPr>
        <w:t> </w:t>
      </w:r>
      <w:r>
        <w:rPr>
          <w:sz w:val="24"/>
        </w:rPr>
        <w:t>cardiovascular</w:t>
      </w:r>
      <w:r>
        <w:rPr>
          <w:spacing w:val="-4"/>
          <w:sz w:val="24"/>
        </w:rPr>
        <w:t> </w:t>
      </w:r>
      <w:r>
        <w:rPr>
          <w:sz w:val="24"/>
        </w:rPr>
        <w:t>outcomes</w:t>
      </w:r>
      <w:r>
        <w:rPr>
          <w:spacing w:val="-3"/>
          <w:sz w:val="24"/>
        </w:rPr>
        <w:t> </w:t>
      </w:r>
      <w:r>
        <w:rPr>
          <w:sz w:val="24"/>
        </w:rPr>
        <w:t>in</w:t>
      </w:r>
      <w:r>
        <w:rPr>
          <w:spacing w:val="-3"/>
          <w:sz w:val="24"/>
        </w:rPr>
        <w:t> </w:t>
      </w:r>
      <w:r>
        <w:rPr>
          <w:sz w:val="24"/>
        </w:rPr>
        <w:t>type</w:t>
      </w:r>
      <w:r>
        <w:rPr>
          <w:spacing w:val="-4"/>
          <w:sz w:val="24"/>
        </w:rPr>
        <w:t> </w:t>
      </w:r>
      <w:r>
        <w:rPr>
          <w:sz w:val="24"/>
        </w:rPr>
        <w:t>2</w:t>
      </w:r>
      <w:r>
        <w:rPr>
          <w:spacing w:val="-3"/>
          <w:sz w:val="24"/>
        </w:rPr>
        <w:t> </w:t>
      </w:r>
      <w:r>
        <w:rPr>
          <w:sz w:val="24"/>
        </w:rPr>
        <w:t>diabetes</w:t>
      </w:r>
      <w:r>
        <w:rPr>
          <w:spacing w:val="-1"/>
          <w:sz w:val="24"/>
        </w:rPr>
        <w:t> </w:t>
      </w:r>
      <w:r>
        <w:rPr>
          <w:sz w:val="24"/>
        </w:rPr>
        <w:t>//New England Journal of Medicine. 2016. Vol. 375. № 4. P. 311–322.</w:t>
      </w:r>
    </w:p>
    <w:p>
      <w:pPr>
        <w:pStyle w:val="ListParagraph"/>
        <w:numPr>
          <w:ilvl w:val="0"/>
          <w:numId w:val="25"/>
        </w:numPr>
        <w:tabs>
          <w:tab w:pos="1982" w:val="left" w:leader="none"/>
        </w:tabs>
        <w:spacing w:line="240" w:lineRule="auto" w:before="0" w:after="0"/>
        <w:ind w:left="1981" w:right="0" w:hanging="361"/>
        <w:jc w:val="left"/>
        <w:rPr>
          <w:sz w:val="24"/>
        </w:rPr>
      </w:pPr>
      <w:bookmarkStart w:name="_bookmark131" w:id="180"/>
      <w:bookmarkEnd w:id="180"/>
      <w:r>
        <w:rPr>
          <w:sz w:val="24"/>
        </w:rPr>
        <w:t>M</w:t>
      </w:r>
      <w:r>
        <w:rPr>
          <w:sz w:val="24"/>
        </w:rPr>
        <w:t>arso</w:t>
      </w:r>
      <w:r>
        <w:rPr>
          <w:spacing w:val="-3"/>
          <w:sz w:val="24"/>
        </w:rPr>
        <w:t> </w:t>
      </w:r>
      <w:r>
        <w:rPr>
          <w:sz w:val="24"/>
        </w:rPr>
        <w:t>SP</w:t>
      </w:r>
      <w:r>
        <w:rPr>
          <w:spacing w:val="-1"/>
          <w:sz w:val="24"/>
        </w:rPr>
        <w:t> </w:t>
      </w:r>
      <w:r>
        <w:rPr>
          <w:sz w:val="24"/>
        </w:rPr>
        <w:t>et</w:t>
      </w:r>
      <w:r>
        <w:rPr>
          <w:spacing w:val="-1"/>
          <w:sz w:val="24"/>
        </w:rPr>
        <w:t> </w:t>
      </w:r>
      <w:r>
        <w:rPr>
          <w:sz w:val="24"/>
        </w:rPr>
        <w:t>al.</w:t>
      </w:r>
      <w:r>
        <w:rPr>
          <w:spacing w:val="-1"/>
          <w:sz w:val="24"/>
        </w:rPr>
        <w:t> </w:t>
      </w:r>
      <w:r>
        <w:rPr>
          <w:sz w:val="24"/>
        </w:rPr>
        <w:t>Semaglutide</w:t>
      </w:r>
      <w:r>
        <w:rPr>
          <w:spacing w:val="-2"/>
          <w:sz w:val="24"/>
        </w:rPr>
        <w:t> </w:t>
      </w:r>
      <w:r>
        <w:rPr>
          <w:sz w:val="24"/>
        </w:rPr>
        <w:t>and</w:t>
      </w:r>
      <w:r>
        <w:rPr>
          <w:spacing w:val="-1"/>
          <w:sz w:val="24"/>
        </w:rPr>
        <w:t> </w:t>
      </w:r>
      <w:r>
        <w:rPr>
          <w:sz w:val="24"/>
        </w:rPr>
        <w:t>cardiovascular</w:t>
      </w:r>
      <w:r>
        <w:rPr>
          <w:spacing w:val="-2"/>
          <w:sz w:val="24"/>
        </w:rPr>
        <w:t> </w:t>
      </w:r>
      <w:r>
        <w:rPr>
          <w:sz w:val="24"/>
        </w:rPr>
        <w:t>outcomes</w:t>
      </w:r>
      <w:r>
        <w:rPr>
          <w:spacing w:val="-1"/>
          <w:sz w:val="24"/>
        </w:rPr>
        <w:t> </w:t>
      </w:r>
      <w:r>
        <w:rPr>
          <w:sz w:val="24"/>
        </w:rPr>
        <w:t>in</w:t>
      </w:r>
      <w:r>
        <w:rPr>
          <w:spacing w:val="-1"/>
          <w:sz w:val="24"/>
        </w:rPr>
        <w:t> </w:t>
      </w:r>
      <w:r>
        <w:rPr>
          <w:sz w:val="24"/>
        </w:rPr>
        <w:t>patients</w:t>
      </w:r>
      <w:r>
        <w:rPr>
          <w:spacing w:val="-1"/>
          <w:sz w:val="24"/>
        </w:rPr>
        <w:t> </w:t>
      </w:r>
      <w:r>
        <w:rPr>
          <w:sz w:val="24"/>
        </w:rPr>
        <w:t>with</w:t>
      </w:r>
      <w:r>
        <w:rPr>
          <w:spacing w:val="-1"/>
          <w:sz w:val="24"/>
        </w:rPr>
        <w:t> </w:t>
      </w:r>
      <w:r>
        <w:rPr>
          <w:sz w:val="24"/>
        </w:rPr>
        <w:t>type</w:t>
      </w:r>
      <w:r>
        <w:rPr>
          <w:spacing w:val="-2"/>
          <w:sz w:val="24"/>
        </w:rPr>
        <w:t> </w:t>
      </w:r>
      <w:r>
        <w:rPr>
          <w:sz w:val="24"/>
        </w:rPr>
        <w:t>2 </w:t>
      </w:r>
      <w:r>
        <w:rPr>
          <w:spacing w:val="-2"/>
          <w:sz w:val="24"/>
        </w:rPr>
        <w:t>diabetes</w:t>
      </w:r>
    </w:p>
    <w:p>
      <w:pPr>
        <w:pStyle w:val="BodyText"/>
        <w:spacing w:before="139"/>
      </w:pPr>
      <w:r>
        <w:rPr/>
        <w:t>//N</w:t>
      </w:r>
      <w:r>
        <w:rPr>
          <w:spacing w:val="-2"/>
        </w:rPr>
        <w:t> </w:t>
      </w:r>
      <w:r>
        <w:rPr/>
        <w:t>Engl J</w:t>
      </w:r>
      <w:r>
        <w:rPr>
          <w:spacing w:val="-1"/>
        </w:rPr>
        <w:t> </w:t>
      </w:r>
      <w:r>
        <w:rPr/>
        <w:t>Med. 2016. Vol.</w:t>
      </w:r>
      <w:r>
        <w:rPr>
          <w:spacing w:val="-1"/>
        </w:rPr>
        <w:t> </w:t>
      </w:r>
      <w:r>
        <w:rPr/>
        <w:t>375. P. </w:t>
      </w:r>
      <w:r>
        <w:rPr>
          <w:spacing w:val="-2"/>
        </w:rPr>
        <w:t>1834–1844.</w:t>
      </w:r>
    </w:p>
    <w:p>
      <w:pPr>
        <w:pStyle w:val="ListParagraph"/>
        <w:numPr>
          <w:ilvl w:val="0"/>
          <w:numId w:val="25"/>
        </w:numPr>
        <w:tabs>
          <w:tab w:pos="1982" w:val="left" w:leader="none"/>
        </w:tabs>
        <w:spacing w:line="360" w:lineRule="auto" w:before="137" w:after="0"/>
        <w:ind w:left="1981" w:right="978" w:hanging="360"/>
        <w:jc w:val="left"/>
        <w:rPr>
          <w:sz w:val="24"/>
        </w:rPr>
      </w:pPr>
      <w:bookmarkStart w:name="_bookmark132" w:id="181"/>
      <w:bookmarkEnd w:id="181"/>
      <w:r>
        <w:rPr>
          <w:sz w:val="24"/>
        </w:rPr>
        <w:t>M</w:t>
      </w:r>
      <w:r>
        <w:rPr>
          <w:sz w:val="24"/>
        </w:rPr>
        <w:t>cGuire DK et al. Association of SGLT2 inhibitors with cardiovascular and kidney outcomes</w:t>
      </w:r>
      <w:r>
        <w:rPr>
          <w:spacing w:val="-3"/>
          <w:sz w:val="24"/>
        </w:rPr>
        <w:t> </w:t>
      </w:r>
      <w:r>
        <w:rPr>
          <w:sz w:val="24"/>
        </w:rPr>
        <w:t>in</w:t>
      </w:r>
      <w:r>
        <w:rPr>
          <w:spacing w:val="-3"/>
          <w:sz w:val="24"/>
        </w:rPr>
        <w:t> </w:t>
      </w:r>
      <w:r>
        <w:rPr>
          <w:sz w:val="24"/>
        </w:rPr>
        <w:t>patients</w:t>
      </w:r>
      <w:r>
        <w:rPr>
          <w:spacing w:val="-3"/>
          <w:sz w:val="24"/>
        </w:rPr>
        <w:t> </w:t>
      </w:r>
      <w:r>
        <w:rPr>
          <w:sz w:val="24"/>
        </w:rPr>
        <w:t>with</w:t>
      </w:r>
      <w:r>
        <w:rPr>
          <w:spacing w:val="-3"/>
          <w:sz w:val="24"/>
        </w:rPr>
        <w:t> </w:t>
      </w:r>
      <w:r>
        <w:rPr>
          <w:sz w:val="24"/>
        </w:rPr>
        <w:t>type</w:t>
      </w:r>
      <w:r>
        <w:rPr>
          <w:spacing w:val="-4"/>
          <w:sz w:val="24"/>
        </w:rPr>
        <w:t> </w:t>
      </w:r>
      <w:r>
        <w:rPr>
          <w:sz w:val="24"/>
        </w:rPr>
        <w:t>2</w:t>
      </w:r>
      <w:r>
        <w:rPr>
          <w:spacing w:val="-3"/>
          <w:sz w:val="24"/>
        </w:rPr>
        <w:t> </w:t>
      </w:r>
      <w:r>
        <w:rPr>
          <w:sz w:val="24"/>
        </w:rPr>
        <w:t>diabetes:</w:t>
      </w:r>
      <w:r>
        <w:rPr>
          <w:spacing w:val="-3"/>
          <w:sz w:val="24"/>
        </w:rPr>
        <w:t> </w:t>
      </w:r>
      <w:r>
        <w:rPr>
          <w:sz w:val="24"/>
        </w:rPr>
        <w:t>a</w:t>
      </w:r>
      <w:r>
        <w:rPr>
          <w:spacing w:val="-4"/>
          <w:sz w:val="24"/>
        </w:rPr>
        <w:t> </w:t>
      </w:r>
      <w:r>
        <w:rPr>
          <w:sz w:val="24"/>
        </w:rPr>
        <w:t>meta-analysis</w:t>
      </w:r>
      <w:r>
        <w:rPr>
          <w:spacing w:val="-3"/>
          <w:sz w:val="24"/>
        </w:rPr>
        <w:t> </w:t>
      </w:r>
      <w:r>
        <w:rPr>
          <w:sz w:val="24"/>
        </w:rPr>
        <w:t>//</w:t>
      </w:r>
      <w:r>
        <w:rPr>
          <w:spacing w:val="-3"/>
          <w:sz w:val="24"/>
        </w:rPr>
        <w:t> </w:t>
      </w:r>
      <w:r>
        <w:rPr>
          <w:sz w:val="24"/>
        </w:rPr>
        <w:t>JAMA</w:t>
      </w:r>
      <w:r>
        <w:rPr>
          <w:spacing w:val="-4"/>
          <w:sz w:val="24"/>
        </w:rPr>
        <w:t> </w:t>
      </w:r>
      <w:r>
        <w:rPr>
          <w:sz w:val="24"/>
        </w:rPr>
        <w:t>cardiology.</w:t>
      </w:r>
      <w:r>
        <w:rPr>
          <w:spacing w:val="-3"/>
          <w:sz w:val="24"/>
        </w:rPr>
        <w:t> </w:t>
      </w:r>
      <w:r>
        <w:rPr>
          <w:sz w:val="24"/>
        </w:rPr>
        <w:t>2020.</w:t>
      </w:r>
    </w:p>
    <w:p>
      <w:pPr>
        <w:pStyle w:val="ListParagraph"/>
        <w:numPr>
          <w:ilvl w:val="0"/>
          <w:numId w:val="25"/>
        </w:numPr>
        <w:tabs>
          <w:tab w:pos="1982" w:val="left" w:leader="none"/>
        </w:tabs>
        <w:spacing w:line="360" w:lineRule="auto" w:before="0" w:after="0"/>
        <w:ind w:left="1981" w:right="978" w:hanging="360"/>
        <w:jc w:val="left"/>
        <w:rPr>
          <w:sz w:val="24"/>
        </w:rPr>
      </w:pPr>
      <w:bookmarkStart w:name="_bookmark133" w:id="182"/>
      <w:bookmarkEnd w:id="182"/>
      <w:r>
        <w:rPr>
          <w:sz w:val="24"/>
        </w:rPr>
        <w:t>M</w:t>
      </w:r>
      <w:r>
        <w:rPr>
          <w:sz w:val="24"/>
        </w:rPr>
        <w:t>cGuire DK et al. Association of SGLT2 inhibitors with cardiovascular and kidney outcomes</w:t>
      </w:r>
      <w:r>
        <w:rPr>
          <w:spacing w:val="-3"/>
          <w:sz w:val="24"/>
        </w:rPr>
        <w:t> </w:t>
      </w:r>
      <w:r>
        <w:rPr>
          <w:sz w:val="24"/>
        </w:rPr>
        <w:t>in</w:t>
      </w:r>
      <w:r>
        <w:rPr>
          <w:spacing w:val="-3"/>
          <w:sz w:val="24"/>
        </w:rPr>
        <w:t> </w:t>
      </w:r>
      <w:r>
        <w:rPr>
          <w:sz w:val="24"/>
        </w:rPr>
        <w:t>patients</w:t>
      </w:r>
      <w:r>
        <w:rPr>
          <w:spacing w:val="-3"/>
          <w:sz w:val="24"/>
        </w:rPr>
        <w:t> </w:t>
      </w:r>
      <w:r>
        <w:rPr>
          <w:sz w:val="24"/>
        </w:rPr>
        <w:t>with</w:t>
      </w:r>
      <w:r>
        <w:rPr>
          <w:spacing w:val="-3"/>
          <w:sz w:val="24"/>
        </w:rPr>
        <w:t> </w:t>
      </w:r>
      <w:r>
        <w:rPr>
          <w:sz w:val="24"/>
        </w:rPr>
        <w:t>type</w:t>
      </w:r>
      <w:r>
        <w:rPr>
          <w:spacing w:val="-4"/>
          <w:sz w:val="24"/>
        </w:rPr>
        <w:t> </w:t>
      </w:r>
      <w:r>
        <w:rPr>
          <w:sz w:val="24"/>
        </w:rPr>
        <w:t>2</w:t>
      </w:r>
      <w:r>
        <w:rPr>
          <w:spacing w:val="-3"/>
          <w:sz w:val="24"/>
        </w:rPr>
        <w:t> </w:t>
      </w:r>
      <w:r>
        <w:rPr>
          <w:sz w:val="24"/>
        </w:rPr>
        <w:t>diabetes:</w:t>
      </w:r>
      <w:r>
        <w:rPr>
          <w:spacing w:val="-3"/>
          <w:sz w:val="24"/>
        </w:rPr>
        <w:t> </w:t>
      </w:r>
      <w:r>
        <w:rPr>
          <w:sz w:val="24"/>
        </w:rPr>
        <w:t>a</w:t>
      </w:r>
      <w:r>
        <w:rPr>
          <w:spacing w:val="-4"/>
          <w:sz w:val="24"/>
        </w:rPr>
        <w:t> </w:t>
      </w:r>
      <w:r>
        <w:rPr>
          <w:sz w:val="24"/>
        </w:rPr>
        <w:t>meta-analysis</w:t>
      </w:r>
      <w:r>
        <w:rPr>
          <w:spacing w:val="-3"/>
          <w:sz w:val="24"/>
        </w:rPr>
        <w:t> </w:t>
      </w:r>
      <w:r>
        <w:rPr>
          <w:sz w:val="24"/>
        </w:rPr>
        <w:t>//</w:t>
      </w:r>
      <w:r>
        <w:rPr>
          <w:spacing w:val="-3"/>
          <w:sz w:val="24"/>
        </w:rPr>
        <w:t> </w:t>
      </w:r>
      <w:r>
        <w:rPr>
          <w:sz w:val="24"/>
        </w:rPr>
        <w:t>JAMA</w:t>
      </w:r>
      <w:r>
        <w:rPr>
          <w:spacing w:val="-4"/>
          <w:sz w:val="24"/>
        </w:rPr>
        <w:t> </w:t>
      </w:r>
      <w:r>
        <w:rPr>
          <w:sz w:val="24"/>
        </w:rPr>
        <w:t>cardiology.</w:t>
      </w:r>
      <w:r>
        <w:rPr>
          <w:spacing w:val="-3"/>
          <w:sz w:val="24"/>
        </w:rPr>
        <w:t> </w:t>
      </w:r>
      <w:r>
        <w:rPr>
          <w:sz w:val="24"/>
        </w:rPr>
        <w:t>2020.</w:t>
      </w:r>
    </w:p>
    <w:p>
      <w:pPr>
        <w:pStyle w:val="ListParagraph"/>
        <w:numPr>
          <w:ilvl w:val="0"/>
          <w:numId w:val="25"/>
        </w:numPr>
        <w:tabs>
          <w:tab w:pos="1982" w:val="left" w:leader="none"/>
        </w:tabs>
        <w:spacing w:line="360" w:lineRule="auto" w:before="0" w:after="0"/>
        <w:ind w:left="1981" w:right="698" w:hanging="360"/>
        <w:jc w:val="left"/>
        <w:rPr>
          <w:sz w:val="24"/>
        </w:rPr>
      </w:pPr>
      <w:bookmarkStart w:name="_bookmark134" w:id="183"/>
      <w:bookmarkEnd w:id="183"/>
      <w:r>
        <w:rPr>
          <w:sz w:val="24"/>
        </w:rPr>
        <w:t>U</w:t>
      </w:r>
      <w:r>
        <w:rPr>
          <w:sz w:val="24"/>
        </w:rPr>
        <w:t>K</w:t>
      </w:r>
      <w:r>
        <w:rPr>
          <w:spacing w:val="-4"/>
          <w:sz w:val="24"/>
        </w:rPr>
        <w:t> </w:t>
      </w:r>
      <w:r>
        <w:rPr>
          <w:sz w:val="24"/>
        </w:rPr>
        <w:t>Prospective</w:t>
      </w:r>
      <w:r>
        <w:rPr>
          <w:spacing w:val="-4"/>
          <w:sz w:val="24"/>
        </w:rPr>
        <w:t> </w:t>
      </w:r>
      <w:r>
        <w:rPr>
          <w:sz w:val="24"/>
        </w:rPr>
        <w:t>Diabetes</w:t>
      </w:r>
      <w:r>
        <w:rPr>
          <w:spacing w:val="-2"/>
          <w:sz w:val="24"/>
        </w:rPr>
        <w:t> </w:t>
      </w:r>
      <w:r>
        <w:rPr>
          <w:sz w:val="24"/>
        </w:rPr>
        <w:t>Study</w:t>
      </w:r>
      <w:r>
        <w:rPr>
          <w:spacing w:val="-4"/>
          <w:sz w:val="24"/>
        </w:rPr>
        <w:t> </w:t>
      </w:r>
      <w:r>
        <w:rPr>
          <w:sz w:val="24"/>
        </w:rPr>
        <w:t>(UKPDS)</w:t>
      </w:r>
      <w:r>
        <w:rPr>
          <w:spacing w:val="-4"/>
          <w:sz w:val="24"/>
        </w:rPr>
        <w:t> </w:t>
      </w:r>
      <w:r>
        <w:rPr>
          <w:sz w:val="24"/>
        </w:rPr>
        <w:t>Group</w:t>
      </w:r>
      <w:r>
        <w:rPr>
          <w:spacing w:val="-4"/>
          <w:sz w:val="24"/>
        </w:rPr>
        <w:t> </w:t>
      </w:r>
      <w:r>
        <w:rPr>
          <w:sz w:val="24"/>
        </w:rPr>
        <w:t>et</w:t>
      </w:r>
      <w:r>
        <w:rPr>
          <w:spacing w:val="-4"/>
          <w:sz w:val="24"/>
        </w:rPr>
        <w:t> </w:t>
      </w:r>
      <w:r>
        <w:rPr>
          <w:sz w:val="24"/>
        </w:rPr>
        <w:t>al.</w:t>
      </w:r>
      <w:r>
        <w:rPr>
          <w:spacing w:val="-4"/>
          <w:sz w:val="24"/>
        </w:rPr>
        <w:t> </w:t>
      </w:r>
      <w:r>
        <w:rPr>
          <w:sz w:val="24"/>
        </w:rPr>
        <w:t>Effect</w:t>
      </w:r>
      <w:r>
        <w:rPr>
          <w:spacing w:val="-4"/>
          <w:sz w:val="24"/>
        </w:rPr>
        <w:t> </w:t>
      </w:r>
      <w:r>
        <w:rPr>
          <w:sz w:val="24"/>
        </w:rPr>
        <w:t>of</w:t>
      </w:r>
      <w:r>
        <w:rPr>
          <w:spacing w:val="-4"/>
          <w:sz w:val="24"/>
        </w:rPr>
        <w:t> </w:t>
      </w:r>
      <w:r>
        <w:rPr>
          <w:sz w:val="24"/>
        </w:rPr>
        <w:t>intensive</w:t>
      </w:r>
      <w:r>
        <w:rPr>
          <w:spacing w:val="-3"/>
          <w:sz w:val="24"/>
        </w:rPr>
        <w:t> </w:t>
      </w:r>
      <w:r>
        <w:rPr>
          <w:sz w:val="24"/>
        </w:rPr>
        <w:t>blood-glucose control with metformin on complications in overweight patients with type 2 diabetes (UKPDS 34) // The Lancet. 1998. Vol. 352. №. 9131. P. 854–865.</w:t>
      </w:r>
    </w:p>
    <w:p>
      <w:pPr>
        <w:spacing w:after="0" w:line="360" w:lineRule="auto"/>
        <w:jc w:val="left"/>
        <w:rPr>
          <w:sz w:val="24"/>
        </w:rPr>
        <w:sectPr>
          <w:pgSz w:w="11910" w:h="16840"/>
          <w:pgMar w:header="0" w:footer="710" w:top="1040" w:bottom="900" w:left="440" w:right="280"/>
        </w:sectPr>
      </w:pPr>
    </w:p>
    <w:p>
      <w:pPr>
        <w:pStyle w:val="ListParagraph"/>
        <w:numPr>
          <w:ilvl w:val="0"/>
          <w:numId w:val="25"/>
        </w:numPr>
        <w:tabs>
          <w:tab w:pos="1982" w:val="left" w:leader="none"/>
        </w:tabs>
        <w:spacing w:line="360" w:lineRule="auto" w:before="73" w:after="0"/>
        <w:ind w:left="1981" w:right="1247" w:hanging="360"/>
        <w:jc w:val="both"/>
        <w:rPr>
          <w:sz w:val="24"/>
        </w:rPr>
      </w:pPr>
      <w:bookmarkStart w:name="_bookmark135" w:id="184"/>
      <w:bookmarkEnd w:id="184"/>
      <w:r>
        <w:rPr>
          <w:sz w:val="24"/>
        </w:rPr>
        <w:t>F</w:t>
      </w:r>
      <w:r>
        <w:rPr>
          <w:sz w:val="24"/>
        </w:rPr>
        <w:t>ranczyk-Skora</w:t>
      </w:r>
      <w:r>
        <w:rPr>
          <w:spacing w:val="-5"/>
          <w:sz w:val="24"/>
        </w:rPr>
        <w:t> </w:t>
      </w:r>
      <w:r>
        <w:rPr>
          <w:sz w:val="24"/>
        </w:rPr>
        <w:t>B</w:t>
      </w:r>
      <w:r>
        <w:rPr>
          <w:spacing w:val="-4"/>
          <w:sz w:val="24"/>
        </w:rPr>
        <w:t> </w:t>
      </w:r>
      <w:r>
        <w:rPr>
          <w:sz w:val="24"/>
        </w:rPr>
        <w:t>et</w:t>
      </w:r>
      <w:r>
        <w:rPr>
          <w:spacing w:val="-4"/>
          <w:sz w:val="24"/>
        </w:rPr>
        <w:t> </w:t>
      </w:r>
      <w:r>
        <w:rPr>
          <w:sz w:val="24"/>
        </w:rPr>
        <w:t>al.</w:t>
      </w:r>
      <w:r>
        <w:rPr>
          <w:spacing w:val="-2"/>
          <w:sz w:val="24"/>
        </w:rPr>
        <w:t> </w:t>
      </w:r>
      <w:r>
        <w:rPr>
          <w:sz w:val="24"/>
        </w:rPr>
        <w:t>Acute</w:t>
      </w:r>
      <w:r>
        <w:rPr>
          <w:spacing w:val="-5"/>
          <w:sz w:val="24"/>
        </w:rPr>
        <w:t> </w:t>
      </w:r>
      <w:r>
        <w:rPr>
          <w:sz w:val="24"/>
        </w:rPr>
        <w:t>coronary</w:t>
      </w:r>
      <w:r>
        <w:rPr>
          <w:spacing w:val="-4"/>
          <w:sz w:val="24"/>
        </w:rPr>
        <w:t> </w:t>
      </w:r>
      <w:r>
        <w:rPr>
          <w:sz w:val="24"/>
        </w:rPr>
        <w:t>syndromes</w:t>
      </w:r>
      <w:r>
        <w:rPr>
          <w:spacing w:val="-4"/>
          <w:sz w:val="24"/>
        </w:rPr>
        <w:t> </w:t>
      </w:r>
      <w:r>
        <w:rPr>
          <w:sz w:val="24"/>
        </w:rPr>
        <w:t>in</w:t>
      </w:r>
      <w:r>
        <w:rPr>
          <w:spacing w:val="-4"/>
          <w:sz w:val="24"/>
        </w:rPr>
        <w:t> </w:t>
      </w:r>
      <w:r>
        <w:rPr>
          <w:sz w:val="24"/>
        </w:rPr>
        <w:t>patients</w:t>
      </w:r>
      <w:r>
        <w:rPr>
          <w:spacing w:val="-4"/>
          <w:sz w:val="24"/>
        </w:rPr>
        <w:t> </w:t>
      </w:r>
      <w:r>
        <w:rPr>
          <w:sz w:val="24"/>
        </w:rPr>
        <w:t>with</w:t>
      </w:r>
      <w:r>
        <w:rPr>
          <w:spacing w:val="-4"/>
          <w:sz w:val="24"/>
        </w:rPr>
        <w:t> </w:t>
      </w:r>
      <w:r>
        <w:rPr>
          <w:sz w:val="24"/>
        </w:rPr>
        <w:t>chronic</w:t>
      </w:r>
      <w:r>
        <w:rPr>
          <w:spacing w:val="-5"/>
          <w:sz w:val="24"/>
        </w:rPr>
        <w:t> </w:t>
      </w:r>
      <w:r>
        <w:rPr>
          <w:sz w:val="24"/>
        </w:rPr>
        <w:t>kidney disease // Current vascular pharmacology. 2013. Vol. 11. №. 5. P. 758–767.</w:t>
      </w:r>
    </w:p>
    <w:p>
      <w:pPr>
        <w:pStyle w:val="ListParagraph"/>
        <w:numPr>
          <w:ilvl w:val="0"/>
          <w:numId w:val="25"/>
        </w:numPr>
        <w:tabs>
          <w:tab w:pos="1982" w:val="left" w:leader="none"/>
        </w:tabs>
        <w:spacing w:line="360" w:lineRule="auto" w:before="0" w:after="0"/>
        <w:ind w:left="1981" w:right="1152" w:hanging="360"/>
        <w:jc w:val="both"/>
        <w:rPr>
          <w:sz w:val="24"/>
        </w:rPr>
      </w:pPr>
      <w:bookmarkStart w:name="_bookmark136" w:id="185"/>
      <w:bookmarkEnd w:id="185"/>
      <w:r>
        <w:rPr>
          <w:sz w:val="24"/>
        </w:rPr>
        <w:t>L</w:t>
      </w:r>
      <w:r>
        <w:rPr>
          <w:sz w:val="24"/>
        </w:rPr>
        <w:t>oncar G et al. Impact of renal failure on all-cause mortality and other outcomes in patients</w:t>
      </w:r>
      <w:r>
        <w:rPr>
          <w:spacing w:val="-5"/>
          <w:sz w:val="24"/>
        </w:rPr>
        <w:t> </w:t>
      </w:r>
      <w:r>
        <w:rPr>
          <w:sz w:val="24"/>
        </w:rPr>
        <w:t>treated</w:t>
      </w:r>
      <w:r>
        <w:rPr>
          <w:spacing w:val="-5"/>
          <w:sz w:val="24"/>
        </w:rPr>
        <w:t> </w:t>
      </w:r>
      <w:r>
        <w:rPr>
          <w:sz w:val="24"/>
        </w:rPr>
        <w:t>by</w:t>
      </w:r>
      <w:r>
        <w:rPr>
          <w:spacing w:val="-5"/>
          <w:sz w:val="24"/>
        </w:rPr>
        <w:t> </w:t>
      </w:r>
      <w:r>
        <w:rPr>
          <w:sz w:val="24"/>
        </w:rPr>
        <w:t>percutaneous</w:t>
      </w:r>
      <w:r>
        <w:rPr>
          <w:spacing w:val="-5"/>
          <w:sz w:val="24"/>
        </w:rPr>
        <w:t> </w:t>
      </w:r>
      <w:r>
        <w:rPr>
          <w:sz w:val="24"/>
        </w:rPr>
        <w:t>coronary</w:t>
      </w:r>
      <w:r>
        <w:rPr>
          <w:spacing w:val="-5"/>
          <w:sz w:val="24"/>
        </w:rPr>
        <w:t> </w:t>
      </w:r>
      <w:r>
        <w:rPr>
          <w:sz w:val="24"/>
        </w:rPr>
        <w:t>intervention</w:t>
      </w:r>
      <w:r>
        <w:rPr>
          <w:spacing w:val="-5"/>
          <w:sz w:val="24"/>
        </w:rPr>
        <w:t> </w:t>
      </w:r>
      <w:r>
        <w:rPr>
          <w:sz w:val="24"/>
        </w:rPr>
        <w:t>//Archives</w:t>
      </w:r>
      <w:r>
        <w:rPr>
          <w:spacing w:val="-5"/>
          <w:sz w:val="24"/>
        </w:rPr>
        <w:t> </w:t>
      </w:r>
      <w:r>
        <w:rPr>
          <w:sz w:val="24"/>
        </w:rPr>
        <w:t>of</w:t>
      </w:r>
      <w:r>
        <w:rPr>
          <w:spacing w:val="-6"/>
          <w:sz w:val="24"/>
        </w:rPr>
        <w:t> </w:t>
      </w:r>
      <w:r>
        <w:rPr>
          <w:sz w:val="24"/>
        </w:rPr>
        <w:t>Cardiovascular Diseases. 2015. Vol. 108. №. 11. P. 554–562.</w:t>
      </w:r>
    </w:p>
    <w:p>
      <w:pPr>
        <w:pStyle w:val="ListParagraph"/>
        <w:numPr>
          <w:ilvl w:val="0"/>
          <w:numId w:val="25"/>
        </w:numPr>
        <w:tabs>
          <w:tab w:pos="1982" w:val="left" w:leader="none"/>
        </w:tabs>
        <w:spacing w:line="360" w:lineRule="auto" w:before="2" w:after="0"/>
        <w:ind w:left="1981" w:right="788" w:hanging="360"/>
        <w:jc w:val="left"/>
        <w:rPr>
          <w:sz w:val="24"/>
        </w:rPr>
      </w:pPr>
      <w:bookmarkStart w:name="_bookmark137" w:id="186"/>
      <w:bookmarkEnd w:id="186"/>
      <w:r>
        <w:rPr>
          <w:sz w:val="24"/>
        </w:rPr>
        <w:t>H</w:t>
      </w:r>
      <w:r>
        <w:rPr>
          <w:sz w:val="24"/>
        </w:rPr>
        <w:t>errington</w:t>
      </w:r>
      <w:r>
        <w:rPr>
          <w:spacing w:val="-3"/>
          <w:sz w:val="24"/>
        </w:rPr>
        <w:t> </w:t>
      </w:r>
      <w:r>
        <w:rPr>
          <w:sz w:val="24"/>
        </w:rPr>
        <w:t>W</w:t>
      </w:r>
      <w:r>
        <w:rPr>
          <w:spacing w:val="-2"/>
          <w:sz w:val="24"/>
        </w:rPr>
        <w:t> </w:t>
      </w:r>
      <w:r>
        <w:rPr>
          <w:sz w:val="24"/>
        </w:rPr>
        <w:t>et</w:t>
      </w:r>
      <w:r>
        <w:rPr>
          <w:spacing w:val="-3"/>
          <w:sz w:val="24"/>
        </w:rPr>
        <w:t> </w:t>
      </w:r>
      <w:r>
        <w:rPr>
          <w:sz w:val="24"/>
        </w:rPr>
        <w:t>al.</w:t>
      </w:r>
      <w:r>
        <w:rPr>
          <w:spacing w:val="-1"/>
          <w:sz w:val="24"/>
        </w:rPr>
        <w:t> </w:t>
      </w:r>
      <w:r>
        <w:rPr>
          <w:sz w:val="24"/>
        </w:rPr>
        <w:t>Impact</w:t>
      </w:r>
      <w:r>
        <w:rPr>
          <w:spacing w:val="-3"/>
          <w:sz w:val="24"/>
        </w:rPr>
        <w:t> </w:t>
      </w:r>
      <w:r>
        <w:rPr>
          <w:sz w:val="24"/>
        </w:rPr>
        <w:t>of</w:t>
      </w:r>
      <w:r>
        <w:rPr>
          <w:spacing w:val="-4"/>
          <w:sz w:val="24"/>
        </w:rPr>
        <w:t> </w:t>
      </w:r>
      <w:r>
        <w:rPr>
          <w:sz w:val="24"/>
        </w:rPr>
        <w:t>renal</w:t>
      </w:r>
      <w:r>
        <w:rPr>
          <w:spacing w:val="-3"/>
          <w:sz w:val="24"/>
        </w:rPr>
        <w:t> </w:t>
      </w:r>
      <w:r>
        <w:rPr>
          <w:sz w:val="24"/>
        </w:rPr>
        <w:t>function</w:t>
      </w:r>
      <w:r>
        <w:rPr>
          <w:spacing w:val="-3"/>
          <w:sz w:val="24"/>
        </w:rPr>
        <w:t> </w:t>
      </w:r>
      <w:r>
        <w:rPr>
          <w:sz w:val="24"/>
        </w:rPr>
        <w:t>on</w:t>
      </w:r>
      <w:r>
        <w:rPr>
          <w:spacing w:val="-3"/>
          <w:sz w:val="24"/>
        </w:rPr>
        <w:t> </w:t>
      </w:r>
      <w:r>
        <w:rPr>
          <w:sz w:val="24"/>
        </w:rPr>
        <w:t>the</w:t>
      </w:r>
      <w:r>
        <w:rPr>
          <w:spacing w:val="-4"/>
          <w:sz w:val="24"/>
        </w:rPr>
        <w:t> </w:t>
      </w:r>
      <w:r>
        <w:rPr>
          <w:sz w:val="24"/>
        </w:rPr>
        <w:t>effects</w:t>
      </w:r>
      <w:r>
        <w:rPr>
          <w:spacing w:val="-3"/>
          <w:sz w:val="24"/>
        </w:rPr>
        <w:t> </w:t>
      </w:r>
      <w:r>
        <w:rPr>
          <w:sz w:val="24"/>
        </w:rPr>
        <w:t>of</w:t>
      </w:r>
      <w:r>
        <w:rPr>
          <w:spacing w:val="-4"/>
          <w:sz w:val="24"/>
        </w:rPr>
        <w:t> </w:t>
      </w:r>
      <w:r>
        <w:rPr>
          <w:sz w:val="24"/>
        </w:rPr>
        <w:t>LDL</w:t>
      </w:r>
      <w:r>
        <w:rPr>
          <w:spacing w:val="-4"/>
          <w:sz w:val="24"/>
        </w:rPr>
        <w:t> </w:t>
      </w:r>
      <w:r>
        <w:rPr>
          <w:sz w:val="24"/>
        </w:rPr>
        <w:t>cholesterol</w:t>
      </w:r>
      <w:r>
        <w:rPr>
          <w:spacing w:val="-3"/>
          <w:sz w:val="24"/>
        </w:rPr>
        <w:t> </w:t>
      </w:r>
      <w:r>
        <w:rPr>
          <w:sz w:val="24"/>
        </w:rPr>
        <w:t>lowering with statin-based regimens: a meta-analysis of individual participant data from 28 randomised trials //Lancet Diabetes and Endocrinology. 2016. Vol. 4. №. 10.</w:t>
      </w:r>
    </w:p>
    <w:p>
      <w:pPr>
        <w:pStyle w:val="ListParagraph"/>
        <w:numPr>
          <w:ilvl w:val="0"/>
          <w:numId w:val="25"/>
        </w:numPr>
        <w:tabs>
          <w:tab w:pos="1982" w:val="left" w:leader="none"/>
        </w:tabs>
        <w:spacing w:line="360" w:lineRule="auto" w:before="0" w:after="0"/>
        <w:ind w:left="1981" w:right="672" w:hanging="360"/>
        <w:jc w:val="left"/>
        <w:rPr>
          <w:sz w:val="24"/>
        </w:rPr>
      </w:pPr>
      <w:bookmarkStart w:name="_bookmark138" w:id="187"/>
      <w:bookmarkEnd w:id="187"/>
      <w:r>
        <w:rPr>
          <w:sz w:val="24"/>
        </w:rPr>
        <w:t>B</w:t>
      </w:r>
      <w:r>
        <w:rPr>
          <w:sz w:val="24"/>
        </w:rPr>
        <w:t>aigent</w:t>
      </w:r>
      <w:r>
        <w:rPr>
          <w:spacing w:val="-3"/>
          <w:sz w:val="24"/>
        </w:rPr>
        <w:t> </w:t>
      </w:r>
      <w:r>
        <w:rPr>
          <w:sz w:val="24"/>
        </w:rPr>
        <w:t>C</w:t>
      </w:r>
      <w:r>
        <w:rPr>
          <w:spacing w:val="-3"/>
          <w:sz w:val="24"/>
        </w:rPr>
        <w:t> </w:t>
      </w:r>
      <w:r>
        <w:rPr>
          <w:sz w:val="24"/>
        </w:rPr>
        <w:t>et</w:t>
      </w:r>
      <w:r>
        <w:rPr>
          <w:spacing w:val="-3"/>
          <w:sz w:val="24"/>
        </w:rPr>
        <w:t> </w:t>
      </w:r>
      <w:r>
        <w:rPr>
          <w:sz w:val="24"/>
        </w:rPr>
        <w:t>al.</w:t>
      </w:r>
      <w:r>
        <w:rPr>
          <w:spacing w:val="-3"/>
          <w:sz w:val="24"/>
        </w:rPr>
        <w:t> </w:t>
      </w:r>
      <w:r>
        <w:rPr>
          <w:sz w:val="24"/>
        </w:rPr>
        <w:t>The</w:t>
      </w:r>
      <w:r>
        <w:rPr>
          <w:spacing w:val="-4"/>
          <w:sz w:val="24"/>
        </w:rPr>
        <w:t> </w:t>
      </w:r>
      <w:r>
        <w:rPr>
          <w:sz w:val="24"/>
        </w:rPr>
        <w:t>effects</w:t>
      </w:r>
      <w:r>
        <w:rPr>
          <w:spacing w:val="-3"/>
          <w:sz w:val="24"/>
        </w:rPr>
        <w:t> </w:t>
      </w:r>
      <w:r>
        <w:rPr>
          <w:sz w:val="24"/>
        </w:rPr>
        <w:t>of</w:t>
      </w:r>
      <w:r>
        <w:rPr>
          <w:spacing w:val="-4"/>
          <w:sz w:val="24"/>
        </w:rPr>
        <w:t> </w:t>
      </w:r>
      <w:r>
        <w:rPr>
          <w:sz w:val="24"/>
        </w:rPr>
        <w:t>lowering</w:t>
      </w:r>
      <w:r>
        <w:rPr>
          <w:spacing w:val="-3"/>
          <w:sz w:val="24"/>
        </w:rPr>
        <w:t> </w:t>
      </w:r>
      <w:r>
        <w:rPr>
          <w:sz w:val="24"/>
        </w:rPr>
        <w:t>LDL</w:t>
      </w:r>
      <w:r>
        <w:rPr>
          <w:spacing w:val="-1"/>
          <w:sz w:val="24"/>
        </w:rPr>
        <w:t> </w:t>
      </w:r>
      <w:r>
        <w:rPr>
          <w:sz w:val="24"/>
        </w:rPr>
        <w:t>cholesterol</w:t>
      </w:r>
      <w:r>
        <w:rPr>
          <w:spacing w:val="-3"/>
          <w:sz w:val="24"/>
        </w:rPr>
        <w:t> </w:t>
      </w:r>
      <w:r>
        <w:rPr>
          <w:sz w:val="24"/>
        </w:rPr>
        <w:t>with</w:t>
      </w:r>
      <w:r>
        <w:rPr>
          <w:spacing w:val="-3"/>
          <w:sz w:val="24"/>
        </w:rPr>
        <w:t> </w:t>
      </w:r>
      <w:r>
        <w:rPr>
          <w:sz w:val="24"/>
        </w:rPr>
        <w:t>simvastatin</w:t>
      </w:r>
      <w:r>
        <w:rPr>
          <w:spacing w:val="-3"/>
          <w:sz w:val="24"/>
        </w:rPr>
        <w:t> </w:t>
      </w:r>
      <w:r>
        <w:rPr>
          <w:sz w:val="24"/>
        </w:rPr>
        <w:t>plus</w:t>
      </w:r>
      <w:r>
        <w:rPr>
          <w:spacing w:val="-3"/>
          <w:sz w:val="24"/>
        </w:rPr>
        <w:t> </w:t>
      </w:r>
      <w:r>
        <w:rPr>
          <w:sz w:val="24"/>
        </w:rPr>
        <w:t>ezetimibe in patients with chronic kidney disease (Study of Heart and Renal Protection): a randomised placebo-controlled trial // The Lancet. 2011. Vol. 377. №. 9784. P, 2181–</w:t>
      </w:r>
    </w:p>
    <w:p>
      <w:pPr>
        <w:pStyle w:val="BodyText"/>
      </w:pPr>
      <w:r>
        <w:rPr>
          <w:spacing w:val="-2"/>
        </w:rPr>
        <w:t>2192.</w:t>
      </w:r>
    </w:p>
    <w:p>
      <w:pPr>
        <w:pStyle w:val="ListParagraph"/>
        <w:numPr>
          <w:ilvl w:val="0"/>
          <w:numId w:val="25"/>
        </w:numPr>
        <w:tabs>
          <w:tab w:pos="1982" w:val="left" w:leader="none"/>
        </w:tabs>
        <w:spacing w:line="360" w:lineRule="auto" w:before="137" w:after="0"/>
        <w:ind w:left="1981" w:right="726" w:hanging="360"/>
        <w:jc w:val="left"/>
        <w:rPr>
          <w:sz w:val="24"/>
        </w:rPr>
      </w:pPr>
      <w:bookmarkStart w:name="_bookmark139" w:id="188"/>
      <w:bookmarkEnd w:id="188"/>
      <w:r>
        <w:rPr>
          <w:sz w:val="24"/>
        </w:rPr>
        <w:t>B</w:t>
      </w:r>
      <w:r>
        <w:rPr>
          <w:sz w:val="24"/>
        </w:rPr>
        <w:t>arylski</w:t>
      </w:r>
      <w:r>
        <w:rPr>
          <w:spacing w:val="-3"/>
          <w:sz w:val="24"/>
        </w:rPr>
        <w:t> </w:t>
      </w:r>
      <w:r>
        <w:rPr>
          <w:sz w:val="24"/>
        </w:rPr>
        <w:t>M</w:t>
      </w:r>
      <w:r>
        <w:rPr>
          <w:spacing w:val="-3"/>
          <w:sz w:val="24"/>
        </w:rPr>
        <w:t> </w:t>
      </w:r>
      <w:r>
        <w:rPr>
          <w:sz w:val="24"/>
        </w:rPr>
        <w:t>et</w:t>
      </w:r>
      <w:r>
        <w:rPr>
          <w:spacing w:val="-3"/>
          <w:sz w:val="24"/>
        </w:rPr>
        <w:t> </w:t>
      </w:r>
      <w:r>
        <w:rPr>
          <w:sz w:val="24"/>
        </w:rPr>
        <w:t>al.</w:t>
      </w:r>
      <w:r>
        <w:rPr>
          <w:spacing w:val="-3"/>
          <w:sz w:val="24"/>
        </w:rPr>
        <w:t> </w:t>
      </w:r>
      <w:r>
        <w:rPr>
          <w:sz w:val="24"/>
        </w:rPr>
        <w:t>Statins</w:t>
      </w:r>
      <w:r>
        <w:rPr>
          <w:spacing w:val="-6"/>
          <w:sz w:val="24"/>
        </w:rPr>
        <w:t> </w:t>
      </w:r>
      <w:r>
        <w:rPr>
          <w:sz w:val="24"/>
        </w:rPr>
        <w:t>decrease</w:t>
      </w:r>
      <w:r>
        <w:rPr>
          <w:spacing w:val="-2"/>
          <w:sz w:val="24"/>
        </w:rPr>
        <w:t> </w:t>
      </w:r>
      <w:r>
        <w:rPr>
          <w:sz w:val="24"/>
        </w:rPr>
        <w:t>all-cause</w:t>
      </w:r>
      <w:r>
        <w:rPr>
          <w:spacing w:val="-4"/>
          <w:sz w:val="24"/>
        </w:rPr>
        <w:t> </w:t>
      </w:r>
      <w:r>
        <w:rPr>
          <w:sz w:val="24"/>
        </w:rPr>
        <w:t>mortality</w:t>
      </w:r>
      <w:r>
        <w:rPr>
          <w:spacing w:val="-3"/>
          <w:sz w:val="24"/>
        </w:rPr>
        <w:t> </w:t>
      </w:r>
      <w:r>
        <w:rPr>
          <w:sz w:val="24"/>
        </w:rPr>
        <w:t>only</w:t>
      </w:r>
      <w:r>
        <w:rPr>
          <w:spacing w:val="-3"/>
          <w:sz w:val="24"/>
        </w:rPr>
        <w:t> </w:t>
      </w:r>
      <w:r>
        <w:rPr>
          <w:sz w:val="24"/>
        </w:rPr>
        <w:t>in</w:t>
      </w:r>
      <w:r>
        <w:rPr>
          <w:spacing w:val="-3"/>
          <w:sz w:val="24"/>
        </w:rPr>
        <w:t> </w:t>
      </w:r>
      <w:r>
        <w:rPr>
          <w:sz w:val="24"/>
        </w:rPr>
        <w:t>CKD</w:t>
      </w:r>
      <w:r>
        <w:rPr>
          <w:spacing w:val="-4"/>
          <w:sz w:val="24"/>
        </w:rPr>
        <w:t> </w:t>
      </w:r>
      <w:r>
        <w:rPr>
          <w:sz w:val="24"/>
        </w:rPr>
        <w:t>patients</w:t>
      </w:r>
      <w:r>
        <w:rPr>
          <w:spacing w:val="-6"/>
          <w:sz w:val="24"/>
        </w:rPr>
        <w:t> </w:t>
      </w:r>
      <w:r>
        <w:rPr>
          <w:sz w:val="24"/>
        </w:rPr>
        <w:t>not</w:t>
      </w:r>
      <w:r>
        <w:rPr>
          <w:spacing w:val="-3"/>
          <w:sz w:val="24"/>
        </w:rPr>
        <w:t> </w:t>
      </w:r>
      <w:r>
        <w:rPr>
          <w:sz w:val="24"/>
        </w:rPr>
        <w:t>requiring dialysis therapy—a meta-analysis of 11 randomized controlled trials involving 21,295 participants // Pharmacological research. 2013. Vol. 72. P. 35–44.</w:t>
      </w:r>
    </w:p>
    <w:p>
      <w:pPr>
        <w:pStyle w:val="ListParagraph"/>
        <w:numPr>
          <w:ilvl w:val="0"/>
          <w:numId w:val="25"/>
        </w:numPr>
        <w:tabs>
          <w:tab w:pos="1982" w:val="left" w:leader="none"/>
        </w:tabs>
        <w:spacing w:line="360" w:lineRule="auto" w:before="1" w:after="0"/>
        <w:ind w:left="1981" w:right="714" w:hanging="360"/>
        <w:jc w:val="left"/>
        <w:rPr>
          <w:sz w:val="24"/>
        </w:rPr>
      </w:pPr>
      <w:bookmarkStart w:name="_bookmark140" w:id="189"/>
      <w:bookmarkEnd w:id="189"/>
      <w:r>
        <w:rPr>
          <w:sz w:val="24"/>
        </w:rPr>
        <w:t>P</w:t>
      </w:r>
      <w:r>
        <w:rPr>
          <w:sz w:val="24"/>
        </w:rPr>
        <w:t>almer</w:t>
      </w:r>
      <w:r>
        <w:rPr>
          <w:spacing w:val="-4"/>
          <w:sz w:val="24"/>
        </w:rPr>
        <w:t> </w:t>
      </w:r>
      <w:r>
        <w:rPr>
          <w:sz w:val="24"/>
        </w:rPr>
        <w:t>SC</w:t>
      </w:r>
      <w:r>
        <w:rPr>
          <w:spacing w:val="-3"/>
          <w:sz w:val="24"/>
        </w:rPr>
        <w:t> </w:t>
      </w:r>
      <w:r>
        <w:rPr>
          <w:sz w:val="24"/>
        </w:rPr>
        <w:t>et</w:t>
      </w:r>
      <w:r>
        <w:rPr>
          <w:spacing w:val="-3"/>
          <w:sz w:val="24"/>
        </w:rPr>
        <w:t> </w:t>
      </w:r>
      <w:r>
        <w:rPr>
          <w:sz w:val="24"/>
        </w:rPr>
        <w:t>al.</w:t>
      </w:r>
      <w:r>
        <w:rPr>
          <w:spacing w:val="-4"/>
          <w:sz w:val="24"/>
        </w:rPr>
        <w:t> </w:t>
      </w:r>
      <w:r>
        <w:rPr>
          <w:sz w:val="24"/>
        </w:rPr>
        <w:t>HMG</w:t>
      </w:r>
      <w:r>
        <w:rPr>
          <w:spacing w:val="-4"/>
          <w:sz w:val="24"/>
        </w:rPr>
        <w:t> </w:t>
      </w:r>
      <w:r>
        <w:rPr>
          <w:sz w:val="24"/>
        </w:rPr>
        <w:t>CoA</w:t>
      </w:r>
      <w:r>
        <w:rPr>
          <w:spacing w:val="-4"/>
          <w:sz w:val="24"/>
        </w:rPr>
        <w:t> </w:t>
      </w:r>
      <w:r>
        <w:rPr>
          <w:sz w:val="24"/>
        </w:rPr>
        <w:t>reductase</w:t>
      </w:r>
      <w:r>
        <w:rPr>
          <w:spacing w:val="-4"/>
          <w:sz w:val="24"/>
        </w:rPr>
        <w:t> </w:t>
      </w:r>
      <w:r>
        <w:rPr>
          <w:sz w:val="24"/>
        </w:rPr>
        <w:t>inhibitors</w:t>
      </w:r>
      <w:r>
        <w:rPr>
          <w:spacing w:val="-3"/>
          <w:sz w:val="24"/>
        </w:rPr>
        <w:t> </w:t>
      </w:r>
      <w:r>
        <w:rPr>
          <w:sz w:val="24"/>
        </w:rPr>
        <w:t>(statins)</w:t>
      </w:r>
      <w:r>
        <w:rPr>
          <w:spacing w:val="-4"/>
          <w:sz w:val="24"/>
        </w:rPr>
        <w:t> </w:t>
      </w:r>
      <w:r>
        <w:rPr>
          <w:sz w:val="24"/>
        </w:rPr>
        <w:t>for</w:t>
      </w:r>
      <w:r>
        <w:rPr>
          <w:spacing w:val="-4"/>
          <w:sz w:val="24"/>
        </w:rPr>
        <w:t> </w:t>
      </w:r>
      <w:r>
        <w:rPr>
          <w:sz w:val="24"/>
        </w:rPr>
        <w:t>people</w:t>
      </w:r>
      <w:r>
        <w:rPr>
          <w:spacing w:val="-4"/>
          <w:sz w:val="24"/>
        </w:rPr>
        <w:t> </w:t>
      </w:r>
      <w:r>
        <w:rPr>
          <w:sz w:val="24"/>
        </w:rPr>
        <w:t>with</w:t>
      </w:r>
      <w:r>
        <w:rPr>
          <w:spacing w:val="-3"/>
          <w:sz w:val="24"/>
        </w:rPr>
        <w:t> </w:t>
      </w:r>
      <w:r>
        <w:rPr>
          <w:sz w:val="24"/>
        </w:rPr>
        <w:t>chronic</w:t>
      </w:r>
      <w:r>
        <w:rPr>
          <w:spacing w:val="-4"/>
          <w:sz w:val="24"/>
        </w:rPr>
        <w:t> </w:t>
      </w:r>
      <w:r>
        <w:rPr>
          <w:sz w:val="24"/>
        </w:rPr>
        <w:t>kidney disease not requiring dialysis // Cochrane Database of Systematic Reviews. 2014. №. 5.</w:t>
      </w:r>
    </w:p>
    <w:p>
      <w:pPr>
        <w:pStyle w:val="ListParagraph"/>
        <w:numPr>
          <w:ilvl w:val="0"/>
          <w:numId w:val="25"/>
        </w:numPr>
        <w:tabs>
          <w:tab w:pos="1982" w:val="left" w:leader="none"/>
        </w:tabs>
        <w:spacing w:line="360" w:lineRule="auto" w:before="0" w:after="0"/>
        <w:ind w:left="1981" w:right="1137" w:hanging="360"/>
        <w:jc w:val="left"/>
        <w:rPr>
          <w:sz w:val="24"/>
        </w:rPr>
      </w:pPr>
      <w:bookmarkStart w:name="_bookmark141" w:id="190"/>
      <w:bookmarkEnd w:id="190"/>
      <w:r>
        <w:rPr>
          <w:sz w:val="24"/>
        </w:rPr>
        <w:t>Sun</w:t>
      </w:r>
      <w:r>
        <w:rPr>
          <w:spacing w:val="-3"/>
          <w:sz w:val="24"/>
        </w:rPr>
        <w:t> </w:t>
      </w:r>
      <w:r>
        <w:rPr>
          <w:sz w:val="24"/>
        </w:rPr>
        <w:t>L</w:t>
      </w:r>
      <w:r>
        <w:rPr>
          <w:spacing w:val="-4"/>
          <w:sz w:val="24"/>
        </w:rPr>
        <w:t> </w:t>
      </w:r>
      <w:r>
        <w:rPr>
          <w:sz w:val="24"/>
        </w:rPr>
        <w:t>et</w:t>
      </w:r>
      <w:r>
        <w:rPr>
          <w:spacing w:val="-3"/>
          <w:sz w:val="24"/>
        </w:rPr>
        <w:t> </w:t>
      </w:r>
      <w:r>
        <w:rPr>
          <w:sz w:val="24"/>
        </w:rPr>
        <w:t>al.</w:t>
      </w:r>
      <w:r>
        <w:rPr>
          <w:spacing w:val="-3"/>
          <w:sz w:val="24"/>
        </w:rPr>
        <w:t> </w:t>
      </w:r>
      <w:r>
        <w:rPr>
          <w:sz w:val="24"/>
        </w:rPr>
        <w:t>Meta-analysis</w:t>
      </w:r>
      <w:r>
        <w:rPr>
          <w:spacing w:val="-3"/>
          <w:sz w:val="24"/>
        </w:rPr>
        <w:t> </w:t>
      </w:r>
      <w:r>
        <w:rPr>
          <w:sz w:val="24"/>
        </w:rPr>
        <w:t>of</w:t>
      </w:r>
      <w:r>
        <w:rPr>
          <w:spacing w:val="-4"/>
          <w:sz w:val="24"/>
        </w:rPr>
        <w:t> </w:t>
      </w:r>
      <w:r>
        <w:rPr>
          <w:sz w:val="24"/>
        </w:rPr>
        <w:t>statin</w:t>
      </w:r>
      <w:r>
        <w:rPr>
          <w:spacing w:val="-3"/>
          <w:sz w:val="24"/>
        </w:rPr>
        <w:t> </w:t>
      </w:r>
      <w:r>
        <w:rPr>
          <w:sz w:val="24"/>
        </w:rPr>
        <w:t>therapy</w:t>
      </w:r>
      <w:r>
        <w:rPr>
          <w:spacing w:val="-3"/>
          <w:sz w:val="24"/>
        </w:rPr>
        <w:t> </w:t>
      </w:r>
      <w:r>
        <w:rPr>
          <w:sz w:val="24"/>
        </w:rPr>
        <w:t>in</w:t>
      </w:r>
      <w:r>
        <w:rPr>
          <w:spacing w:val="-3"/>
          <w:sz w:val="24"/>
        </w:rPr>
        <w:t> </w:t>
      </w:r>
      <w:r>
        <w:rPr>
          <w:sz w:val="24"/>
        </w:rPr>
        <w:t>maintenance</w:t>
      </w:r>
      <w:r>
        <w:rPr>
          <w:spacing w:val="-4"/>
          <w:sz w:val="24"/>
        </w:rPr>
        <w:t> </w:t>
      </w:r>
      <w:r>
        <w:rPr>
          <w:sz w:val="24"/>
        </w:rPr>
        <w:t>dialysis</w:t>
      </w:r>
      <w:r>
        <w:rPr>
          <w:spacing w:val="-3"/>
          <w:sz w:val="24"/>
        </w:rPr>
        <w:t> </w:t>
      </w:r>
      <w:r>
        <w:rPr>
          <w:sz w:val="24"/>
        </w:rPr>
        <w:t>patients</w:t>
      </w:r>
      <w:r>
        <w:rPr>
          <w:spacing w:val="-3"/>
          <w:sz w:val="24"/>
        </w:rPr>
        <w:t> </w:t>
      </w:r>
      <w:r>
        <w:rPr>
          <w:sz w:val="24"/>
        </w:rPr>
        <w:t>//</w:t>
      </w:r>
      <w:r>
        <w:rPr>
          <w:spacing w:val="-3"/>
          <w:sz w:val="24"/>
        </w:rPr>
        <w:t> </w:t>
      </w:r>
      <w:r>
        <w:rPr>
          <w:sz w:val="24"/>
        </w:rPr>
        <w:t>Renal Failure. 2015. Vol. 37. №. 7. P. 1149–1156.</w:t>
      </w:r>
    </w:p>
    <w:p>
      <w:pPr>
        <w:pStyle w:val="ListParagraph"/>
        <w:numPr>
          <w:ilvl w:val="0"/>
          <w:numId w:val="25"/>
        </w:numPr>
        <w:tabs>
          <w:tab w:pos="1982" w:val="left" w:leader="none"/>
        </w:tabs>
        <w:spacing w:line="360" w:lineRule="auto" w:before="0" w:after="0"/>
        <w:ind w:left="1981" w:right="806" w:hanging="360"/>
        <w:jc w:val="left"/>
        <w:rPr>
          <w:sz w:val="24"/>
        </w:rPr>
      </w:pPr>
      <w:bookmarkStart w:name="_bookmark142" w:id="191"/>
      <w:bookmarkEnd w:id="191"/>
      <w:r>
        <w:rPr>
          <w:sz w:val="24"/>
        </w:rPr>
        <w:t>G</w:t>
      </w:r>
      <w:r>
        <w:rPr>
          <w:sz w:val="24"/>
        </w:rPr>
        <w:t>reen</w:t>
      </w:r>
      <w:r>
        <w:rPr>
          <w:spacing w:val="-2"/>
          <w:sz w:val="24"/>
        </w:rPr>
        <w:t> </w:t>
      </w:r>
      <w:r>
        <w:rPr>
          <w:sz w:val="24"/>
        </w:rPr>
        <w:t>D,</w:t>
      </w:r>
      <w:r>
        <w:rPr>
          <w:spacing w:val="-4"/>
          <w:sz w:val="24"/>
        </w:rPr>
        <w:t> </w:t>
      </w:r>
      <w:r>
        <w:rPr>
          <w:sz w:val="24"/>
        </w:rPr>
        <w:t>Ritchie</w:t>
      </w:r>
      <w:r>
        <w:rPr>
          <w:spacing w:val="-5"/>
          <w:sz w:val="24"/>
        </w:rPr>
        <w:t> </w:t>
      </w:r>
      <w:r>
        <w:rPr>
          <w:sz w:val="24"/>
        </w:rPr>
        <w:t>JP,</w:t>
      </w:r>
      <w:r>
        <w:rPr>
          <w:spacing w:val="-4"/>
          <w:sz w:val="24"/>
        </w:rPr>
        <w:t> </w:t>
      </w:r>
      <w:r>
        <w:rPr>
          <w:sz w:val="24"/>
        </w:rPr>
        <w:t>Kalra</w:t>
      </w:r>
      <w:r>
        <w:rPr>
          <w:spacing w:val="-5"/>
          <w:sz w:val="24"/>
        </w:rPr>
        <w:t> </w:t>
      </w:r>
      <w:r>
        <w:rPr>
          <w:sz w:val="24"/>
        </w:rPr>
        <w:t>PA.</w:t>
      </w:r>
      <w:r>
        <w:rPr>
          <w:spacing w:val="-4"/>
          <w:sz w:val="24"/>
        </w:rPr>
        <w:t> </w:t>
      </w:r>
      <w:r>
        <w:rPr>
          <w:sz w:val="24"/>
        </w:rPr>
        <w:t>Meta-analysis</w:t>
      </w:r>
      <w:r>
        <w:rPr>
          <w:spacing w:val="-4"/>
          <w:sz w:val="24"/>
        </w:rPr>
        <w:t> </w:t>
      </w:r>
      <w:r>
        <w:rPr>
          <w:sz w:val="24"/>
        </w:rPr>
        <w:t>of</w:t>
      </w:r>
      <w:r>
        <w:rPr>
          <w:spacing w:val="-5"/>
          <w:sz w:val="24"/>
        </w:rPr>
        <w:t> </w:t>
      </w:r>
      <w:r>
        <w:rPr>
          <w:sz w:val="24"/>
        </w:rPr>
        <w:t>lipid-lowering</w:t>
      </w:r>
      <w:r>
        <w:rPr>
          <w:spacing w:val="-4"/>
          <w:sz w:val="24"/>
        </w:rPr>
        <w:t> </w:t>
      </w:r>
      <w:r>
        <w:rPr>
          <w:sz w:val="24"/>
        </w:rPr>
        <w:t>therapy</w:t>
      </w:r>
      <w:r>
        <w:rPr>
          <w:spacing w:val="-4"/>
          <w:sz w:val="24"/>
        </w:rPr>
        <w:t> </w:t>
      </w:r>
      <w:r>
        <w:rPr>
          <w:sz w:val="24"/>
        </w:rPr>
        <w:t>in</w:t>
      </w:r>
      <w:r>
        <w:rPr>
          <w:spacing w:val="-2"/>
          <w:sz w:val="24"/>
        </w:rPr>
        <w:t> </w:t>
      </w:r>
      <w:r>
        <w:rPr>
          <w:sz w:val="24"/>
        </w:rPr>
        <w:t>maintenance dialysis patients // Nephron Clinical Practice. 2013. Vol. 124. №. 3–4. P. 209–217.</w:t>
      </w:r>
    </w:p>
    <w:p>
      <w:pPr>
        <w:pStyle w:val="ListParagraph"/>
        <w:numPr>
          <w:ilvl w:val="0"/>
          <w:numId w:val="25"/>
        </w:numPr>
        <w:tabs>
          <w:tab w:pos="1982" w:val="left" w:leader="none"/>
        </w:tabs>
        <w:spacing w:line="360" w:lineRule="auto" w:before="0" w:after="0"/>
        <w:ind w:left="1981" w:right="570" w:hanging="360"/>
        <w:jc w:val="left"/>
        <w:rPr>
          <w:sz w:val="24"/>
        </w:rPr>
      </w:pPr>
      <w:bookmarkStart w:name="_bookmark143" w:id="192"/>
      <w:bookmarkEnd w:id="192"/>
      <w:r>
        <w:rPr>
          <w:sz w:val="24"/>
        </w:rPr>
        <w:t>L</w:t>
      </w:r>
      <w:r>
        <w:rPr>
          <w:sz w:val="24"/>
        </w:rPr>
        <w:t>in</w:t>
      </w:r>
      <w:r>
        <w:rPr>
          <w:spacing w:val="-3"/>
          <w:sz w:val="24"/>
        </w:rPr>
        <w:t> </w:t>
      </w:r>
      <w:r>
        <w:rPr>
          <w:sz w:val="24"/>
        </w:rPr>
        <w:t>YC</w:t>
      </w:r>
      <w:r>
        <w:rPr>
          <w:spacing w:val="-3"/>
          <w:sz w:val="24"/>
        </w:rPr>
        <w:t> </w:t>
      </w:r>
      <w:r>
        <w:rPr>
          <w:sz w:val="24"/>
        </w:rPr>
        <w:t>et</w:t>
      </w:r>
      <w:r>
        <w:rPr>
          <w:spacing w:val="-3"/>
          <w:sz w:val="24"/>
        </w:rPr>
        <w:t> </w:t>
      </w:r>
      <w:r>
        <w:rPr>
          <w:sz w:val="24"/>
        </w:rPr>
        <w:t>al.</w:t>
      </w:r>
      <w:r>
        <w:rPr>
          <w:spacing w:val="-3"/>
          <w:sz w:val="24"/>
        </w:rPr>
        <w:t> </w:t>
      </w:r>
      <w:r>
        <w:rPr>
          <w:sz w:val="24"/>
        </w:rPr>
        <w:t>Effects</w:t>
      </w:r>
      <w:r>
        <w:rPr>
          <w:spacing w:val="-3"/>
          <w:sz w:val="24"/>
        </w:rPr>
        <w:t> </w:t>
      </w:r>
      <w:r>
        <w:rPr>
          <w:sz w:val="24"/>
        </w:rPr>
        <w:t>and</w:t>
      </w:r>
      <w:r>
        <w:rPr>
          <w:spacing w:val="-1"/>
          <w:sz w:val="24"/>
        </w:rPr>
        <w:t> </w:t>
      </w:r>
      <w:r>
        <w:rPr>
          <w:sz w:val="24"/>
        </w:rPr>
        <w:t>Safety</w:t>
      </w:r>
      <w:r>
        <w:rPr>
          <w:spacing w:val="-3"/>
          <w:sz w:val="24"/>
        </w:rPr>
        <w:t> </w:t>
      </w:r>
      <w:r>
        <w:rPr>
          <w:sz w:val="24"/>
        </w:rPr>
        <w:t>of</w:t>
      </w:r>
      <w:r>
        <w:rPr>
          <w:spacing w:val="-4"/>
          <w:sz w:val="24"/>
        </w:rPr>
        <w:t> </w:t>
      </w:r>
      <w:r>
        <w:rPr>
          <w:sz w:val="24"/>
        </w:rPr>
        <w:t>Statin</w:t>
      </w:r>
      <w:r>
        <w:rPr>
          <w:spacing w:val="-3"/>
          <w:sz w:val="24"/>
        </w:rPr>
        <w:t> </w:t>
      </w:r>
      <w:r>
        <w:rPr>
          <w:sz w:val="24"/>
        </w:rPr>
        <w:t>and</w:t>
      </w:r>
      <w:r>
        <w:rPr>
          <w:spacing w:val="-3"/>
          <w:sz w:val="24"/>
        </w:rPr>
        <w:t> </w:t>
      </w:r>
      <w:r>
        <w:rPr>
          <w:sz w:val="24"/>
        </w:rPr>
        <w:t>Ezetimibe</w:t>
      </w:r>
      <w:r>
        <w:rPr>
          <w:spacing w:val="-4"/>
          <w:sz w:val="24"/>
        </w:rPr>
        <w:t> </w:t>
      </w:r>
      <w:r>
        <w:rPr>
          <w:sz w:val="24"/>
        </w:rPr>
        <w:t>Combination</w:t>
      </w:r>
      <w:r>
        <w:rPr>
          <w:spacing w:val="-3"/>
          <w:sz w:val="24"/>
        </w:rPr>
        <w:t> </w:t>
      </w:r>
      <w:r>
        <w:rPr>
          <w:sz w:val="24"/>
        </w:rPr>
        <w:t>Therapy</w:t>
      </w:r>
      <w:r>
        <w:rPr>
          <w:spacing w:val="-3"/>
          <w:sz w:val="24"/>
        </w:rPr>
        <w:t> </w:t>
      </w:r>
      <w:r>
        <w:rPr>
          <w:sz w:val="24"/>
        </w:rPr>
        <w:t>in</w:t>
      </w:r>
      <w:r>
        <w:rPr>
          <w:spacing w:val="-3"/>
          <w:sz w:val="24"/>
        </w:rPr>
        <w:t> </w:t>
      </w:r>
      <w:r>
        <w:rPr>
          <w:sz w:val="24"/>
        </w:rPr>
        <w:t>Patients with Chronic Kidney Disease: A Systematic Review and Meta-Analysis // Clinical Pharmacology &amp; Therapeutics. 2020.</w:t>
      </w:r>
    </w:p>
    <w:p>
      <w:pPr>
        <w:pStyle w:val="ListParagraph"/>
        <w:numPr>
          <w:ilvl w:val="0"/>
          <w:numId w:val="25"/>
        </w:numPr>
        <w:tabs>
          <w:tab w:pos="1982" w:val="left" w:leader="none"/>
        </w:tabs>
        <w:spacing w:line="360" w:lineRule="auto" w:before="0" w:after="0"/>
        <w:ind w:left="1981" w:right="954" w:hanging="360"/>
        <w:jc w:val="left"/>
        <w:rPr>
          <w:sz w:val="24"/>
        </w:rPr>
      </w:pPr>
      <w:bookmarkStart w:name="_bookmark144" w:id="193"/>
      <w:bookmarkEnd w:id="193"/>
      <w:r>
        <w:rPr>
          <w:sz w:val="24"/>
        </w:rPr>
        <w:t>W</w:t>
      </w:r>
      <w:r>
        <w:rPr>
          <w:sz w:val="24"/>
        </w:rPr>
        <w:t>anner C et al. Atorvastatin in patients with type 2 diabetes mellitus undergoing hemodialysis</w:t>
      </w:r>
      <w:r>
        <w:rPr>
          <w:spacing w:val="-3"/>
          <w:sz w:val="24"/>
        </w:rPr>
        <w:t> </w:t>
      </w:r>
      <w:r>
        <w:rPr>
          <w:sz w:val="24"/>
        </w:rPr>
        <w:t>//</w:t>
      </w:r>
      <w:r>
        <w:rPr>
          <w:spacing w:val="-3"/>
          <w:sz w:val="24"/>
        </w:rPr>
        <w:t> </w:t>
      </w:r>
      <w:r>
        <w:rPr>
          <w:sz w:val="24"/>
        </w:rPr>
        <w:t>New</w:t>
      </w:r>
      <w:r>
        <w:rPr>
          <w:spacing w:val="-4"/>
          <w:sz w:val="24"/>
        </w:rPr>
        <w:t> </w:t>
      </w:r>
      <w:r>
        <w:rPr>
          <w:sz w:val="24"/>
        </w:rPr>
        <w:t>England</w:t>
      </w:r>
      <w:r>
        <w:rPr>
          <w:spacing w:val="-3"/>
          <w:sz w:val="24"/>
        </w:rPr>
        <w:t> </w:t>
      </w:r>
      <w:r>
        <w:rPr>
          <w:sz w:val="24"/>
        </w:rPr>
        <w:t>Journal</w:t>
      </w:r>
      <w:r>
        <w:rPr>
          <w:spacing w:val="-3"/>
          <w:sz w:val="24"/>
        </w:rPr>
        <w:t> </w:t>
      </w:r>
      <w:r>
        <w:rPr>
          <w:sz w:val="24"/>
        </w:rPr>
        <w:t>of</w:t>
      </w:r>
      <w:r>
        <w:rPr>
          <w:spacing w:val="-4"/>
          <w:sz w:val="24"/>
        </w:rPr>
        <w:t> </w:t>
      </w:r>
      <w:r>
        <w:rPr>
          <w:sz w:val="24"/>
        </w:rPr>
        <w:t>Medicine.</w:t>
      </w:r>
      <w:r>
        <w:rPr>
          <w:spacing w:val="-3"/>
          <w:sz w:val="24"/>
        </w:rPr>
        <w:t> </w:t>
      </w:r>
      <w:r>
        <w:rPr>
          <w:sz w:val="24"/>
        </w:rPr>
        <w:t>2005.</w:t>
      </w:r>
      <w:r>
        <w:rPr>
          <w:spacing w:val="-3"/>
          <w:sz w:val="24"/>
        </w:rPr>
        <w:t> </w:t>
      </w:r>
      <w:r>
        <w:rPr>
          <w:sz w:val="24"/>
        </w:rPr>
        <w:t>Vol.</w:t>
      </w:r>
      <w:r>
        <w:rPr>
          <w:spacing w:val="-3"/>
          <w:sz w:val="24"/>
        </w:rPr>
        <w:t> </w:t>
      </w:r>
      <w:r>
        <w:rPr>
          <w:sz w:val="24"/>
        </w:rPr>
        <w:t>353.</w:t>
      </w:r>
      <w:r>
        <w:rPr>
          <w:spacing w:val="-3"/>
          <w:sz w:val="24"/>
        </w:rPr>
        <w:t> </w:t>
      </w:r>
      <w:r>
        <w:rPr>
          <w:sz w:val="24"/>
        </w:rPr>
        <w:t>№.</w:t>
      </w:r>
      <w:r>
        <w:rPr>
          <w:spacing w:val="-3"/>
          <w:sz w:val="24"/>
        </w:rPr>
        <w:t> </w:t>
      </w:r>
      <w:r>
        <w:rPr>
          <w:sz w:val="24"/>
        </w:rPr>
        <w:t>3.</w:t>
      </w:r>
      <w:r>
        <w:rPr>
          <w:spacing w:val="-3"/>
          <w:sz w:val="24"/>
        </w:rPr>
        <w:t> </w:t>
      </w:r>
      <w:r>
        <w:rPr>
          <w:sz w:val="24"/>
        </w:rPr>
        <w:t>P.</w:t>
      </w:r>
      <w:r>
        <w:rPr>
          <w:spacing w:val="-3"/>
          <w:sz w:val="24"/>
        </w:rPr>
        <w:t> </w:t>
      </w:r>
      <w:r>
        <w:rPr>
          <w:sz w:val="24"/>
        </w:rPr>
        <w:t>238–248.</w:t>
      </w:r>
    </w:p>
    <w:p>
      <w:pPr>
        <w:pStyle w:val="ListParagraph"/>
        <w:numPr>
          <w:ilvl w:val="0"/>
          <w:numId w:val="25"/>
        </w:numPr>
        <w:tabs>
          <w:tab w:pos="2677" w:val="left" w:leader="none"/>
          <w:tab w:pos="2678" w:val="left" w:leader="none"/>
        </w:tabs>
        <w:spacing w:line="360" w:lineRule="auto" w:before="0" w:after="0"/>
        <w:ind w:left="1981" w:right="594" w:hanging="360"/>
        <w:jc w:val="left"/>
        <w:rPr>
          <w:sz w:val="24"/>
        </w:rPr>
      </w:pPr>
      <w:bookmarkStart w:name="_bookmark145" w:id="194"/>
      <w:bookmarkEnd w:id="194"/>
      <w:r>
        <w:rPr>
          <w:sz w:val="24"/>
        </w:rPr>
        <w:t>F</w:t>
      </w:r>
      <w:r>
        <w:rPr>
          <w:sz w:val="24"/>
        </w:rPr>
        <w:t>ellström BC et al.</w:t>
      </w:r>
      <w:r>
        <w:rPr>
          <w:spacing w:val="-1"/>
          <w:sz w:val="24"/>
        </w:rPr>
        <w:t> </w:t>
      </w:r>
      <w:r>
        <w:rPr>
          <w:sz w:val="24"/>
        </w:rPr>
        <w:t>Rosuvastatin and cardiovascular</w:t>
      </w:r>
      <w:r>
        <w:rPr>
          <w:spacing w:val="-1"/>
          <w:sz w:val="24"/>
        </w:rPr>
        <w:t> </w:t>
      </w:r>
      <w:r>
        <w:rPr>
          <w:sz w:val="24"/>
        </w:rPr>
        <w:t>events in patients undergoing hemodialysis</w:t>
      </w:r>
      <w:r>
        <w:rPr>
          <w:spacing w:val="-3"/>
          <w:sz w:val="24"/>
        </w:rPr>
        <w:t> </w:t>
      </w:r>
      <w:r>
        <w:rPr>
          <w:sz w:val="24"/>
        </w:rPr>
        <w:t>//</w:t>
      </w:r>
      <w:r>
        <w:rPr>
          <w:spacing w:val="-3"/>
          <w:sz w:val="24"/>
        </w:rPr>
        <w:t> </w:t>
      </w:r>
      <w:r>
        <w:rPr>
          <w:sz w:val="24"/>
        </w:rPr>
        <w:t>New</w:t>
      </w:r>
      <w:r>
        <w:rPr>
          <w:spacing w:val="-4"/>
          <w:sz w:val="24"/>
        </w:rPr>
        <w:t> </w:t>
      </w:r>
      <w:r>
        <w:rPr>
          <w:sz w:val="24"/>
        </w:rPr>
        <w:t>England</w:t>
      </w:r>
      <w:r>
        <w:rPr>
          <w:spacing w:val="-3"/>
          <w:sz w:val="24"/>
        </w:rPr>
        <w:t> </w:t>
      </w:r>
      <w:r>
        <w:rPr>
          <w:sz w:val="24"/>
        </w:rPr>
        <w:t>Journal</w:t>
      </w:r>
      <w:r>
        <w:rPr>
          <w:spacing w:val="-3"/>
          <w:sz w:val="24"/>
        </w:rPr>
        <w:t> </w:t>
      </w:r>
      <w:r>
        <w:rPr>
          <w:sz w:val="24"/>
        </w:rPr>
        <w:t>of</w:t>
      </w:r>
      <w:r>
        <w:rPr>
          <w:spacing w:val="-4"/>
          <w:sz w:val="24"/>
        </w:rPr>
        <w:t> </w:t>
      </w:r>
      <w:r>
        <w:rPr>
          <w:sz w:val="24"/>
        </w:rPr>
        <w:t>Medicine.</w:t>
      </w:r>
      <w:r>
        <w:rPr>
          <w:spacing w:val="-3"/>
          <w:sz w:val="24"/>
        </w:rPr>
        <w:t> </w:t>
      </w:r>
      <w:r>
        <w:rPr>
          <w:sz w:val="24"/>
        </w:rPr>
        <w:t>2009.</w:t>
      </w:r>
      <w:r>
        <w:rPr>
          <w:spacing w:val="-3"/>
          <w:sz w:val="24"/>
        </w:rPr>
        <w:t> </w:t>
      </w:r>
      <w:r>
        <w:rPr>
          <w:sz w:val="24"/>
        </w:rPr>
        <w:t>Vol.</w:t>
      </w:r>
      <w:r>
        <w:rPr>
          <w:spacing w:val="-3"/>
          <w:sz w:val="24"/>
        </w:rPr>
        <w:t> </w:t>
      </w:r>
      <w:r>
        <w:rPr>
          <w:sz w:val="24"/>
        </w:rPr>
        <w:t>360.</w:t>
      </w:r>
      <w:r>
        <w:rPr>
          <w:spacing w:val="-3"/>
          <w:sz w:val="24"/>
        </w:rPr>
        <w:t> </w:t>
      </w:r>
      <w:r>
        <w:rPr>
          <w:sz w:val="24"/>
        </w:rPr>
        <w:t>№.</w:t>
      </w:r>
      <w:r>
        <w:rPr>
          <w:spacing w:val="-3"/>
          <w:sz w:val="24"/>
        </w:rPr>
        <w:t> </w:t>
      </w:r>
      <w:r>
        <w:rPr>
          <w:sz w:val="24"/>
        </w:rPr>
        <w:t>14.</w:t>
      </w:r>
      <w:r>
        <w:rPr>
          <w:spacing w:val="-3"/>
          <w:sz w:val="24"/>
        </w:rPr>
        <w:t> </w:t>
      </w:r>
      <w:r>
        <w:rPr>
          <w:sz w:val="24"/>
        </w:rPr>
        <w:t>P.</w:t>
      </w:r>
      <w:r>
        <w:rPr>
          <w:spacing w:val="-3"/>
          <w:sz w:val="24"/>
        </w:rPr>
        <w:t> </w:t>
      </w:r>
      <w:r>
        <w:rPr>
          <w:sz w:val="24"/>
        </w:rPr>
        <w:t>1395–1407.</w:t>
      </w:r>
    </w:p>
    <w:p>
      <w:pPr>
        <w:pStyle w:val="ListParagraph"/>
        <w:numPr>
          <w:ilvl w:val="0"/>
          <w:numId w:val="25"/>
        </w:numPr>
        <w:tabs>
          <w:tab w:pos="2677" w:val="left" w:leader="none"/>
          <w:tab w:pos="2678" w:val="left" w:leader="none"/>
        </w:tabs>
        <w:spacing w:line="360" w:lineRule="auto" w:before="0" w:after="0"/>
        <w:ind w:left="1981" w:right="630" w:hanging="360"/>
        <w:jc w:val="left"/>
        <w:rPr>
          <w:sz w:val="24"/>
        </w:rPr>
      </w:pPr>
      <w:bookmarkStart w:name="_bookmark146" w:id="195"/>
      <w:bookmarkEnd w:id="195"/>
      <w:r>
        <w:rPr>
          <w:sz w:val="24"/>
        </w:rPr>
        <w:t>de</w:t>
      </w:r>
      <w:r>
        <w:rPr>
          <w:sz w:val="24"/>
        </w:rPr>
        <w:t> Lemos JA et al. Early intensive vs a delayed conservative simvastatin strategy in</w:t>
      </w:r>
      <w:r>
        <w:rPr>
          <w:spacing w:val="-2"/>
          <w:sz w:val="24"/>
        </w:rPr>
        <w:t> </w:t>
      </w:r>
      <w:r>
        <w:rPr>
          <w:sz w:val="24"/>
        </w:rPr>
        <w:t>patients</w:t>
      </w:r>
      <w:r>
        <w:rPr>
          <w:spacing w:val="-2"/>
          <w:sz w:val="24"/>
        </w:rPr>
        <w:t> </w:t>
      </w:r>
      <w:r>
        <w:rPr>
          <w:sz w:val="24"/>
        </w:rPr>
        <w:t>with</w:t>
      </w:r>
      <w:r>
        <w:rPr>
          <w:spacing w:val="-2"/>
          <w:sz w:val="24"/>
        </w:rPr>
        <w:t> </w:t>
      </w:r>
      <w:r>
        <w:rPr>
          <w:sz w:val="24"/>
        </w:rPr>
        <w:t>acute</w:t>
      </w:r>
      <w:r>
        <w:rPr>
          <w:spacing w:val="-3"/>
          <w:sz w:val="24"/>
        </w:rPr>
        <w:t> </w:t>
      </w:r>
      <w:r>
        <w:rPr>
          <w:sz w:val="24"/>
        </w:rPr>
        <w:t>coronary</w:t>
      </w:r>
      <w:r>
        <w:rPr>
          <w:spacing w:val="-2"/>
          <w:sz w:val="24"/>
        </w:rPr>
        <w:t> </w:t>
      </w:r>
      <w:r>
        <w:rPr>
          <w:sz w:val="24"/>
        </w:rPr>
        <w:t>syndromes:</w:t>
      </w:r>
      <w:r>
        <w:rPr>
          <w:spacing w:val="-2"/>
          <w:sz w:val="24"/>
        </w:rPr>
        <w:t> </w:t>
      </w:r>
      <w:r>
        <w:rPr>
          <w:sz w:val="24"/>
        </w:rPr>
        <w:t>phase</w:t>
      </w:r>
      <w:r>
        <w:rPr>
          <w:spacing w:val="-1"/>
          <w:sz w:val="24"/>
        </w:rPr>
        <w:t> </w:t>
      </w:r>
      <w:r>
        <w:rPr>
          <w:sz w:val="24"/>
        </w:rPr>
        <w:t>Z</w:t>
      </w:r>
      <w:r>
        <w:rPr>
          <w:spacing w:val="-3"/>
          <w:sz w:val="24"/>
        </w:rPr>
        <w:t> </w:t>
      </w:r>
      <w:r>
        <w:rPr>
          <w:sz w:val="24"/>
        </w:rPr>
        <w:t>of</w:t>
      </w:r>
      <w:r>
        <w:rPr>
          <w:spacing w:val="-3"/>
          <w:sz w:val="24"/>
        </w:rPr>
        <w:t> </w:t>
      </w:r>
      <w:r>
        <w:rPr>
          <w:sz w:val="24"/>
        </w:rPr>
        <w:t>the</w:t>
      </w:r>
      <w:r>
        <w:rPr>
          <w:spacing w:val="-3"/>
          <w:sz w:val="24"/>
        </w:rPr>
        <w:t> </w:t>
      </w:r>
      <w:r>
        <w:rPr>
          <w:sz w:val="24"/>
        </w:rPr>
        <w:t>A</w:t>
      </w:r>
      <w:r>
        <w:rPr>
          <w:spacing w:val="-3"/>
          <w:sz w:val="24"/>
        </w:rPr>
        <w:t> </w:t>
      </w:r>
      <w:r>
        <w:rPr>
          <w:sz w:val="24"/>
        </w:rPr>
        <w:t>to</w:t>
      </w:r>
      <w:r>
        <w:rPr>
          <w:spacing w:val="-2"/>
          <w:sz w:val="24"/>
        </w:rPr>
        <w:t> </w:t>
      </w:r>
      <w:r>
        <w:rPr>
          <w:sz w:val="24"/>
        </w:rPr>
        <w:t>Z</w:t>
      </w:r>
      <w:r>
        <w:rPr>
          <w:spacing w:val="-3"/>
          <w:sz w:val="24"/>
        </w:rPr>
        <w:t> </w:t>
      </w:r>
      <w:r>
        <w:rPr>
          <w:sz w:val="24"/>
        </w:rPr>
        <w:t>trial</w:t>
      </w:r>
      <w:r>
        <w:rPr>
          <w:spacing w:val="-2"/>
          <w:sz w:val="24"/>
        </w:rPr>
        <w:t> </w:t>
      </w:r>
      <w:r>
        <w:rPr>
          <w:sz w:val="24"/>
        </w:rPr>
        <w:t>//</w:t>
      </w:r>
      <w:r>
        <w:rPr>
          <w:spacing w:val="-2"/>
          <w:sz w:val="24"/>
        </w:rPr>
        <w:t> </w:t>
      </w:r>
      <w:r>
        <w:rPr>
          <w:sz w:val="24"/>
        </w:rPr>
        <w:t>Jama.</w:t>
      </w:r>
      <w:r>
        <w:rPr>
          <w:spacing w:val="-2"/>
          <w:sz w:val="24"/>
        </w:rPr>
        <w:t> </w:t>
      </w:r>
      <w:r>
        <w:rPr>
          <w:sz w:val="24"/>
        </w:rPr>
        <w:t>2004.</w:t>
      </w:r>
      <w:r>
        <w:rPr>
          <w:spacing w:val="-2"/>
          <w:sz w:val="24"/>
        </w:rPr>
        <w:t> </w:t>
      </w:r>
      <w:r>
        <w:rPr>
          <w:sz w:val="24"/>
        </w:rPr>
        <w:t>Vol.</w:t>
      </w:r>
    </w:p>
    <w:p>
      <w:pPr>
        <w:pStyle w:val="BodyText"/>
      </w:pPr>
      <w:r>
        <w:rPr/>
        <w:t>292.</w:t>
      </w:r>
      <w:r>
        <w:rPr>
          <w:spacing w:val="-1"/>
        </w:rPr>
        <w:t> </w:t>
      </w:r>
      <w:r>
        <w:rPr/>
        <w:t>№. 11. P. </w:t>
      </w:r>
      <w:r>
        <w:rPr>
          <w:spacing w:val="-2"/>
        </w:rPr>
        <w:t>1307–1316.</w:t>
      </w:r>
    </w:p>
    <w:p>
      <w:pPr>
        <w:pStyle w:val="ListParagraph"/>
        <w:numPr>
          <w:ilvl w:val="0"/>
          <w:numId w:val="25"/>
        </w:numPr>
        <w:tabs>
          <w:tab w:pos="2677" w:val="left" w:leader="none"/>
          <w:tab w:pos="2678" w:val="left" w:leader="none"/>
        </w:tabs>
        <w:spacing w:line="360" w:lineRule="auto" w:before="139" w:after="0"/>
        <w:ind w:left="1981" w:right="985" w:hanging="360"/>
        <w:jc w:val="both"/>
        <w:rPr>
          <w:sz w:val="24"/>
        </w:rPr>
      </w:pPr>
      <w:bookmarkStart w:name="_bookmark147" w:id="196"/>
      <w:bookmarkEnd w:id="196"/>
      <w:r>
        <w:rPr>
          <w:sz w:val="24"/>
        </w:rPr>
        <w:t>R</w:t>
      </w:r>
      <w:r>
        <w:rPr>
          <w:sz w:val="24"/>
        </w:rPr>
        <w:t>ay</w:t>
      </w:r>
      <w:r>
        <w:rPr>
          <w:spacing w:val="-3"/>
          <w:sz w:val="24"/>
        </w:rPr>
        <w:t> </w:t>
      </w:r>
      <w:r>
        <w:rPr>
          <w:sz w:val="24"/>
        </w:rPr>
        <w:t>KK</w:t>
      </w:r>
      <w:r>
        <w:rPr>
          <w:spacing w:val="-4"/>
          <w:sz w:val="24"/>
        </w:rPr>
        <w:t> </w:t>
      </w:r>
      <w:r>
        <w:rPr>
          <w:sz w:val="24"/>
        </w:rPr>
        <w:t>et</w:t>
      </w:r>
      <w:r>
        <w:rPr>
          <w:spacing w:val="-3"/>
          <w:sz w:val="24"/>
        </w:rPr>
        <w:t> </w:t>
      </w:r>
      <w:r>
        <w:rPr>
          <w:sz w:val="24"/>
        </w:rPr>
        <w:t>al.</w:t>
      </w:r>
      <w:r>
        <w:rPr>
          <w:spacing w:val="-3"/>
          <w:sz w:val="24"/>
        </w:rPr>
        <w:t> </w:t>
      </w:r>
      <w:r>
        <w:rPr>
          <w:sz w:val="24"/>
        </w:rPr>
        <w:t>Early</w:t>
      </w:r>
      <w:r>
        <w:rPr>
          <w:spacing w:val="-3"/>
          <w:sz w:val="24"/>
        </w:rPr>
        <w:t> </w:t>
      </w:r>
      <w:r>
        <w:rPr>
          <w:sz w:val="24"/>
        </w:rPr>
        <w:t>and</w:t>
      </w:r>
      <w:r>
        <w:rPr>
          <w:spacing w:val="-3"/>
          <w:sz w:val="24"/>
        </w:rPr>
        <w:t> </w:t>
      </w:r>
      <w:r>
        <w:rPr>
          <w:sz w:val="24"/>
        </w:rPr>
        <w:t>late</w:t>
      </w:r>
      <w:r>
        <w:rPr>
          <w:spacing w:val="-4"/>
          <w:sz w:val="24"/>
        </w:rPr>
        <w:t> </w:t>
      </w:r>
      <w:r>
        <w:rPr>
          <w:sz w:val="24"/>
        </w:rPr>
        <w:t>benefits</w:t>
      </w:r>
      <w:r>
        <w:rPr>
          <w:spacing w:val="-3"/>
          <w:sz w:val="24"/>
        </w:rPr>
        <w:t> </w:t>
      </w:r>
      <w:r>
        <w:rPr>
          <w:sz w:val="24"/>
        </w:rPr>
        <w:t>of</w:t>
      </w:r>
      <w:r>
        <w:rPr>
          <w:spacing w:val="-4"/>
          <w:sz w:val="24"/>
        </w:rPr>
        <w:t> </w:t>
      </w:r>
      <w:r>
        <w:rPr>
          <w:sz w:val="24"/>
        </w:rPr>
        <w:t>high-dose</w:t>
      </w:r>
      <w:r>
        <w:rPr>
          <w:spacing w:val="-2"/>
          <w:sz w:val="24"/>
        </w:rPr>
        <w:t> </w:t>
      </w:r>
      <w:r>
        <w:rPr>
          <w:sz w:val="24"/>
        </w:rPr>
        <w:t>atorvastatin</w:t>
      </w:r>
      <w:r>
        <w:rPr>
          <w:spacing w:val="-3"/>
          <w:sz w:val="24"/>
        </w:rPr>
        <w:t> </w:t>
      </w:r>
      <w:r>
        <w:rPr>
          <w:sz w:val="24"/>
        </w:rPr>
        <w:t>in</w:t>
      </w:r>
      <w:r>
        <w:rPr>
          <w:spacing w:val="-3"/>
          <w:sz w:val="24"/>
        </w:rPr>
        <w:t> </w:t>
      </w:r>
      <w:r>
        <w:rPr>
          <w:sz w:val="24"/>
        </w:rPr>
        <w:t>patients</w:t>
      </w:r>
      <w:r>
        <w:rPr>
          <w:spacing w:val="-3"/>
          <w:sz w:val="24"/>
        </w:rPr>
        <w:t> </w:t>
      </w:r>
      <w:r>
        <w:rPr>
          <w:sz w:val="24"/>
        </w:rPr>
        <w:t>with acute</w:t>
      </w:r>
      <w:r>
        <w:rPr>
          <w:spacing w:val="-2"/>
          <w:sz w:val="24"/>
        </w:rPr>
        <w:t> </w:t>
      </w:r>
      <w:r>
        <w:rPr>
          <w:sz w:val="24"/>
        </w:rPr>
        <w:t>coronary</w:t>
      </w:r>
      <w:r>
        <w:rPr>
          <w:spacing w:val="-1"/>
          <w:sz w:val="24"/>
        </w:rPr>
        <w:t> </w:t>
      </w:r>
      <w:r>
        <w:rPr>
          <w:sz w:val="24"/>
        </w:rPr>
        <w:t>syndromes:</w:t>
      </w:r>
      <w:r>
        <w:rPr>
          <w:spacing w:val="-1"/>
          <w:sz w:val="24"/>
        </w:rPr>
        <w:t> </w:t>
      </w:r>
      <w:r>
        <w:rPr>
          <w:sz w:val="24"/>
        </w:rPr>
        <w:t>results</w:t>
      </w:r>
      <w:r>
        <w:rPr>
          <w:spacing w:val="-1"/>
          <w:sz w:val="24"/>
        </w:rPr>
        <w:t> </w:t>
      </w:r>
      <w:r>
        <w:rPr>
          <w:sz w:val="24"/>
        </w:rPr>
        <w:t>from</w:t>
      </w:r>
      <w:r>
        <w:rPr>
          <w:spacing w:val="-1"/>
          <w:sz w:val="24"/>
        </w:rPr>
        <w:t> </w:t>
      </w:r>
      <w:r>
        <w:rPr>
          <w:sz w:val="24"/>
        </w:rPr>
        <w:t>the</w:t>
      </w:r>
      <w:r>
        <w:rPr>
          <w:spacing w:val="-2"/>
          <w:sz w:val="24"/>
        </w:rPr>
        <w:t> </w:t>
      </w:r>
      <w:r>
        <w:rPr>
          <w:sz w:val="24"/>
        </w:rPr>
        <w:t>PROVE</w:t>
      </w:r>
      <w:r>
        <w:rPr>
          <w:spacing w:val="-2"/>
          <w:sz w:val="24"/>
        </w:rPr>
        <w:t> </w:t>
      </w:r>
      <w:r>
        <w:rPr>
          <w:sz w:val="24"/>
        </w:rPr>
        <w:t>IT-TIMI</w:t>
      </w:r>
      <w:r>
        <w:rPr>
          <w:spacing w:val="-5"/>
          <w:sz w:val="24"/>
        </w:rPr>
        <w:t> </w:t>
      </w:r>
      <w:r>
        <w:rPr>
          <w:sz w:val="24"/>
        </w:rPr>
        <w:t>22</w:t>
      </w:r>
      <w:r>
        <w:rPr>
          <w:spacing w:val="-1"/>
          <w:sz w:val="24"/>
        </w:rPr>
        <w:t> </w:t>
      </w:r>
      <w:r>
        <w:rPr>
          <w:sz w:val="24"/>
        </w:rPr>
        <w:t>trial</w:t>
      </w:r>
      <w:r>
        <w:rPr>
          <w:spacing w:val="-1"/>
          <w:sz w:val="24"/>
        </w:rPr>
        <w:t> </w:t>
      </w:r>
      <w:r>
        <w:rPr>
          <w:sz w:val="24"/>
        </w:rPr>
        <w:t>//</w:t>
      </w:r>
      <w:r>
        <w:rPr>
          <w:spacing w:val="-1"/>
          <w:sz w:val="24"/>
        </w:rPr>
        <w:t> </w:t>
      </w:r>
      <w:r>
        <w:rPr>
          <w:sz w:val="24"/>
        </w:rPr>
        <w:t>Journal</w:t>
      </w:r>
      <w:r>
        <w:rPr>
          <w:spacing w:val="-1"/>
          <w:sz w:val="24"/>
        </w:rPr>
        <w:t> </w:t>
      </w:r>
      <w:r>
        <w:rPr>
          <w:sz w:val="24"/>
        </w:rPr>
        <w:t>of</w:t>
      </w:r>
      <w:r>
        <w:rPr>
          <w:spacing w:val="-2"/>
          <w:sz w:val="24"/>
        </w:rPr>
        <w:t> </w:t>
      </w:r>
      <w:r>
        <w:rPr>
          <w:sz w:val="24"/>
        </w:rPr>
        <w:t>the American College of Cardiology. 2005. Vol. 46. №. 8. P. 1405–1410.</w:t>
      </w:r>
    </w:p>
    <w:p>
      <w:pPr>
        <w:pStyle w:val="ListParagraph"/>
        <w:numPr>
          <w:ilvl w:val="0"/>
          <w:numId w:val="25"/>
        </w:numPr>
        <w:tabs>
          <w:tab w:pos="2677" w:val="left" w:leader="none"/>
          <w:tab w:pos="2678" w:val="left" w:leader="none"/>
        </w:tabs>
        <w:spacing w:line="275" w:lineRule="exact" w:before="0" w:after="0"/>
        <w:ind w:left="2677" w:right="0" w:hanging="1057"/>
        <w:jc w:val="both"/>
        <w:rPr>
          <w:sz w:val="24"/>
        </w:rPr>
      </w:pPr>
      <w:bookmarkStart w:name="_bookmark148" w:id="197"/>
      <w:bookmarkEnd w:id="197"/>
      <w:r>
        <w:rPr>
          <w:sz w:val="24"/>
        </w:rPr>
        <w:t>S</w:t>
      </w:r>
      <w:r>
        <w:rPr>
          <w:sz w:val="24"/>
        </w:rPr>
        <w:t>chwartz</w:t>
      </w:r>
      <w:r>
        <w:rPr>
          <w:spacing w:val="-5"/>
          <w:sz w:val="24"/>
        </w:rPr>
        <w:t> </w:t>
      </w:r>
      <w:r>
        <w:rPr>
          <w:sz w:val="24"/>
        </w:rPr>
        <w:t>GG</w:t>
      </w:r>
      <w:r>
        <w:rPr>
          <w:spacing w:val="-2"/>
          <w:sz w:val="24"/>
        </w:rPr>
        <w:t> </w:t>
      </w:r>
      <w:r>
        <w:rPr>
          <w:sz w:val="24"/>
        </w:rPr>
        <w:t>et</w:t>
      </w:r>
      <w:r>
        <w:rPr>
          <w:spacing w:val="-2"/>
          <w:sz w:val="24"/>
        </w:rPr>
        <w:t> </w:t>
      </w:r>
      <w:r>
        <w:rPr>
          <w:sz w:val="24"/>
        </w:rPr>
        <w:t>al.</w:t>
      </w:r>
      <w:r>
        <w:rPr>
          <w:spacing w:val="-1"/>
          <w:sz w:val="24"/>
        </w:rPr>
        <w:t> </w:t>
      </w:r>
      <w:r>
        <w:rPr>
          <w:sz w:val="24"/>
        </w:rPr>
        <w:t>Effects</w:t>
      </w:r>
      <w:r>
        <w:rPr>
          <w:spacing w:val="-2"/>
          <w:sz w:val="24"/>
        </w:rPr>
        <w:t> </w:t>
      </w:r>
      <w:r>
        <w:rPr>
          <w:sz w:val="24"/>
        </w:rPr>
        <w:t>of</w:t>
      </w:r>
      <w:r>
        <w:rPr>
          <w:spacing w:val="-2"/>
          <w:sz w:val="24"/>
        </w:rPr>
        <w:t> </w:t>
      </w:r>
      <w:r>
        <w:rPr>
          <w:sz w:val="24"/>
        </w:rPr>
        <w:t>atorvastatin</w:t>
      </w:r>
      <w:r>
        <w:rPr>
          <w:spacing w:val="-1"/>
          <w:sz w:val="24"/>
        </w:rPr>
        <w:t> </w:t>
      </w:r>
      <w:r>
        <w:rPr>
          <w:sz w:val="24"/>
        </w:rPr>
        <w:t>on</w:t>
      </w:r>
      <w:r>
        <w:rPr>
          <w:spacing w:val="-2"/>
          <w:sz w:val="24"/>
        </w:rPr>
        <w:t> </w:t>
      </w:r>
      <w:r>
        <w:rPr>
          <w:sz w:val="24"/>
        </w:rPr>
        <w:t>early</w:t>
      </w:r>
      <w:r>
        <w:rPr>
          <w:spacing w:val="-1"/>
          <w:sz w:val="24"/>
        </w:rPr>
        <w:t> </w:t>
      </w:r>
      <w:r>
        <w:rPr>
          <w:sz w:val="24"/>
        </w:rPr>
        <w:t>recurrent</w:t>
      </w:r>
      <w:r>
        <w:rPr>
          <w:spacing w:val="-2"/>
          <w:sz w:val="24"/>
        </w:rPr>
        <w:t> </w:t>
      </w:r>
      <w:r>
        <w:rPr>
          <w:sz w:val="24"/>
        </w:rPr>
        <w:t>ischemic events</w:t>
      </w:r>
      <w:r>
        <w:rPr>
          <w:spacing w:val="-1"/>
          <w:sz w:val="24"/>
        </w:rPr>
        <w:t> </w:t>
      </w:r>
      <w:r>
        <w:rPr>
          <w:spacing w:val="-5"/>
          <w:sz w:val="24"/>
        </w:rPr>
        <w:t>in</w:t>
      </w:r>
    </w:p>
    <w:p>
      <w:pPr>
        <w:spacing w:after="0" w:line="275" w:lineRule="exact"/>
        <w:jc w:val="both"/>
        <w:rPr>
          <w:sz w:val="24"/>
        </w:rPr>
        <w:sectPr>
          <w:pgSz w:w="11910" w:h="16840"/>
          <w:pgMar w:header="0" w:footer="710" w:top="1040" w:bottom="900" w:left="440" w:right="280"/>
        </w:sectPr>
      </w:pPr>
    </w:p>
    <w:p>
      <w:pPr>
        <w:pStyle w:val="BodyText"/>
        <w:spacing w:line="360" w:lineRule="auto" w:before="73"/>
        <w:ind w:right="571"/>
      </w:pPr>
      <w:r>
        <w:rPr/>
        <w:t>acute</w:t>
      </w:r>
      <w:r>
        <w:rPr>
          <w:spacing w:val="-4"/>
        </w:rPr>
        <w:t> </w:t>
      </w:r>
      <w:r>
        <w:rPr/>
        <w:t>coronary</w:t>
      </w:r>
      <w:r>
        <w:rPr>
          <w:spacing w:val="-3"/>
        </w:rPr>
        <w:t> </w:t>
      </w:r>
      <w:r>
        <w:rPr/>
        <w:t>syndromes:</w:t>
      </w:r>
      <w:r>
        <w:rPr>
          <w:spacing w:val="-3"/>
        </w:rPr>
        <w:t> </w:t>
      </w:r>
      <w:r>
        <w:rPr/>
        <w:t>the</w:t>
      </w:r>
      <w:r>
        <w:rPr>
          <w:spacing w:val="-4"/>
        </w:rPr>
        <w:t> </w:t>
      </w:r>
      <w:r>
        <w:rPr/>
        <w:t>MIRACL</w:t>
      </w:r>
      <w:r>
        <w:rPr>
          <w:spacing w:val="-4"/>
        </w:rPr>
        <w:t> </w:t>
      </w:r>
      <w:r>
        <w:rPr/>
        <w:t>study:</w:t>
      </w:r>
      <w:r>
        <w:rPr>
          <w:spacing w:val="-3"/>
        </w:rPr>
        <w:t> </w:t>
      </w:r>
      <w:r>
        <w:rPr/>
        <w:t>a</w:t>
      </w:r>
      <w:r>
        <w:rPr>
          <w:spacing w:val="-2"/>
        </w:rPr>
        <w:t> </w:t>
      </w:r>
      <w:r>
        <w:rPr/>
        <w:t>randomized</w:t>
      </w:r>
      <w:r>
        <w:rPr>
          <w:spacing w:val="-3"/>
        </w:rPr>
        <w:t> </w:t>
      </w:r>
      <w:r>
        <w:rPr/>
        <w:t>controlled</w:t>
      </w:r>
      <w:r>
        <w:rPr>
          <w:spacing w:val="-3"/>
        </w:rPr>
        <w:t> </w:t>
      </w:r>
      <w:r>
        <w:rPr/>
        <w:t>trial</w:t>
      </w:r>
      <w:r>
        <w:rPr>
          <w:spacing w:val="-3"/>
        </w:rPr>
        <w:t> </w:t>
      </w:r>
      <w:r>
        <w:rPr/>
        <w:t>//</w:t>
      </w:r>
      <w:r>
        <w:rPr>
          <w:spacing w:val="-3"/>
        </w:rPr>
        <w:t> </w:t>
      </w:r>
      <w:r>
        <w:rPr/>
        <w:t>Jama. 2001. Vol. 285. №. 13. P. 1711–1718.</w:t>
      </w:r>
    </w:p>
    <w:p>
      <w:pPr>
        <w:pStyle w:val="ListParagraph"/>
        <w:numPr>
          <w:ilvl w:val="0"/>
          <w:numId w:val="25"/>
        </w:numPr>
        <w:tabs>
          <w:tab w:pos="2677" w:val="left" w:leader="none"/>
          <w:tab w:pos="2678" w:val="left" w:leader="none"/>
        </w:tabs>
        <w:spacing w:line="360" w:lineRule="auto" w:before="0" w:after="0"/>
        <w:ind w:left="1981" w:right="691" w:hanging="360"/>
        <w:jc w:val="left"/>
        <w:rPr>
          <w:sz w:val="24"/>
        </w:rPr>
      </w:pPr>
      <w:bookmarkStart w:name="_bookmark149" w:id="198"/>
      <w:bookmarkEnd w:id="198"/>
      <w:r>
        <w:rPr>
          <w:sz w:val="24"/>
        </w:rPr>
        <w:t>K</w:t>
      </w:r>
      <w:r>
        <w:rPr>
          <w:sz w:val="24"/>
        </w:rPr>
        <w:t>oskinas KC et al. Evolocumab for early reduction of LDL cholesterol levels in patients</w:t>
      </w:r>
      <w:r>
        <w:rPr>
          <w:spacing w:val="-3"/>
          <w:sz w:val="24"/>
        </w:rPr>
        <w:t> </w:t>
      </w:r>
      <w:r>
        <w:rPr>
          <w:sz w:val="24"/>
        </w:rPr>
        <w:t>with</w:t>
      </w:r>
      <w:r>
        <w:rPr>
          <w:spacing w:val="-3"/>
          <w:sz w:val="24"/>
        </w:rPr>
        <w:t> </w:t>
      </w:r>
      <w:r>
        <w:rPr>
          <w:sz w:val="24"/>
        </w:rPr>
        <w:t>acute</w:t>
      </w:r>
      <w:r>
        <w:rPr>
          <w:spacing w:val="-4"/>
          <w:sz w:val="24"/>
        </w:rPr>
        <w:t> </w:t>
      </w:r>
      <w:r>
        <w:rPr>
          <w:sz w:val="24"/>
        </w:rPr>
        <w:t>coronary</w:t>
      </w:r>
      <w:r>
        <w:rPr>
          <w:spacing w:val="-3"/>
          <w:sz w:val="24"/>
        </w:rPr>
        <w:t> </w:t>
      </w:r>
      <w:r>
        <w:rPr>
          <w:sz w:val="24"/>
        </w:rPr>
        <w:t>syndromes</w:t>
      </w:r>
      <w:r>
        <w:rPr>
          <w:spacing w:val="-3"/>
          <w:sz w:val="24"/>
        </w:rPr>
        <w:t> </w:t>
      </w:r>
      <w:r>
        <w:rPr>
          <w:sz w:val="24"/>
        </w:rPr>
        <w:t>(EVOPACS)</w:t>
      </w:r>
      <w:r>
        <w:rPr>
          <w:spacing w:val="-4"/>
          <w:sz w:val="24"/>
        </w:rPr>
        <w:t> </w:t>
      </w:r>
      <w:r>
        <w:rPr>
          <w:sz w:val="24"/>
        </w:rPr>
        <w:t>//</w:t>
      </w:r>
      <w:r>
        <w:rPr>
          <w:spacing w:val="-3"/>
          <w:sz w:val="24"/>
        </w:rPr>
        <w:t> </w:t>
      </w:r>
      <w:r>
        <w:rPr>
          <w:sz w:val="24"/>
        </w:rPr>
        <w:t>Journal</w:t>
      </w:r>
      <w:r>
        <w:rPr>
          <w:spacing w:val="-3"/>
          <w:sz w:val="24"/>
        </w:rPr>
        <w:t> </w:t>
      </w:r>
      <w:r>
        <w:rPr>
          <w:sz w:val="24"/>
        </w:rPr>
        <w:t>of</w:t>
      </w:r>
      <w:r>
        <w:rPr>
          <w:spacing w:val="-4"/>
          <w:sz w:val="24"/>
        </w:rPr>
        <w:t> </w:t>
      </w:r>
      <w:r>
        <w:rPr>
          <w:sz w:val="24"/>
        </w:rPr>
        <w:t>the</w:t>
      </w:r>
      <w:r>
        <w:rPr>
          <w:spacing w:val="-4"/>
          <w:sz w:val="24"/>
        </w:rPr>
        <w:t> </w:t>
      </w:r>
      <w:r>
        <w:rPr>
          <w:sz w:val="24"/>
        </w:rPr>
        <w:t>American</w:t>
      </w:r>
      <w:r>
        <w:rPr>
          <w:spacing w:val="-3"/>
          <w:sz w:val="24"/>
        </w:rPr>
        <w:t> </w:t>
      </w:r>
      <w:r>
        <w:rPr>
          <w:sz w:val="24"/>
        </w:rPr>
        <w:t>College of Cardiology. 2019. Vol. 74. №. 20. P. 2452–2462.</w:t>
      </w:r>
    </w:p>
    <w:p>
      <w:pPr>
        <w:pStyle w:val="ListParagraph"/>
        <w:numPr>
          <w:ilvl w:val="0"/>
          <w:numId w:val="25"/>
        </w:numPr>
        <w:tabs>
          <w:tab w:pos="2677" w:val="left" w:leader="none"/>
          <w:tab w:pos="2678" w:val="left" w:leader="none"/>
        </w:tabs>
        <w:spacing w:line="360" w:lineRule="auto" w:before="2" w:after="0"/>
        <w:ind w:left="1981" w:right="671" w:hanging="360"/>
        <w:jc w:val="left"/>
        <w:rPr>
          <w:sz w:val="24"/>
        </w:rPr>
      </w:pPr>
      <w:bookmarkStart w:name="_bookmark150" w:id="199"/>
      <w:bookmarkEnd w:id="199"/>
      <w:r>
        <w:rPr>
          <w:sz w:val="24"/>
        </w:rPr>
        <w:t>T</w:t>
      </w:r>
      <w:r>
        <w:rPr>
          <w:sz w:val="24"/>
        </w:rPr>
        <w:t>rankle CR et al. Alirocumab in acute myocardial infarction: results from the Virginia</w:t>
      </w:r>
      <w:r>
        <w:rPr>
          <w:spacing w:val="-5"/>
          <w:sz w:val="24"/>
        </w:rPr>
        <w:t> </w:t>
      </w:r>
      <w:r>
        <w:rPr>
          <w:sz w:val="24"/>
        </w:rPr>
        <w:t>commonwealth</w:t>
      </w:r>
      <w:r>
        <w:rPr>
          <w:spacing w:val="-3"/>
          <w:sz w:val="24"/>
        </w:rPr>
        <w:t> </w:t>
      </w:r>
      <w:r>
        <w:rPr>
          <w:sz w:val="24"/>
        </w:rPr>
        <w:t>university</w:t>
      </w:r>
      <w:r>
        <w:rPr>
          <w:spacing w:val="-5"/>
          <w:sz w:val="24"/>
        </w:rPr>
        <w:t> </w:t>
      </w:r>
      <w:r>
        <w:rPr>
          <w:sz w:val="24"/>
        </w:rPr>
        <w:t>alirocumab</w:t>
      </w:r>
      <w:r>
        <w:rPr>
          <w:spacing w:val="-5"/>
          <w:sz w:val="24"/>
        </w:rPr>
        <w:t> </w:t>
      </w:r>
      <w:r>
        <w:rPr>
          <w:sz w:val="24"/>
        </w:rPr>
        <w:t>response</w:t>
      </w:r>
      <w:r>
        <w:rPr>
          <w:spacing w:val="-5"/>
          <w:sz w:val="24"/>
        </w:rPr>
        <w:t> </w:t>
      </w:r>
      <w:r>
        <w:rPr>
          <w:sz w:val="24"/>
        </w:rPr>
        <w:t>trial</w:t>
      </w:r>
      <w:r>
        <w:rPr>
          <w:spacing w:val="-5"/>
          <w:sz w:val="24"/>
        </w:rPr>
        <w:t> </w:t>
      </w:r>
      <w:r>
        <w:rPr>
          <w:sz w:val="24"/>
        </w:rPr>
        <w:t>(VCU-AlirocRT)</w:t>
      </w:r>
      <w:r>
        <w:rPr>
          <w:spacing w:val="-5"/>
          <w:sz w:val="24"/>
        </w:rPr>
        <w:t> </w:t>
      </w:r>
      <w:r>
        <w:rPr>
          <w:sz w:val="24"/>
        </w:rPr>
        <w:t>//</w:t>
      </w:r>
      <w:r>
        <w:rPr>
          <w:spacing w:val="-5"/>
          <w:sz w:val="24"/>
        </w:rPr>
        <w:t> </w:t>
      </w:r>
      <w:r>
        <w:rPr>
          <w:sz w:val="24"/>
        </w:rPr>
        <w:t>Journal of cardiovascular pharmacology. 2019. Vol. 74. №. 3. P. 266–269.</w:t>
      </w:r>
    </w:p>
    <w:p>
      <w:pPr>
        <w:pStyle w:val="ListParagraph"/>
        <w:numPr>
          <w:ilvl w:val="0"/>
          <w:numId w:val="25"/>
        </w:numPr>
        <w:tabs>
          <w:tab w:pos="2677" w:val="left" w:leader="none"/>
          <w:tab w:pos="2678" w:val="left" w:leader="none"/>
        </w:tabs>
        <w:spacing w:line="360" w:lineRule="auto" w:before="0" w:after="0"/>
        <w:ind w:left="1981" w:right="613" w:hanging="360"/>
        <w:jc w:val="left"/>
        <w:rPr>
          <w:sz w:val="24"/>
        </w:rPr>
      </w:pPr>
      <w:bookmarkStart w:name="_bookmark151" w:id="200"/>
      <w:bookmarkEnd w:id="200"/>
      <w:r>
        <w:rPr>
          <w:sz w:val="24"/>
        </w:rPr>
        <w:t>A</w:t>
      </w:r>
      <w:r>
        <w:rPr>
          <w:sz w:val="24"/>
        </w:rPr>
        <w:t>rmitage J et al. Efficacy and safety of statin therapy in older people: a meta- analysis</w:t>
      </w:r>
      <w:r>
        <w:rPr>
          <w:spacing w:val="-3"/>
          <w:sz w:val="24"/>
        </w:rPr>
        <w:t> </w:t>
      </w:r>
      <w:r>
        <w:rPr>
          <w:sz w:val="24"/>
        </w:rPr>
        <w:t>of</w:t>
      </w:r>
      <w:r>
        <w:rPr>
          <w:spacing w:val="-4"/>
          <w:sz w:val="24"/>
        </w:rPr>
        <w:t> </w:t>
      </w:r>
      <w:r>
        <w:rPr>
          <w:sz w:val="24"/>
        </w:rPr>
        <w:t>individual</w:t>
      </w:r>
      <w:r>
        <w:rPr>
          <w:spacing w:val="-3"/>
          <w:sz w:val="24"/>
        </w:rPr>
        <w:t> </w:t>
      </w:r>
      <w:r>
        <w:rPr>
          <w:sz w:val="24"/>
        </w:rPr>
        <w:t>participant</w:t>
      </w:r>
      <w:r>
        <w:rPr>
          <w:spacing w:val="-3"/>
          <w:sz w:val="24"/>
        </w:rPr>
        <w:t> </w:t>
      </w:r>
      <w:r>
        <w:rPr>
          <w:sz w:val="24"/>
        </w:rPr>
        <w:t>data</w:t>
      </w:r>
      <w:r>
        <w:rPr>
          <w:spacing w:val="-4"/>
          <w:sz w:val="24"/>
        </w:rPr>
        <w:t> </w:t>
      </w:r>
      <w:r>
        <w:rPr>
          <w:sz w:val="24"/>
        </w:rPr>
        <w:t>from</w:t>
      </w:r>
      <w:r>
        <w:rPr>
          <w:spacing w:val="-3"/>
          <w:sz w:val="24"/>
        </w:rPr>
        <w:t> </w:t>
      </w:r>
      <w:r>
        <w:rPr>
          <w:sz w:val="24"/>
        </w:rPr>
        <w:t>28</w:t>
      </w:r>
      <w:r>
        <w:rPr>
          <w:spacing w:val="-3"/>
          <w:sz w:val="24"/>
        </w:rPr>
        <w:t> </w:t>
      </w:r>
      <w:r>
        <w:rPr>
          <w:sz w:val="24"/>
        </w:rPr>
        <w:t>randomised</w:t>
      </w:r>
      <w:r>
        <w:rPr>
          <w:spacing w:val="-3"/>
          <w:sz w:val="24"/>
        </w:rPr>
        <w:t> </w:t>
      </w:r>
      <w:r>
        <w:rPr>
          <w:sz w:val="24"/>
        </w:rPr>
        <w:t>controlled</w:t>
      </w:r>
      <w:r>
        <w:rPr>
          <w:spacing w:val="-3"/>
          <w:sz w:val="24"/>
        </w:rPr>
        <w:t> </w:t>
      </w:r>
      <w:r>
        <w:rPr>
          <w:sz w:val="24"/>
        </w:rPr>
        <w:t>trials</w:t>
      </w:r>
      <w:r>
        <w:rPr>
          <w:spacing w:val="-3"/>
          <w:sz w:val="24"/>
        </w:rPr>
        <w:t> </w:t>
      </w:r>
      <w:r>
        <w:rPr>
          <w:sz w:val="24"/>
        </w:rPr>
        <w:t>//</w:t>
      </w:r>
      <w:r>
        <w:rPr>
          <w:spacing w:val="-3"/>
          <w:sz w:val="24"/>
        </w:rPr>
        <w:t> </w:t>
      </w:r>
      <w:r>
        <w:rPr>
          <w:sz w:val="24"/>
        </w:rPr>
        <w:t>The</w:t>
      </w:r>
      <w:r>
        <w:rPr>
          <w:spacing w:val="-4"/>
          <w:sz w:val="24"/>
        </w:rPr>
        <w:t> </w:t>
      </w:r>
      <w:r>
        <w:rPr>
          <w:sz w:val="24"/>
        </w:rPr>
        <w:t>Lancet. 2019. Vol. 393. №. 10170. P. 407–415.</w:t>
      </w:r>
    </w:p>
    <w:p>
      <w:pPr>
        <w:pStyle w:val="ListParagraph"/>
        <w:numPr>
          <w:ilvl w:val="0"/>
          <w:numId w:val="25"/>
        </w:numPr>
        <w:tabs>
          <w:tab w:pos="2677" w:val="left" w:leader="none"/>
          <w:tab w:pos="2678" w:val="left" w:leader="none"/>
        </w:tabs>
        <w:spacing w:line="360" w:lineRule="auto" w:before="0" w:after="0"/>
        <w:ind w:left="1981" w:right="570" w:hanging="360"/>
        <w:jc w:val="left"/>
        <w:rPr>
          <w:sz w:val="24"/>
        </w:rPr>
      </w:pPr>
      <w:bookmarkStart w:name="_bookmark152" w:id="201"/>
      <w:bookmarkEnd w:id="201"/>
      <w:r>
        <w:rPr>
          <w:sz w:val="24"/>
        </w:rPr>
        <w:t>T</w:t>
      </w:r>
      <w:r>
        <w:rPr>
          <w:sz w:val="24"/>
        </w:rPr>
        <w:t>askinen</w:t>
      </w:r>
      <w:r>
        <w:rPr>
          <w:spacing w:val="-4"/>
          <w:sz w:val="24"/>
        </w:rPr>
        <w:t> </w:t>
      </w:r>
      <w:r>
        <w:rPr>
          <w:sz w:val="24"/>
        </w:rPr>
        <w:t>MR</w:t>
      </w:r>
      <w:r>
        <w:rPr>
          <w:spacing w:val="-4"/>
          <w:sz w:val="24"/>
        </w:rPr>
        <w:t> </w:t>
      </w:r>
      <w:r>
        <w:rPr>
          <w:sz w:val="24"/>
        </w:rPr>
        <w:t>et</w:t>
      </w:r>
      <w:r>
        <w:rPr>
          <w:spacing w:val="-4"/>
          <w:sz w:val="24"/>
        </w:rPr>
        <w:t> </w:t>
      </w:r>
      <w:r>
        <w:rPr>
          <w:sz w:val="24"/>
        </w:rPr>
        <w:t>al.</w:t>
      </w:r>
      <w:r>
        <w:rPr>
          <w:spacing w:val="-4"/>
          <w:sz w:val="24"/>
        </w:rPr>
        <w:t> </w:t>
      </w:r>
      <w:r>
        <w:rPr>
          <w:sz w:val="24"/>
        </w:rPr>
        <w:t>Adverse</w:t>
      </w:r>
      <w:r>
        <w:rPr>
          <w:spacing w:val="-5"/>
          <w:sz w:val="24"/>
        </w:rPr>
        <w:t> </w:t>
      </w:r>
      <w:r>
        <w:rPr>
          <w:sz w:val="24"/>
        </w:rPr>
        <w:t>effects</w:t>
      </w:r>
      <w:r>
        <w:rPr>
          <w:spacing w:val="-4"/>
          <w:sz w:val="24"/>
        </w:rPr>
        <w:t> </w:t>
      </w:r>
      <w:r>
        <w:rPr>
          <w:sz w:val="24"/>
        </w:rPr>
        <w:t>of</w:t>
      </w:r>
      <w:r>
        <w:rPr>
          <w:spacing w:val="-3"/>
          <w:sz w:val="24"/>
        </w:rPr>
        <w:t> </w:t>
      </w:r>
      <w:r>
        <w:rPr>
          <w:sz w:val="24"/>
        </w:rPr>
        <w:t>fructose</w:t>
      </w:r>
      <w:r>
        <w:rPr>
          <w:spacing w:val="-3"/>
          <w:sz w:val="24"/>
        </w:rPr>
        <w:t> </w:t>
      </w:r>
      <w:r>
        <w:rPr>
          <w:sz w:val="24"/>
        </w:rPr>
        <w:t>on</w:t>
      </w:r>
      <w:r>
        <w:rPr>
          <w:spacing w:val="-2"/>
          <w:sz w:val="24"/>
        </w:rPr>
        <w:t> </w:t>
      </w:r>
      <w:r>
        <w:rPr>
          <w:sz w:val="24"/>
        </w:rPr>
        <w:t>cardiometabolic</w:t>
      </w:r>
      <w:r>
        <w:rPr>
          <w:spacing w:val="-5"/>
          <w:sz w:val="24"/>
        </w:rPr>
        <w:t> </w:t>
      </w:r>
      <w:r>
        <w:rPr>
          <w:sz w:val="24"/>
        </w:rPr>
        <w:t>risk</w:t>
      </w:r>
      <w:r>
        <w:rPr>
          <w:spacing w:val="-2"/>
          <w:sz w:val="24"/>
        </w:rPr>
        <w:t> </w:t>
      </w:r>
      <w:r>
        <w:rPr>
          <w:sz w:val="24"/>
        </w:rPr>
        <w:t>factors</w:t>
      </w:r>
      <w:r>
        <w:rPr>
          <w:spacing w:val="-4"/>
          <w:sz w:val="24"/>
        </w:rPr>
        <w:t> </w:t>
      </w:r>
      <w:r>
        <w:rPr>
          <w:sz w:val="24"/>
        </w:rPr>
        <w:t>and hepatic lipid metabolism in subjects with abdominal obesity // Journal of internal medicine. 2017. Vol. 282. №. 2. P. 187–201.</w:t>
      </w:r>
    </w:p>
    <w:p>
      <w:pPr>
        <w:pStyle w:val="ListParagraph"/>
        <w:numPr>
          <w:ilvl w:val="0"/>
          <w:numId w:val="25"/>
        </w:numPr>
        <w:tabs>
          <w:tab w:pos="2677" w:val="left" w:leader="none"/>
          <w:tab w:pos="2678" w:val="left" w:leader="none"/>
        </w:tabs>
        <w:spacing w:line="360" w:lineRule="auto" w:before="0" w:after="0"/>
        <w:ind w:left="1981" w:right="584" w:hanging="360"/>
        <w:jc w:val="left"/>
        <w:rPr>
          <w:sz w:val="24"/>
        </w:rPr>
      </w:pPr>
      <w:bookmarkStart w:name="_bookmark153" w:id="202"/>
      <w:bookmarkEnd w:id="202"/>
      <w:r>
        <w:rPr>
          <w:sz w:val="24"/>
        </w:rPr>
        <w:t>L</w:t>
      </w:r>
      <w:r>
        <w:rPr>
          <w:sz w:val="24"/>
        </w:rPr>
        <w:t>ook AHEAD Research Group. Cardiovascular effects of intensive lifestyle intervention</w:t>
      </w:r>
      <w:r>
        <w:rPr>
          <w:spacing w:val="-3"/>
          <w:sz w:val="24"/>
        </w:rPr>
        <w:t> </w:t>
      </w:r>
      <w:r>
        <w:rPr>
          <w:sz w:val="24"/>
        </w:rPr>
        <w:t>in</w:t>
      </w:r>
      <w:r>
        <w:rPr>
          <w:spacing w:val="-3"/>
          <w:sz w:val="24"/>
        </w:rPr>
        <w:t> </w:t>
      </w:r>
      <w:r>
        <w:rPr>
          <w:sz w:val="24"/>
        </w:rPr>
        <w:t>type</w:t>
      </w:r>
      <w:r>
        <w:rPr>
          <w:spacing w:val="-4"/>
          <w:sz w:val="24"/>
        </w:rPr>
        <w:t> </w:t>
      </w:r>
      <w:r>
        <w:rPr>
          <w:sz w:val="24"/>
        </w:rPr>
        <w:t>2</w:t>
      </w:r>
      <w:r>
        <w:rPr>
          <w:spacing w:val="-3"/>
          <w:sz w:val="24"/>
        </w:rPr>
        <w:t> </w:t>
      </w:r>
      <w:r>
        <w:rPr>
          <w:sz w:val="24"/>
        </w:rPr>
        <w:t>diabetes</w:t>
      </w:r>
      <w:r>
        <w:rPr>
          <w:spacing w:val="-3"/>
          <w:sz w:val="24"/>
        </w:rPr>
        <w:t> </w:t>
      </w:r>
      <w:r>
        <w:rPr>
          <w:sz w:val="24"/>
        </w:rPr>
        <w:t>//</w:t>
      </w:r>
      <w:r>
        <w:rPr>
          <w:spacing w:val="-3"/>
          <w:sz w:val="24"/>
        </w:rPr>
        <w:t> </w:t>
      </w:r>
      <w:r>
        <w:rPr>
          <w:sz w:val="24"/>
        </w:rPr>
        <w:t>New</w:t>
      </w:r>
      <w:r>
        <w:rPr>
          <w:spacing w:val="-4"/>
          <w:sz w:val="24"/>
        </w:rPr>
        <w:t> </w:t>
      </w:r>
      <w:r>
        <w:rPr>
          <w:sz w:val="24"/>
        </w:rPr>
        <w:t>England</w:t>
      </w:r>
      <w:r>
        <w:rPr>
          <w:spacing w:val="-3"/>
          <w:sz w:val="24"/>
        </w:rPr>
        <w:t> </w:t>
      </w:r>
      <w:r>
        <w:rPr>
          <w:sz w:val="24"/>
        </w:rPr>
        <w:t>journal</w:t>
      </w:r>
      <w:r>
        <w:rPr>
          <w:spacing w:val="-3"/>
          <w:sz w:val="24"/>
        </w:rPr>
        <w:t> </w:t>
      </w:r>
      <w:r>
        <w:rPr>
          <w:sz w:val="24"/>
        </w:rPr>
        <w:t>of</w:t>
      </w:r>
      <w:r>
        <w:rPr>
          <w:spacing w:val="-4"/>
          <w:sz w:val="24"/>
        </w:rPr>
        <w:t> </w:t>
      </w:r>
      <w:r>
        <w:rPr>
          <w:sz w:val="24"/>
        </w:rPr>
        <w:t>medicine.</w:t>
      </w:r>
      <w:r>
        <w:rPr>
          <w:spacing w:val="-3"/>
          <w:sz w:val="24"/>
        </w:rPr>
        <w:t> </w:t>
      </w:r>
      <w:r>
        <w:rPr>
          <w:sz w:val="24"/>
        </w:rPr>
        <w:t>2013.</w:t>
      </w:r>
      <w:r>
        <w:rPr>
          <w:spacing w:val="-1"/>
          <w:sz w:val="24"/>
        </w:rPr>
        <w:t> </w:t>
      </w:r>
      <w:r>
        <w:rPr>
          <w:sz w:val="24"/>
        </w:rPr>
        <w:t>Vol.</w:t>
      </w:r>
      <w:r>
        <w:rPr>
          <w:spacing w:val="-3"/>
          <w:sz w:val="24"/>
        </w:rPr>
        <w:t> </w:t>
      </w:r>
      <w:r>
        <w:rPr>
          <w:sz w:val="24"/>
        </w:rPr>
        <w:t>369.</w:t>
      </w:r>
      <w:r>
        <w:rPr>
          <w:spacing w:val="-3"/>
          <w:sz w:val="24"/>
        </w:rPr>
        <w:t> </w:t>
      </w:r>
      <w:r>
        <w:rPr>
          <w:sz w:val="24"/>
        </w:rPr>
        <w:t>№.</w:t>
      </w:r>
      <w:r>
        <w:rPr>
          <w:spacing w:val="-3"/>
          <w:sz w:val="24"/>
        </w:rPr>
        <w:t> </w:t>
      </w:r>
      <w:r>
        <w:rPr>
          <w:sz w:val="24"/>
        </w:rPr>
        <w:t>2.</w:t>
      </w:r>
    </w:p>
    <w:p>
      <w:pPr>
        <w:pStyle w:val="BodyText"/>
      </w:pPr>
      <w:r>
        <w:rPr/>
        <w:t>P. </w:t>
      </w:r>
      <w:r>
        <w:rPr>
          <w:spacing w:val="-2"/>
        </w:rPr>
        <w:t>145–154.</w:t>
      </w:r>
    </w:p>
    <w:p>
      <w:pPr>
        <w:pStyle w:val="ListParagraph"/>
        <w:numPr>
          <w:ilvl w:val="0"/>
          <w:numId w:val="25"/>
        </w:numPr>
        <w:tabs>
          <w:tab w:pos="2677" w:val="left" w:leader="none"/>
          <w:tab w:pos="2678" w:val="left" w:leader="none"/>
        </w:tabs>
        <w:spacing w:line="360" w:lineRule="auto" w:before="138" w:after="0"/>
        <w:ind w:left="1981" w:right="574" w:hanging="360"/>
        <w:jc w:val="left"/>
        <w:rPr>
          <w:sz w:val="24"/>
        </w:rPr>
      </w:pPr>
      <w:bookmarkStart w:name="_bookmark154" w:id="203"/>
      <w:bookmarkEnd w:id="203"/>
      <w:r>
        <w:rPr>
          <w:sz w:val="24"/>
        </w:rPr>
        <w:t>B</w:t>
      </w:r>
      <w:r>
        <w:rPr>
          <w:sz w:val="24"/>
        </w:rPr>
        <w:t>atsis</w:t>
      </w:r>
      <w:r>
        <w:rPr>
          <w:spacing w:val="-3"/>
          <w:sz w:val="24"/>
        </w:rPr>
        <w:t> </w:t>
      </w:r>
      <w:r>
        <w:rPr>
          <w:sz w:val="24"/>
        </w:rPr>
        <w:t>JA</w:t>
      </w:r>
      <w:r>
        <w:rPr>
          <w:spacing w:val="-4"/>
          <w:sz w:val="24"/>
        </w:rPr>
        <w:t> </w:t>
      </w:r>
      <w:r>
        <w:rPr>
          <w:sz w:val="24"/>
        </w:rPr>
        <w:t>et</w:t>
      </w:r>
      <w:r>
        <w:rPr>
          <w:spacing w:val="-3"/>
          <w:sz w:val="24"/>
        </w:rPr>
        <w:t> </w:t>
      </w:r>
      <w:r>
        <w:rPr>
          <w:sz w:val="24"/>
        </w:rPr>
        <w:t>al.</w:t>
      </w:r>
      <w:r>
        <w:rPr>
          <w:spacing w:val="-3"/>
          <w:sz w:val="24"/>
        </w:rPr>
        <w:t> </w:t>
      </w:r>
      <w:r>
        <w:rPr>
          <w:sz w:val="24"/>
        </w:rPr>
        <w:t>Weight</w:t>
      </w:r>
      <w:r>
        <w:rPr>
          <w:spacing w:val="-3"/>
          <w:sz w:val="24"/>
        </w:rPr>
        <w:t> </w:t>
      </w:r>
      <w:r>
        <w:rPr>
          <w:sz w:val="24"/>
        </w:rPr>
        <w:t>loss</w:t>
      </w:r>
      <w:r>
        <w:rPr>
          <w:spacing w:val="-3"/>
          <w:sz w:val="24"/>
        </w:rPr>
        <w:t> </w:t>
      </w:r>
      <w:r>
        <w:rPr>
          <w:sz w:val="24"/>
        </w:rPr>
        <w:t>interventions</w:t>
      </w:r>
      <w:r>
        <w:rPr>
          <w:spacing w:val="-3"/>
          <w:sz w:val="24"/>
        </w:rPr>
        <w:t> </w:t>
      </w:r>
      <w:r>
        <w:rPr>
          <w:sz w:val="24"/>
        </w:rPr>
        <w:t>in</w:t>
      </w:r>
      <w:r>
        <w:rPr>
          <w:spacing w:val="-3"/>
          <w:sz w:val="24"/>
        </w:rPr>
        <w:t> </w:t>
      </w:r>
      <w:r>
        <w:rPr>
          <w:sz w:val="24"/>
        </w:rPr>
        <w:t>older</w:t>
      </w:r>
      <w:r>
        <w:rPr>
          <w:spacing w:val="-4"/>
          <w:sz w:val="24"/>
        </w:rPr>
        <w:t> </w:t>
      </w:r>
      <w:r>
        <w:rPr>
          <w:sz w:val="24"/>
        </w:rPr>
        <w:t>adults</w:t>
      </w:r>
      <w:r>
        <w:rPr>
          <w:spacing w:val="-3"/>
          <w:sz w:val="24"/>
        </w:rPr>
        <w:t> </w:t>
      </w:r>
      <w:r>
        <w:rPr>
          <w:sz w:val="24"/>
        </w:rPr>
        <w:t>with</w:t>
      </w:r>
      <w:r>
        <w:rPr>
          <w:spacing w:val="-3"/>
          <w:sz w:val="24"/>
        </w:rPr>
        <w:t> </w:t>
      </w:r>
      <w:r>
        <w:rPr>
          <w:sz w:val="24"/>
        </w:rPr>
        <w:t>obesity:</w:t>
      </w:r>
      <w:r>
        <w:rPr>
          <w:spacing w:val="-3"/>
          <w:sz w:val="24"/>
        </w:rPr>
        <w:t> </w:t>
      </w:r>
      <w:r>
        <w:rPr>
          <w:sz w:val="24"/>
        </w:rPr>
        <w:t>a</w:t>
      </w:r>
      <w:r>
        <w:rPr>
          <w:spacing w:val="-4"/>
          <w:sz w:val="24"/>
        </w:rPr>
        <w:t> </w:t>
      </w:r>
      <w:r>
        <w:rPr>
          <w:sz w:val="24"/>
        </w:rPr>
        <w:t>systematic review of randomized controlled trials since 2005 // Journal of the American Geriatrics Society. 2017. Vol. 65. №. 2. P. 257–268.</w:t>
      </w:r>
    </w:p>
    <w:p>
      <w:pPr>
        <w:pStyle w:val="ListParagraph"/>
        <w:numPr>
          <w:ilvl w:val="0"/>
          <w:numId w:val="25"/>
        </w:numPr>
        <w:tabs>
          <w:tab w:pos="2677" w:val="left" w:leader="none"/>
          <w:tab w:pos="2678" w:val="left" w:leader="none"/>
        </w:tabs>
        <w:spacing w:line="360" w:lineRule="auto" w:before="0" w:after="0"/>
        <w:ind w:left="1981" w:right="787" w:hanging="360"/>
        <w:jc w:val="left"/>
        <w:rPr>
          <w:sz w:val="24"/>
        </w:rPr>
      </w:pPr>
      <w:bookmarkStart w:name="_bookmark155" w:id="204"/>
      <w:bookmarkEnd w:id="204"/>
      <w:r>
        <w:rPr>
          <w:sz w:val="24"/>
        </w:rPr>
        <w:t>K</w:t>
      </w:r>
      <w:r>
        <w:rPr>
          <w:sz w:val="24"/>
        </w:rPr>
        <w:t>hader</w:t>
      </w:r>
      <w:r>
        <w:rPr>
          <w:spacing w:val="-2"/>
          <w:sz w:val="24"/>
        </w:rPr>
        <w:t> </w:t>
      </w:r>
      <w:r>
        <w:rPr>
          <w:sz w:val="24"/>
        </w:rPr>
        <w:t>YS</w:t>
      </w:r>
      <w:r>
        <w:rPr>
          <w:spacing w:val="-3"/>
          <w:sz w:val="24"/>
        </w:rPr>
        <w:t> </w:t>
      </w:r>
      <w:r>
        <w:rPr>
          <w:sz w:val="24"/>
        </w:rPr>
        <w:t>et</w:t>
      </w:r>
      <w:r>
        <w:rPr>
          <w:spacing w:val="-3"/>
          <w:sz w:val="24"/>
        </w:rPr>
        <w:t> </w:t>
      </w:r>
      <w:r>
        <w:rPr>
          <w:sz w:val="24"/>
        </w:rPr>
        <w:t>al.</w:t>
      </w:r>
      <w:r>
        <w:rPr>
          <w:spacing w:val="-3"/>
          <w:sz w:val="24"/>
        </w:rPr>
        <w:t> </w:t>
      </w:r>
      <w:r>
        <w:rPr>
          <w:sz w:val="24"/>
        </w:rPr>
        <w:t>Oral</w:t>
      </w:r>
      <w:r>
        <w:rPr>
          <w:spacing w:val="-1"/>
          <w:sz w:val="24"/>
        </w:rPr>
        <w:t> </w:t>
      </w:r>
      <w:r>
        <w:rPr>
          <w:sz w:val="24"/>
        </w:rPr>
        <w:t>contraceptives</w:t>
      </w:r>
      <w:r>
        <w:rPr>
          <w:spacing w:val="-3"/>
          <w:sz w:val="24"/>
        </w:rPr>
        <w:t> </w:t>
      </w:r>
      <w:r>
        <w:rPr>
          <w:sz w:val="24"/>
        </w:rPr>
        <w:t>use</w:t>
      </w:r>
      <w:r>
        <w:rPr>
          <w:spacing w:val="-2"/>
          <w:sz w:val="24"/>
        </w:rPr>
        <w:t> </w:t>
      </w:r>
      <w:r>
        <w:rPr>
          <w:sz w:val="24"/>
        </w:rPr>
        <w:t>and</w:t>
      </w:r>
      <w:r>
        <w:rPr>
          <w:spacing w:val="-3"/>
          <w:sz w:val="24"/>
        </w:rPr>
        <w:t> </w:t>
      </w:r>
      <w:r>
        <w:rPr>
          <w:sz w:val="24"/>
        </w:rPr>
        <w:t>the</w:t>
      </w:r>
      <w:r>
        <w:rPr>
          <w:spacing w:val="-4"/>
          <w:sz w:val="24"/>
        </w:rPr>
        <w:t> </w:t>
      </w:r>
      <w:r>
        <w:rPr>
          <w:sz w:val="24"/>
        </w:rPr>
        <w:t>risk</w:t>
      </w:r>
      <w:r>
        <w:rPr>
          <w:spacing w:val="-3"/>
          <w:sz w:val="24"/>
        </w:rPr>
        <w:t> </w:t>
      </w:r>
      <w:r>
        <w:rPr>
          <w:sz w:val="24"/>
        </w:rPr>
        <w:t>of</w:t>
      </w:r>
      <w:r>
        <w:rPr>
          <w:spacing w:val="-4"/>
          <w:sz w:val="24"/>
        </w:rPr>
        <w:t> </w:t>
      </w:r>
      <w:r>
        <w:rPr>
          <w:sz w:val="24"/>
        </w:rPr>
        <w:t>myocardial</w:t>
      </w:r>
      <w:r>
        <w:rPr>
          <w:spacing w:val="-3"/>
          <w:sz w:val="24"/>
        </w:rPr>
        <w:t> </w:t>
      </w:r>
      <w:r>
        <w:rPr>
          <w:sz w:val="24"/>
        </w:rPr>
        <w:t>infarction:</w:t>
      </w:r>
      <w:r>
        <w:rPr>
          <w:spacing w:val="-3"/>
          <w:sz w:val="24"/>
        </w:rPr>
        <w:t> </w:t>
      </w:r>
      <w:r>
        <w:rPr>
          <w:sz w:val="24"/>
        </w:rPr>
        <w:t>a meta-analysis // Contraception. 2003. Vol. 68. №. 1. P. 11–17.</w:t>
      </w:r>
    </w:p>
    <w:p>
      <w:pPr>
        <w:pStyle w:val="ListParagraph"/>
        <w:numPr>
          <w:ilvl w:val="0"/>
          <w:numId w:val="25"/>
        </w:numPr>
        <w:tabs>
          <w:tab w:pos="2677" w:val="left" w:leader="none"/>
          <w:tab w:pos="2678" w:val="left" w:leader="none"/>
        </w:tabs>
        <w:spacing w:line="360" w:lineRule="auto" w:before="0" w:after="0"/>
        <w:ind w:left="1981" w:right="700" w:hanging="360"/>
        <w:jc w:val="left"/>
        <w:rPr>
          <w:sz w:val="24"/>
        </w:rPr>
      </w:pPr>
      <w:bookmarkStart w:name="_bookmark156" w:id="205"/>
      <w:bookmarkEnd w:id="205"/>
      <w:r>
        <w:rPr>
          <w:sz w:val="24"/>
        </w:rPr>
        <w:t>Shu</w:t>
      </w:r>
      <w:r>
        <w:rPr>
          <w:sz w:val="24"/>
        </w:rPr>
        <w:t>felt</w:t>
      </w:r>
      <w:r>
        <w:rPr>
          <w:spacing w:val="-4"/>
          <w:sz w:val="24"/>
        </w:rPr>
        <w:t> </w:t>
      </w:r>
      <w:r>
        <w:rPr>
          <w:sz w:val="24"/>
        </w:rPr>
        <w:t>CL,</w:t>
      </w:r>
      <w:r>
        <w:rPr>
          <w:spacing w:val="-4"/>
          <w:sz w:val="24"/>
        </w:rPr>
        <w:t> </w:t>
      </w:r>
      <w:r>
        <w:rPr>
          <w:sz w:val="24"/>
        </w:rPr>
        <w:t>Merz</w:t>
      </w:r>
      <w:r>
        <w:rPr>
          <w:spacing w:val="-5"/>
          <w:sz w:val="24"/>
        </w:rPr>
        <w:t> </w:t>
      </w:r>
      <w:r>
        <w:rPr>
          <w:sz w:val="24"/>
        </w:rPr>
        <w:t>CNB.</w:t>
      </w:r>
      <w:r>
        <w:rPr>
          <w:spacing w:val="-4"/>
          <w:sz w:val="24"/>
        </w:rPr>
        <w:t> </w:t>
      </w:r>
      <w:r>
        <w:rPr>
          <w:sz w:val="24"/>
        </w:rPr>
        <w:t>Contraceptive</w:t>
      </w:r>
      <w:r>
        <w:rPr>
          <w:spacing w:val="-5"/>
          <w:sz w:val="24"/>
        </w:rPr>
        <w:t> </w:t>
      </w:r>
      <w:r>
        <w:rPr>
          <w:sz w:val="24"/>
        </w:rPr>
        <w:t>hormone</w:t>
      </w:r>
      <w:r>
        <w:rPr>
          <w:spacing w:val="-5"/>
          <w:sz w:val="24"/>
        </w:rPr>
        <w:t> </w:t>
      </w:r>
      <w:r>
        <w:rPr>
          <w:sz w:val="24"/>
        </w:rPr>
        <w:t>use</w:t>
      </w:r>
      <w:r>
        <w:rPr>
          <w:spacing w:val="-5"/>
          <w:sz w:val="24"/>
        </w:rPr>
        <w:t> </w:t>
      </w:r>
      <w:r>
        <w:rPr>
          <w:sz w:val="24"/>
        </w:rPr>
        <w:t>and</w:t>
      </w:r>
      <w:r>
        <w:rPr>
          <w:spacing w:val="-4"/>
          <w:sz w:val="24"/>
        </w:rPr>
        <w:t> </w:t>
      </w:r>
      <w:r>
        <w:rPr>
          <w:sz w:val="24"/>
        </w:rPr>
        <w:t>cardiovascular</w:t>
      </w:r>
      <w:r>
        <w:rPr>
          <w:spacing w:val="-5"/>
          <w:sz w:val="24"/>
        </w:rPr>
        <w:t> </w:t>
      </w:r>
      <w:r>
        <w:rPr>
          <w:sz w:val="24"/>
        </w:rPr>
        <w:t>disease</w:t>
      </w:r>
      <w:r>
        <w:rPr>
          <w:spacing w:val="-5"/>
          <w:sz w:val="24"/>
        </w:rPr>
        <w:t> </w:t>
      </w:r>
      <w:r>
        <w:rPr>
          <w:sz w:val="24"/>
        </w:rPr>
        <w:t>// Journal of the American College of Cardiology. 2009. Vol. 53. №. 3. P. 221–231.</w:t>
      </w:r>
    </w:p>
    <w:p>
      <w:pPr>
        <w:pStyle w:val="ListParagraph"/>
        <w:numPr>
          <w:ilvl w:val="0"/>
          <w:numId w:val="25"/>
        </w:numPr>
        <w:tabs>
          <w:tab w:pos="2677" w:val="left" w:leader="none"/>
          <w:tab w:pos="2678" w:val="left" w:leader="none"/>
        </w:tabs>
        <w:spacing w:line="240" w:lineRule="auto" w:before="0" w:after="0"/>
        <w:ind w:left="2677" w:right="0" w:hanging="1057"/>
        <w:jc w:val="left"/>
        <w:rPr>
          <w:sz w:val="24"/>
        </w:rPr>
      </w:pPr>
      <w:bookmarkStart w:name="_bookmark157" w:id="206"/>
      <w:bookmarkEnd w:id="206"/>
      <w:r>
        <w:rPr>
          <w:sz w:val="24"/>
        </w:rPr>
        <w:t>M</w:t>
      </w:r>
      <w:r>
        <w:rPr>
          <w:sz w:val="24"/>
        </w:rPr>
        <w:t>anson</w:t>
      </w:r>
      <w:r>
        <w:rPr>
          <w:spacing w:val="-3"/>
          <w:sz w:val="24"/>
        </w:rPr>
        <w:t> </w:t>
      </w:r>
      <w:r>
        <w:rPr>
          <w:sz w:val="24"/>
        </w:rPr>
        <w:t>JAE</w:t>
      </w:r>
      <w:r>
        <w:rPr>
          <w:spacing w:val="-2"/>
          <w:sz w:val="24"/>
        </w:rPr>
        <w:t> </w:t>
      </w:r>
      <w:r>
        <w:rPr>
          <w:sz w:val="24"/>
        </w:rPr>
        <w:t>et</w:t>
      </w:r>
      <w:r>
        <w:rPr>
          <w:spacing w:val="-1"/>
          <w:sz w:val="24"/>
        </w:rPr>
        <w:t> </w:t>
      </w:r>
      <w:r>
        <w:rPr>
          <w:sz w:val="24"/>
        </w:rPr>
        <w:t>al.</w:t>
      </w:r>
      <w:r>
        <w:rPr>
          <w:spacing w:val="-1"/>
          <w:sz w:val="24"/>
        </w:rPr>
        <w:t> </w:t>
      </w:r>
      <w:r>
        <w:rPr>
          <w:sz w:val="24"/>
        </w:rPr>
        <w:t>Estrogen</w:t>
      </w:r>
      <w:r>
        <w:rPr>
          <w:spacing w:val="-1"/>
          <w:sz w:val="24"/>
        </w:rPr>
        <w:t> </w:t>
      </w:r>
      <w:r>
        <w:rPr>
          <w:sz w:val="24"/>
        </w:rPr>
        <w:t>plus</w:t>
      </w:r>
      <w:r>
        <w:rPr>
          <w:spacing w:val="-1"/>
          <w:sz w:val="24"/>
        </w:rPr>
        <w:t> </w:t>
      </w:r>
      <w:r>
        <w:rPr>
          <w:sz w:val="24"/>
        </w:rPr>
        <w:t>progestin</w:t>
      </w:r>
      <w:r>
        <w:rPr>
          <w:spacing w:val="-1"/>
          <w:sz w:val="24"/>
        </w:rPr>
        <w:t> </w:t>
      </w:r>
      <w:r>
        <w:rPr>
          <w:sz w:val="24"/>
        </w:rPr>
        <w:t>and</w:t>
      </w:r>
      <w:r>
        <w:rPr>
          <w:spacing w:val="-1"/>
          <w:sz w:val="24"/>
        </w:rPr>
        <w:t> </w:t>
      </w:r>
      <w:r>
        <w:rPr>
          <w:sz w:val="24"/>
        </w:rPr>
        <w:t>the</w:t>
      </w:r>
      <w:r>
        <w:rPr>
          <w:spacing w:val="-2"/>
          <w:sz w:val="24"/>
        </w:rPr>
        <w:t> </w:t>
      </w:r>
      <w:r>
        <w:rPr>
          <w:sz w:val="24"/>
        </w:rPr>
        <w:t>risk</w:t>
      </w:r>
      <w:r>
        <w:rPr>
          <w:spacing w:val="-1"/>
          <w:sz w:val="24"/>
        </w:rPr>
        <w:t> </w:t>
      </w:r>
      <w:r>
        <w:rPr>
          <w:sz w:val="24"/>
        </w:rPr>
        <w:t>of</w:t>
      </w:r>
      <w:r>
        <w:rPr>
          <w:spacing w:val="-2"/>
          <w:sz w:val="24"/>
        </w:rPr>
        <w:t> </w:t>
      </w:r>
      <w:r>
        <w:rPr>
          <w:sz w:val="24"/>
        </w:rPr>
        <w:t>coronary</w:t>
      </w:r>
      <w:r>
        <w:rPr>
          <w:spacing w:val="-1"/>
          <w:sz w:val="24"/>
        </w:rPr>
        <w:t> </w:t>
      </w:r>
      <w:r>
        <w:rPr>
          <w:sz w:val="24"/>
        </w:rPr>
        <w:t>heart </w:t>
      </w:r>
      <w:r>
        <w:rPr>
          <w:spacing w:val="-2"/>
          <w:sz w:val="24"/>
        </w:rPr>
        <w:t>disease</w:t>
      </w:r>
    </w:p>
    <w:p>
      <w:pPr>
        <w:pStyle w:val="BodyText"/>
        <w:spacing w:before="138"/>
        <w:jc w:val="both"/>
      </w:pPr>
      <w:r>
        <w:rPr/>
        <w:t>//</w:t>
      </w:r>
      <w:r>
        <w:rPr>
          <w:spacing w:val="-3"/>
        </w:rPr>
        <w:t> </w:t>
      </w:r>
      <w:r>
        <w:rPr/>
        <w:t>New</w:t>
      </w:r>
      <w:r>
        <w:rPr>
          <w:spacing w:val="-2"/>
        </w:rPr>
        <w:t> </w:t>
      </w:r>
      <w:r>
        <w:rPr/>
        <w:t>England Journal</w:t>
      </w:r>
      <w:r>
        <w:rPr>
          <w:spacing w:val="-1"/>
        </w:rPr>
        <w:t> </w:t>
      </w:r>
      <w:r>
        <w:rPr/>
        <w:t>of</w:t>
      </w:r>
      <w:r>
        <w:rPr>
          <w:spacing w:val="-1"/>
        </w:rPr>
        <w:t> </w:t>
      </w:r>
      <w:r>
        <w:rPr/>
        <w:t>Medicine.</w:t>
      </w:r>
      <w:r>
        <w:rPr>
          <w:spacing w:val="-1"/>
        </w:rPr>
        <w:t> </w:t>
      </w:r>
      <w:r>
        <w:rPr/>
        <w:t>2003.</w:t>
      </w:r>
      <w:r>
        <w:rPr>
          <w:spacing w:val="-1"/>
        </w:rPr>
        <w:t> </w:t>
      </w:r>
      <w:r>
        <w:rPr/>
        <w:t>Vol. 349.</w:t>
      </w:r>
      <w:r>
        <w:rPr>
          <w:spacing w:val="-1"/>
        </w:rPr>
        <w:t> </w:t>
      </w:r>
      <w:r>
        <w:rPr/>
        <w:t>№. 6.</w:t>
      </w:r>
      <w:r>
        <w:rPr>
          <w:spacing w:val="-1"/>
        </w:rPr>
        <w:t> </w:t>
      </w:r>
      <w:r>
        <w:rPr/>
        <w:t>P. </w:t>
      </w:r>
      <w:r>
        <w:rPr>
          <w:spacing w:val="-2"/>
        </w:rPr>
        <w:t>523–534.</w:t>
      </w:r>
    </w:p>
    <w:p>
      <w:pPr>
        <w:pStyle w:val="ListParagraph"/>
        <w:numPr>
          <w:ilvl w:val="0"/>
          <w:numId w:val="25"/>
        </w:numPr>
        <w:tabs>
          <w:tab w:pos="2677" w:val="left" w:leader="none"/>
          <w:tab w:pos="2678" w:val="left" w:leader="none"/>
        </w:tabs>
        <w:spacing w:line="360" w:lineRule="auto" w:before="137" w:after="0"/>
        <w:ind w:left="1981" w:right="1054" w:hanging="360"/>
        <w:jc w:val="both"/>
        <w:rPr>
          <w:sz w:val="24"/>
        </w:rPr>
      </w:pPr>
      <w:bookmarkStart w:name="_bookmark158" w:id="207"/>
      <w:bookmarkEnd w:id="207"/>
      <w:r>
        <w:rPr>
          <w:sz w:val="24"/>
        </w:rPr>
        <w:t>St</w:t>
      </w:r>
      <w:r>
        <w:rPr>
          <w:sz w:val="24"/>
        </w:rPr>
        <w:t>roke</w:t>
      </w:r>
      <w:r>
        <w:rPr>
          <w:spacing w:val="-5"/>
          <w:sz w:val="24"/>
        </w:rPr>
        <w:t> </w:t>
      </w:r>
      <w:r>
        <w:rPr>
          <w:sz w:val="24"/>
        </w:rPr>
        <w:t>Prevention</w:t>
      </w:r>
      <w:r>
        <w:rPr>
          <w:spacing w:val="-4"/>
          <w:sz w:val="24"/>
        </w:rPr>
        <w:t> </w:t>
      </w:r>
      <w:r>
        <w:rPr>
          <w:sz w:val="24"/>
        </w:rPr>
        <w:t>by</w:t>
      </w:r>
      <w:r>
        <w:rPr>
          <w:spacing w:val="-4"/>
          <w:sz w:val="24"/>
        </w:rPr>
        <w:t> </w:t>
      </w:r>
      <w:r>
        <w:rPr>
          <w:sz w:val="24"/>
        </w:rPr>
        <w:t>Aggressive</w:t>
      </w:r>
      <w:r>
        <w:rPr>
          <w:spacing w:val="-5"/>
          <w:sz w:val="24"/>
        </w:rPr>
        <w:t> </w:t>
      </w:r>
      <w:r>
        <w:rPr>
          <w:sz w:val="24"/>
        </w:rPr>
        <w:t>Reduction</w:t>
      </w:r>
      <w:r>
        <w:rPr>
          <w:spacing w:val="-4"/>
          <w:sz w:val="24"/>
        </w:rPr>
        <w:t> </w:t>
      </w:r>
      <w:r>
        <w:rPr>
          <w:sz w:val="24"/>
        </w:rPr>
        <w:t>in</w:t>
      </w:r>
      <w:r>
        <w:rPr>
          <w:spacing w:val="-4"/>
          <w:sz w:val="24"/>
        </w:rPr>
        <w:t> </w:t>
      </w:r>
      <w:r>
        <w:rPr>
          <w:sz w:val="24"/>
        </w:rPr>
        <w:t>Cholesterol</w:t>
      </w:r>
      <w:r>
        <w:rPr>
          <w:spacing w:val="-4"/>
          <w:sz w:val="24"/>
        </w:rPr>
        <w:t> </w:t>
      </w:r>
      <w:r>
        <w:rPr>
          <w:sz w:val="24"/>
        </w:rPr>
        <w:t>Levels</w:t>
      </w:r>
      <w:r>
        <w:rPr>
          <w:spacing w:val="-4"/>
          <w:sz w:val="24"/>
        </w:rPr>
        <w:t> </w:t>
      </w:r>
      <w:r>
        <w:rPr>
          <w:sz w:val="24"/>
        </w:rPr>
        <w:t>(SPARCL) Investigators. High-dose atorvastatin after stroke or transient ischemic attack // New England Journal of Medicine. 2006. Vol. 355. №. 6. P. 549–559.</w:t>
      </w:r>
    </w:p>
    <w:p>
      <w:pPr>
        <w:pStyle w:val="ListParagraph"/>
        <w:numPr>
          <w:ilvl w:val="0"/>
          <w:numId w:val="25"/>
        </w:numPr>
        <w:tabs>
          <w:tab w:pos="2677" w:val="left" w:leader="none"/>
          <w:tab w:pos="2678" w:val="left" w:leader="none"/>
        </w:tabs>
        <w:spacing w:line="360" w:lineRule="auto" w:before="1" w:after="0"/>
        <w:ind w:left="1981" w:right="730" w:hanging="360"/>
        <w:jc w:val="left"/>
        <w:rPr>
          <w:sz w:val="24"/>
        </w:rPr>
      </w:pPr>
      <w:bookmarkStart w:name="_bookmark159" w:id="208"/>
      <w:bookmarkEnd w:id="208"/>
      <w:r>
        <w:rPr>
          <w:sz w:val="24"/>
        </w:rPr>
        <w:t>A</w:t>
      </w:r>
      <w:r>
        <w:rPr>
          <w:sz w:val="24"/>
        </w:rPr>
        <w:t>marenco</w:t>
      </w:r>
      <w:r>
        <w:rPr>
          <w:spacing w:val="-4"/>
          <w:sz w:val="24"/>
        </w:rPr>
        <w:t> </w:t>
      </w:r>
      <w:r>
        <w:rPr>
          <w:sz w:val="24"/>
        </w:rPr>
        <w:t>P,</w:t>
      </w:r>
      <w:r>
        <w:rPr>
          <w:spacing w:val="-4"/>
          <w:sz w:val="24"/>
        </w:rPr>
        <w:t> </w:t>
      </w:r>
      <w:r>
        <w:rPr>
          <w:sz w:val="24"/>
        </w:rPr>
        <w:t>Labreuche</w:t>
      </w:r>
      <w:r>
        <w:rPr>
          <w:spacing w:val="-3"/>
          <w:sz w:val="24"/>
        </w:rPr>
        <w:t> </w:t>
      </w:r>
      <w:r>
        <w:rPr>
          <w:sz w:val="24"/>
        </w:rPr>
        <w:t>J.</w:t>
      </w:r>
      <w:r>
        <w:rPr>
          <w:spacing w:val="-4"/>
          <w:sz w:val="24"/>
        </w:rPr>
        <w:t> </w:t>
      </w:r>
      <w:r>
        <w:rPr>
          <w:sz w:val="24"/>
        </w:rPr>
        <w:t>Lipid</w:t>
      </w:r>
      <w:r>
        <w:rPr>
          <w:spacing w:val="-4"/>
          <w:sz w:val="24"/>
        </w:rPr>
        <w:t> </w:t>
      </w:r>
      <w:r>
        <w:rPr>
          <w:sz w:val="24"/>
        </w:rPr>
        <w:t>management</w:t>
      </w:r>
      <w:r>
        <w:rPr>
          <w:spacing w:val="-4"/>
          <w:sz w:val="24"/>
        </w:rPr>
        <w:t> </w:t>
      </w:r>
      <w:r>
        <w:rPr>
          <w:sz w:val="24"/>
        </w:rPr>
        <w:t>in</w:t>
      </w:r>
      <w:r>
        <w:rPr>
          <w:spacing w:val="-4"/>
          <w:sz w:val="24"/>
        </w:rPr>
        <w:t> </w:t>
      </w:r>
      <w:r>
        <w:rPr>
          <w:sz w:val="24"/>
        </w:rPr>
        <w:t>the</w:t>
      </w:r>
      <w:r>
        <w:rPr>
          <w:spacing w:val="-4"/>
          <w:sz w:val="24"/>
        </w:rPr>
        <w:t> </w:t>
      </w:r>
      <w:r>
        <w:rPr>
          <w:sz w:val="24"/>
        </w:rPr>
        <w:t>prevention</w:t>
      </w:r>
      <w:r>
        <w:rPr>
          <w:spacing w:val="-4"/>
          <w:sz w:val="24"/>
        </w:rPr>
        <w:t> </w:t>
      </w:r>
      <w:r>
        <w:rPr>
          <w:sz w:val="24"/>
        </w:rPr>
        <w:t>of</w:t>
      </w:r>
      <w:r>
        <w:rPr>
          <w:spacing w:val="-4"/>
          <w:sz w:val="24"/>
        </w:rPr>
        <w:t> </w:t>
      </w:r>
      <w:r>
        <w:rPr>
          <w:sz w:val="24"/>
        </w:rPr>
        <w:t>stroke:</w:t>
      </w:r>
      <w:r>
        <w:rPr>
          <w:spacing w:val="-4"/>
          <w:sz w:val="24"/>
        </w:rPr>
        <w:t> </w:t>
      </w:r>
      <w:r>
        <w:rPr>
          <w:sz w:val="24"/>
        </w:rPr>
        <w:t>review and updated meta-analysis of statins for stroke prevention // The Lancet Neurology. 2009. Vol. 8. №. 5. P. 453–463.</w:t>
      </w:r>
    </w:p>
    <w:p>
      <w:pPr>
        <w:pStyle w:val="ListParagraph"/>
        <w:numPr>
          <w:ilvl w:val="0"/>
          <w:numId w:val="25"/>
        </w:numPr>
        <w:tabs>
          <w:tab w:pos="2677" w:val="left" w:leader="none"/>
          <w:tab w:pos="2678" w:val="left" w:leader="none"/>
        </w:tabs>
        <w:spacing w:line="360" w:lineRule="auto" w:before="0" w:after="0"/>
        <w:ind w:left="1981" w:right="787" w:hanging="360"/>
        <w:jc w:val="left"/>
        <w:rPr>
          <w:sz w:val="24"/>
        </w:rPr>
      </w:pPr>
      <w:bookmarkStart w:name="_bookmark160" w:id="209"/>
      <w:bookmarkEnd w:id="209"/>
      <w:r>
        <w:rPr>
          <w:sz w:val="24"/>
        </w:rPr>
        <w:t>Ch</w:t>
      </w:r>
      <w:r>
        <w:rPr>
          <w:sz w:val="24"/>
        </w:rPr>
        <w:t>an</w:t>
      </w:r>
      <w:r>
        <w:rPr>
          <w:spacing w:val="-3"/>
          <w:sz w:val="24"/>
        </w:rPr>
        <w:t> </w:t>
      </w:r>
      <w:r>
        <w:rPr>
          <w:sz w:val="24"/>
        </w:rPr>
        <w:t>K</w:t>
      </w:r>
      <w:r>
        <w:rPr>
          <w:spacing w:val="-4"/>
          <w:sz w:val="24"/>
        </w:rPr>
        <w:t> </w:t>
      </w:r>
      <w:r>
        <w:rPr>
          <w:sz w:val="24"/>
        </w:rPr>
        <w:t>et</w:t>
      </w:r>
      <w:r>
        <w:rPr>
          <w:spacing w:val="-3"/>
          <w:sz w:val="24"/>
        </w:rPr>
        <w:t> </w:t>
      </w:r>
      <w:r>
        <w:rPr>
          <w:sz w:val="24"/>
        </w:rPr>
        <w:t>al.</w:t>
      </w:r>
      <w:r>
        <w:rPr>
          <w:spacing w:val="-3"/>
          <w:sz w:val="24"/>
        </w:rPr>
        <w:t> </w:t>
      </w:r>
      <w:r>
        <w:rPr>
          <w:sz w:val="24"/>
        </w:rPr>
        <w:t>Effect</w:t>
      </w:r>
      <w:r>
        <w:rPr>
          <w:spacing w:val="-3"/>
          <w:sz w:val="24"/>
        </w:rPr>
        <w:t> </w:t>
      </w:r>
      <w:r>
        <w:rPr>
          <w:sz w:val="24"/>
        </w:rPr>
        <w:t>of</w:t>
      </w:r>
      <w:r>
        <w:rPr>
          <w:spacing w:val="-4"/>
          <w:sz w:val="24"/>
        </w:rPr>
        <w:t> </w:t>
      </w:r>
      <w:r>
        <w:rPr>
          <w:sz w:val="24"/>
        </w:rPr>
        <w:t>Lipid</w:t>
      </w:r>
      <w:r>
        <w:rPr>
          <w:spacing w:val="-3"/>
          <w:sz w:val="24"/>
        </w:rPr>
        <w:t> </w:t>
      </w:r>
      <w:r>
        <w:rPr>
          <w:sz w:val="24"/>
        </w:rPr>
        <w:t>lowering</w:t>
      </w:r>
      <w:r>
        <w:rPr>
          <w:spacing w:val="-3"/>
          <w:sz w:val="24"/>
        </w:rPr>
        <w:t> </w:t>
      </w:r>
      <w:r>
        <w:rPr>
          <w:sz w:val="24"/>
        </w:rPr>
        <w:t>with</w:t>
      </w:r>
      <w:r>
        <w:rPr>
          <w:spacing w:val="-3"/>
          <w:sz w:val="24"/>
        </w:rPr>
        <w:t> </w:t>
      </w:r>
      <w:r>
        <w:rPr>
          <w:sz w:val="24"/>
        </w:rPr>
        <w:t>rosuvastatin</w:t>
      </w:r>
      <w:r>
        <w:rPr>
          <w:spacing w:val="-3"/>
          <w:sz w:val="24"/>
        </w:rPr>
        <w:t> </w:t>
      </w:r>
      <w:r>
        <w:rPr>
          <w:sz w:val="24"/>
        </w:rPr>
        <w:t>on</w:t>
      </w:r>
      <w:r>
        <w:rPr>
          <w:spacing w:val="-3"/>
          <w:sz w:val="24"/>
        </w:rPr>
        <w:t> </w:t>
      </w:r>
      <w:r>
        <w:rPr>
          <w:sz w:val="24"/>
        </w:rPr>
        <w:t>progression</w:t>
      </w:r>
      <w:r>
        <w:rPr>
          <w:spacing w:val="-3"/>
          <w:sz w:val="24"/>
        </w:rPr>
        <w:t> </w:t>
      </w:r>
      <w:r>
        <w:rPr>
          <w:sz w:val="24"/>
        </w:rPr>
        <w:t>of</w:t>
      </w:r>
      <w:r>
        <w:rPr>
          <w:spacing w:val="-4"/>
          <w:sz w:val="24"/>
        </w:rPr>
        <w:t> </w:t>
      </w:r>
      <w:r>
        <w:rPr>
          <w:sz w:val="24"/>
        </w:rPr>
        <w:t>aortic stenosis: results of the aortic stenosis progression observation: measuring effects of rosuvastatin (ASTRONOMER) trial // Circulation. 2010. Vol. 121. №. 2. P. 306–314.</w:t>
      </w:r>
    </w:p>
    <w:p>
      <w:pPr>
        <w:spacing w:after="0" w:line="360" w:lineRule="auto"/>
        <w:jc w:val="left"/>
        <w:rPr>
          <w:sz w:val="24"/>
        </w:rPr>
        <w:sectPr>
          <w:pgSz w:w="11910" w:h="16840"/>
          <w:pgMar w:header="0" w:footer="710" w:top="1040" w:bottom="900" w:left="440" w:right="280"/>
        </w:sectPr>
      </w:pPr>
    </w:p>
    <w:p>
      <w:pPr>
        <w:pStyle w:val="ListParagraph"/>
        <w:numPr>
          <w:ilvl w:val="0"/>
          <w:numId w:val="25"/>
        </w:numPr>
        <w:tabs>
          <w:tab w:pos="2677" w:val="left" w:leader="none"/>
          <w:tab w:pos="2678" w:val="left" w:leader="none"/>
        </w:tabs>
        <w:spacing w:line="360" w:lineRule="auto" w:before="73" w:after="0"/>
        <w:ind w:left="1981" w:right="715" w:hanging="360"/>
        <w:jc w:val="left"/>
        <w:rPr>
          <w:sz w:val="24"/>
        </w:rPr>
      </w:pPr>
      <w:bookmarkStart w:name="_bookmark161" w:id="210"/>
      <w:bookmarkEnd w:id="210"/>
      <w:r>
        <w:rPr>
          <w:sz w:val="24"/>
        </w:rPr>
        <w:t>Co</w:t>
      </w:r>
      <w:r>
        <w:rPr>
          <w:sz w:val="24"/>
        </w:rPr>
        <w:t>well</w:t>
      </w:r>
      <w:r>
        <w:rPr>
          <w:spacing w:val="-3"/>
          <w:sz w:val="24"/>
        </w:rPr>
        <w:t> </w:t>
      </w:r>
      <w:r>
        <w:rPr>
          <w:sz w:val="24"/>
        </w:rPr>
        <w:t>SJ</w:t>
      </w:r>
      <w:r>
        <w:rPr>
          <w:spacing w:val="-3"/>
          <w:sz w:val="24"/>
        </w:rPr>
        <w:t> </w:t>
      </w:r>
      <w:r>
        <w:rPr>
          <w:sz w:val="24"/>
        </w:rPr>
        <w:t>et</w:t>
      </w:r>
      <w:r>
        <w:rPr>
          <w:spacing w:val="-3"/>
          <w:sz w:val="24"/>
        </w:rPr>
        <w:t> </w:t>
      </w:r>
      <w:r>
        <w:rPr>
          <w:sz w:val="24"/>
        </w:rPr>
        <w:t>al.</w:t>
      </w:r>
      <w:r>
        <w:rPr>
          <w:spacing w:val="-3"/>
          <w:sz w:val="24"/>
        </w:rPr>
        <w:t> </w:t>
      </w:r>
      <w:r>
        <w:rPr>
          <w:sz w:val="24"/>
        </w:rPr>
        <w:t>A</w:t>
      </w:r>
      <w:r>
        <w:rPr>
          <w:spacing w:val="-4"/>
          <w:sz w:val="24"/>
        </w:rPr>
        <w:t> </w:t>
      </w:r>
      <w:r>
        <w:rPr>
          <w:sz w:val="24"/>
        </w:rPr>
        <w:t>randomized</w:t>
      </w:r>
      <w:r>
        <w:rPr>
          <w:spacing w:val="-3"/>
          <w:sz w:val="24"/>
        </w:rPr>
        <w:t> </w:t>
      </w:r>
      <w:r>
        <w:rPr>
          <w:sz w:val="24"/>
        </w:rPr>
        <w:t>trial</w:t>
      </w:r>
      <w:r>
        <w:rPr>
          <w:spacing w:val="-3"/>
          <w:sz w:val="24"/>
        </w:rPr>
        <w:t> </w:t>
      </w:r>
      <w:r>
        <w:rPr>
          <w:sz w:val="24"/>
        </w:rPr>
        <w:t>of</w:t>
      </w:r>
      <w:r>
        <w:rPr>
          <w:spacing w:val="-4"/>
          <w:sz w:val="24"/>
        </w:rPr>
        <w:t> </w:t>
      </w:r>
      <w:r>
        <w:rPr>
          <w:sz w:val="24"/>
        </w:rPr>
        <w:t>intensive</w:t>
      </w:r>
      <w:r>
        <w:rPr>
          <w:spacing w:val="-4"/>
          <w:sz w:val="24"/>
        </w:rPr>
        <w:t> </w:t>
      </w:r>
      <w:r>
        <w:rPr>
          <w:sz w:val="24"/>
        </w:rPr>
        <w:t>lipid-lowering</w:t>
      </w:r>
      <w:r>
        <w:rPr>
          <w:spacing w:val="-3"/>
          <w:sz w:val="24"/>
        </w:rPr>
        <w:t> </w:t>
      </w:r>
      <w:r>
        <w:rPr>
          <w:sz w:val="24"/>
        </w:rPr>
        <w:t>therapy</w:t>
      </w:r>
      <w:r>
        <w:rPr>
          <w:spacing w:val="-3"/>
          <w:sz w:val="24"/>
        </w:rPr>
        <w:t> </w:t>
      </w:r>
      <w:r>
        <w:rPr>
          <w:sz w:val="24"/>
        </w:rPr>
        <w:t>in</w:t>
      </w:r>
      <w:r>
        <w:rPr>
          <w:spacing w:val="-1"/>
          <w:sz w:val="24"/>
        </w:rPr>
        <w:t> </w:t>
      </w:r>
      <w:r>
        <w:rPr>
          <w:sz w:val="24"/>
        </w:rPr>
        <w:t>calcific aortic stenosis // New England Journal of Medicine. 2005. Vol. 352. №. 23. P. 2389– </w:t>
      </w:r>
      <w:r>
        <w:rPr>
          <w:spacing w:val="-2"/>
          <w:sz w:val="24"/>
        </w:rPr>
        <w:t>2397.</w:t>
      </w:r>
    </w:p>
    <w:p>
      <w:pPr>
        <w:pStyle w:val="ListParagraph"/>
        <w:numPr>
          <w:ilvl w:val="0"/>
          <w:numId w:val="25"/>
        </w:numPr>
        <w:tabs>
          <w:tab w:pos="2677" w:val="left" w:leader="none"/>
          <w:tab w:pos="2678" w:val="left" w:leader="none"/>
        </w:tabs>
        <w:spacing w:line="360" w:lineRule="auto" w:before="2" w:after="0"/>
        <w:ind w:left="1981" w:right="994" w:hanging="360"/>
        <w:jc w:val="left"/>
        <w:rPr>
          <w:sz w:val="24"/>
        </w:rPr>
      </w:pPr>
      <w:bookmarkStart w:name="_bookmark162" w:id="211"/>
      <w:bookmarkEnd w:id="211"/>
      <w:r>
        <w:rPr>
          <w:sz w:val="24"/>
        </w:rPr>
        <w:t>D</w:t>
      </w:r>
      <w:r>
        <w:rPr>
          <w:sz w:val="24"/>
        </w:rPr>
        <w:t>ichtl</w:t>
      </w:r>
      <w:r>
        <w:rPr>
          <w:spacing w:val="-3"/>
          <w:sz w:val="24"/>
        </w:rPr>
        <w:t> </w:t>
      </w:r>
      <w:r>
        <w:rPr>
          <w:sz w:val="24"/>
        </w:rPr>
        <w:t>W</w:t>
      </w:r>
      <w:r>
        <w:rPr>
          <w:spacing w:val="-4"/>
          <w:sz w:val="24"/>
        </w:rPr>
        <w:t> </w:t>
      </w:r>
      <w:r>
        <w:rPr>
          <w:sz w:val="24"/>
        </w:rPr>
        <w:t>et</w:t>
      </w:r>
      <w:r>
        <w:rPr>
          <w:spacing w:val="-3"/>
          <w:sz w:val="24"/>
        </w:rPr>
        <w:t> </w:t>
      </w:r>
      <w:r>
        <w:rPr>
          <w:sz w:val="24"/>
        </w:rPr>
        <w:t>al.</w:t>
      </w:r>
      <w:r>
        <w:rPr>
          <w:spacing w:val="-3"/>
          <w:sz w:val="24"/>
        </w:rPr>
        <w:t> </w:t>
      </w:r>
      <w:r>
        <w:rPr>
          <w:sz w:val="24"/>
        </w:rPr>
        <w:t>Prognosis</w:t>
      </w:r>
      <w:r>
        <w:rPr>
          <w:spacing w:val="-3"/>
          <w:sz w:val="24"/>
        </w:rPr>
        <w:t> </w:t>
      </w:r>
      <w:r>
        <w:rPr>
          <w:sz w:val="24"/>
        </w:rPr>
        <w:t>and</w:t>
      </w:r>
      <w:r>
        <w:rPr>
          <w:spacing w:val="-3"/>
          <w:sz w:val="24"/>
        </w:rPr>
        <w:t> </w:t>
      </w:r>
      <w:r>
        <w:rPr>
          <w:sz w:val="24"/>
        </w:rPr>
        <w:t>risk</w:t>
      </w:r>
      <w:r>
        <w:rPr>
          <w:spacing w:val="-3"/>
          <w:sz w:val="24"/>
        </w:rPr>
        <w:t> </w:t>
      </w:r>
      <w:r>
        <w:rPr>
          <w:sz w:val="24"/>
        </w:rPr>
        <w:t>factors</w:t>
      </w:r>
      <w:r>
        <w:rPr>
          <w:spacing w:val="-3"/>
          <w:sz w:val="24"/>
        </w:rPr>
        <w:t> </w:t>
      </w:r>
      <w:r>
        <w:rPr>
          <w:sz w:val="24"/>
        </w:rPr>
        <w:t>in</w:t>
      </w:r>
      <w:r>
        <w:rPr>
          <w:spacing w:val="-3"/>
          <w:sz w:val="24"/>
        </w:rPr>
        <w:t> </w:t>
      </w:r>
      <w:r>
        <w:rPr>
          <w:sz w:val="24"/>
        </w:rPr>
        <w:t>patients</w:t>
      </w:r>
      <w:r>
        <w:rPr>
          <w:spacing w:val="-3"/>
          <w:sz w:val="24"/>
        </w:rPr>
        <w:t> </w:t>
      </w:r>
      <w:r>
        <w:rPr>
          <w:sz w:val="24"/>
        </w:rPr>
        <w:t>with</w:t>
      </w:r>
      <w:r>
        <w:rPr>
          <w:spacing w:val="-3"/>
          <w:sz w:val="24"/>
        </w:rPr>
        <w:t> </w:t>
      </w:r>
      <w:r>
        <w:rPr>
          <w:sz w:val="24"/>
        </w:rPr>
        <w:t>asymptomatic</w:t>
      </w:r>
      <w:r>
        <w:rPr>
          <w:spacing w:val="-4"/>
          <w:sz w:val="24"/>
        </w:rPr>
        <w:t> </w:t>
      </w:r>
      <w:r>
        <w:rPr>
          <w:sz w:val="24"/>
        </w:rPr>
        <w:t>aortic stenosis and their modulation by atorvastatin (20 mg) // The American journal of cardiology. 2008. Vol. 102. №. 6. P. 743–748.</w:t>
      </w:r>
    </w:p>
    <w:p>
      <w:pPr>
        <w:pStyle w:val="ListParagraph"/>
        <w:numPr>
          <w:ilvl w:val="0"/>
          <w:numId w:val="25"/>
        </w:numPr>
        <w:tabs>
          <w:tab w:pos="2677" w:val="left" w:leader="none"/>
          <w:tab w:pos="2678" w:val="left" w:leader="none"/>
        </w:tabs>
        <w:spacing w:line="360" w:lineRule="auto" w:before="0" w:after="0"/>
        <w:ind w:left="1981" w:right="1086" w:hanging="360"/>
        <w:jc w:val="both"/>
        <w:rPr>
          <w:sz w:val="24"/>
        </w:rPr>
      </w:pPr>
      <w:bookmarkStart w:name="_bookmark163" w:id="212"/>
      <w:bookmarkEnd w:id="212"/>
      <w:r>
        <w:rPr>
          <w:sz w:val="24"/>
        </w:rPr>
        <w:t>Ross</w:t>
      </w:r>
      <w:r>
        <w:rPr>
          <w:sz w:val="24"/>
        </w:rPr>
        <w:t>ebø AB et al. Intensive lipid lowering with simvastatin and ezetimibe in aortic</w:t>
      </w:r>
      <w:r>
        <w:rPr>
          <w:spacing w:val="-4"/>
          <w:sz w:val="24"/>
        </w:rPr>
        <w:t> </w:t>
      </w:r>
      <w:r>
        <w:rPr>
          <w:sz w:val="24"/>
        </w:rPr>
        <w:t>stenosis</w:t>
      </w:r>
      <w:r>
        <w:rPr>
          <w:spacing w:val="-3"/>
          <w:sz w:val="24"/>
        </w:rPr>
        <w:t> </w:t>
      </w:r>
      <w:r>
        <w:rPr>
          <w:sz w:val="24"/>
        </w:rPr>
        <w:t>//</w:t>
      </w:r>
      <w:r>
        <w:rPr>
          <w:spacing w:val="-3"/>
          <w:sz w:val="24"/>
        </w:rPr>
        <w:t> </w:t>
      </w:r>
      <w:r>
        <w:rPr>
          <w:sz w:val="24"/>
        </w:rPr>
        <w:t>New</w:t>
      </w:r>
      <w:r>
        <w:rPr>
          <w:spacing w:val="-4"/>
          <w:sz w:val="24"/>
        </w:rPr>
        <w:t> </w:t>
      </w:r>
      <w:r>
        <w:rPr>
          <w:sz w:val="24"/>
        </w:rPr>
        <w:t>England</w:t>
      </w:r>
      <w:r>
        <w:rPr>
          <w:spacing w:val="-3"/>
          <w:sz w:val="24"/>
        </w:rPr>
        <w:t> </w:t>
      </w:r>
      <w:r>
        <w:rPr>
          <w:sz w:val="24"/>
        </w:rPr>
        <w:t>journal</w:t>
      </w:r>
      <w:r>
        <w:rPr>
          <w:spacing w:val="-3"/>
          <w:sz w:val="24"/>
        </w:rPr>
        <w:t> </w:t>
      </w:r>
      <w:r>
        <w:rPr>
          <w:sz w:val="24"/>
        </w:rPr>
        <w:t>of</w:t>
      </w:r>
      <w:r>
        <w:rPr>
          <w:spacing w:val="-4"/>
          <w:sz w:val="24"/>
        </w:rPr>
        <w:t> </w:t>
      </w:r>
      <w:r>
        <w:rPr>
          <w:sz w:val="24"/>
        </w:rPr>
        <w:t>medicine.</w:t>
      </w:r>
      <w:r>
        <w:rPr>
          <w:spacing w:val="-3"/>
          <w:sz w:val="24"/>
        </w:rPr>
        <w:t> </w:t>
      </w:r>
      <w:r>
        <w:rPr>
          <w:sz w:val="24"/>
        </w:rPr>
        <w:t>2008.</w:t>
      </w:r>
      <w:r>
        <w:rPr>
          <w:spacing w:val="-3"/>
          <w:sz w:val="24"/>
        </w:rPr>
        <w:t> </w:t>
      </w:r>
      <w:r>
        <w:rPr>
          <w:sz w:val="24"/>
        </w:rPr>
        <w:t>Vol.</w:t>
      </w:r>
      <w:r>
        <w:rPr>
          <w:spacing w:val="-3"/>
          <w:sz w:val="24"/>
        </w:rPr>
        <w:t> </w:t>
      </w:r>
      <w:r>
        <w:rPr>
          <w:sz w:val="24"/>
        </w:rPr>
        <w:t>359.</w:t>
      </w:r>
      <w:r>
        <w:rPr>
          <w:spacing w:val="-3"/>
          <w:sz w:val="24"/>
        </w:rPr>
        <w:t> </w:t>
      </w:r>
      <w:r>
        <w:rPr>
          <w:sz w:val="24"/>
        </w:rPr>
        <w:t>№.</w:t>
      </w:r>
      <w:r>
        <w:rPr>
          <w:spacing w:val="-3"/>
          <w:sz w:val="24"/>
        </w:rPr>
        <w:t> </w:t>
      </w:r>
      <w:r>
        <w:rPr>
          <w:sz w:val="24"/>
        </w:rPr>
        <w:t>13.</w:t>
      </w:r>
      <w:r>
        <w:rPr>
          <w:spacing w:val="-1"/>
          <w:sz w:val="24"/>
        </w:rPr>
        <w:t> </w:t>
      </w:r>
      <w:r>
        <w:rPr>
          <w:sz w:val="24"/>
        </w:rPr>
        <w:t>P.</w:t>
      </w:r>
      <w:r>
        <w:rPr>
          <w:spacing w:val="-3"/>
          <w:sz w:val="24"/>
        </w:rPr>
        <w:t> </w:t>
      </w:r>
      <w:r>
        <w:rPr>
          <w:sz w:val="24"/>
        </w:rPr>
        <w:t>1343– </w:t>
      </w:r>
      <w:r>
        <w:rPr>
          <w:spacing w:val="-2"/>
          <w:sz w:val="24"/>
        </w:rPr>
        <w:t>1356.</w:t>
      </w:r>
    </w:p>
    <w:p>
      <w:pPr>
        <w:pStyle w:val="ListParagraph"/>
        <w:numPr>
          <w:ilvl w:val="0"/>
          <w:numId w:val="25"/>
        </w:numPr>
        <w:tabs>
          <w:tab w:pos="2677" w:val="left" w:leader="none"/>
          <w:tab w:pos="2678" w:val="left" w:leader="none"/>
        </w:tabs>
        <w:spacing w:line="360" w:lineRule="auto" w:before="0" w:after="0"/>
        <w:ind w:left="1981" w:right="841" w:hanging="360"/>
        <w:jc w:val="left"/>
        <w:rPr>
          <w:sz w:val="24"/>
        </w:rPr>
      </w:pPr>
      <w:bookmarkStart w:name="_bookmark164" w:id="213"/>
      <w:bookmarkEnd w:id="213"/>
      <w:r>
        <w:rPr>
          <w:sz w:val="24"/>
        </w:rPr>
        <w:t>K</w:t>
      </w:r>
      <w:r>
        <w:rPr>
          <w:sz w:val="24"/>
        </w:rPr>
        <w:t>elley GA, Kelley KS, Tran ZV. Walking, lipids, and lipoproteins: a meta- analysis</w:t>
      </w:r>
      <w:r>
        <w:rPr>
          <w:spacing w:val="-3"/>
          <w:sz w:val="24"/>
        </w:rPr>
        <w:t> </w:t>
      </w:r>
      <w:r>
        <w:rPr>
          <w:sz w:val="24"/>
        </w:rPr>
        <w:t>of</w:t>
      </w:r>
      <w:r>
        <w:rPr>
          <w:spacing w:val="-4"/>
          <w:sz w:val="24"/>
        </w:rPr>
        <w:t> </w:t>
      </w:r>
      <w:r>
        <w:rPr>
          <w:sz w:val="24"/>
        </w:rPr>
        <w:t>randomized</w:t>
      </w:r>
      <w:r>
        <w:rPr>
          <w:spacing w:val="-3"/>
          <w:sz w:val="24"/>
        </w:rPr>
        <w:t> </w:t>
      </w:r>
      <w:r>
        <w:rPr>
          <w:sz w:val="24"/>
        </w:rPr>
        <w:t>controlled</w:t>
      </w:r>
      <w:r>
        <w:rPr>
          <w:spacing w:val="-3"/>
          <w:sz w:val="24"/>
        </w:rPr>
        <w:t> </w:t>
      </w:r>
      <w:r>
        <w:rPr>
          <w:sz w:val="24"/>
        </w:rPr>
        <w:t>trials</w:t>
      </w:r>
      <w:r>
        <w:rPr>
          <w:spacing w:val="-3"/>
          <w:sz w:val="24"/>
        </w:rPr>
        <w:t> </w:t>
      </w:r>
      <w:r>
        <w:rPr>
          <w:sz w:val="24"/>
        </w:rPr>
        <w:t>//</w:t>
      </w:r>
      <w:r>
        <w:rPr>
          <w:spacing w:val="-3"/>
          <w:sz w:val="24"/>
        </w:rPr>
        <w:t> </w:t>
      </w:r>
      <w:r>
        <w:rPr>
          <w:sz w:val="24"/>
        </w:rPr>
        <w:t>Preventive</w:t>
      </w:r>
      <w:r>
        <w:rPr>
          <w:spacing w:val="-4"/>
          <w:sz w:val="24"/>
        </w:rPr>
        <w:t> </w:t>
      </w:r>
      <w:r>
        <w:rPr>
          <w:sz w:val="24"/>
        </w:rPr>
        <w:t>medicine.</w:t>
      </w:r>
      <w:r>
        <w:rPr>
          <w:spacing w:val="-3"/>
          <w:sz w:val="24"/>
        </w:rPr>
        <w:t> </w:t>
      </w:r>
      <w:r>
        <w:rPr>
          <w:sz w:val="24"/>
        </w:rPr>
        <w:t>2004.</w:t>
      </w:r>
      <w:r>
        <w:rPr>
          <w:spacing w:val="-3"/>
          <w:sz w:val="24"/>
        </w:rPr>
        <w:t> </w:t>
      </w:r>
      <w:r>
        <w:rPr>
          <w:sz w:val="24"/>
        </w:rPr>
        <w:t>Vol.</w:t>
      </w:r>
      <w:r>
        <w:rPr>
          <w:spacing w:val="-1"/>
          <w:sz w:val="24"/>
        </w:rPr>
        <w:t> </w:t>
      </w:r>
      <w:r>
        <w:rPr>
          <w:sz w:val="24"/>
        </w:rPr>
        <w:t>38.</w:t>
      </w:r>
      <w:r>
        <w:rPr>
          <w:spacing w:val="-3"/>
          <w:sz w:val="24"/>
        </w:rPr>
        <w:t> </w:t>
      </w:r>
      <w:r>
        <w:rPr>
          <w:sz w:val="24"/>
        </w:rPr>
        <w:t>№.</w:t>
      </w:r>
      <w:r>
        <w:rPr>
          <w:spacing w:val="-3"/>
          <w:sz w:val="24"/>
        </w:rPr>
        <w:t> </w:t>
      </w:r>
      <w:r>
        <w:rPr>
          <w:sz w:val="24"/>
        </w:rPr>
        <w:t>5.</w:t>
      </w:r>
      <w:r>
        <w:rPr>
          <w:spacing w:val="-3"/>
          <w:sz w:val="24"/>
        </w:rPr>
        <w:t> </w:t>
      </w:r>
      <w:r>
        <w:rPr>
          <w:sz w:val="24"/>
        </w:rPr>
        <w:t>P. </w:t>
      </w:r>
      <w:r>
        <w:rPr>
          <w:spacing w:val="-2"/>
          <w:sz w:val="24"/>
        </w:rPr>
        <w:t>651–661.</w:t>
      </w:r>
    </w:p>
    <w:p>
      <w:pPr>
        <w:pStyle w:val="ListParagraph"/>
        <w:numPr>
          <w:ilvl w:val="0"/>
          <w:numId w:val="25"/>
        </w:numPr>
        <w:tabs>
          <w:tab w:pos="2677" w:val="left" w:leader="none"/>
          <w:tab w:pos="2678" w:val="left" w:leader="none"/>
        </w:tabs>
        <w:spacing w:line="360" w:lineRule="auto" w:before="0" w:after="0"/>
        <w:ind w:left="1981" w:right="593" w:hanging="360"/>
        <w:jc w:val="left"/>
        <w:rPr>
          <w:sz w:val="24"/>
        </w:rPr>
      </w:pPr>
      <w:bookmarkStart w:name="_bookmark165" w:id="214"/>
      <w:bookmarkEnd w:id="214"/>
      <w:r>
        <w:rPr>
          <w:sz w:val="24"/>
        </w:rPr>
        <w:t>H</w:t>
      </w:r>
      <w:r>
        <w:rPr>
          <w:sz w:val="24"/>
        </w:rPr>
        <w:t>ardman</w:t>
      </w:r>
      <w:r>
        <w:rPr>
          <w:spacing w:val="-3"/>
          <w:sz w:val="24"/>
        </w:rPr>
        <w:t> </w:t>
      </w:r>
      <w:r>
        <w:rPr>
          <w:sz w:val="24"/>
        </w:rPr>
        <w:t>AE.</w:t>
      </w:r>
      <w:r>
        <w:rPr>
          <w:spacing w:val="-3"/>
          <w:sz w:val="24"/>
        </w:rPr>
        <w:t> </w:t>
      </w:r>
      <w:r>
        <w:rPr>
          <w:sz w:val="24"/>
        </w:rPr>
        <w:t>Physical</w:t>
      </w:r>
      <w:r>
        <w:rPr>
          <w:spacing w:val="-3"/>
          <w:sz w:val="24"/>
        </w:rPr>
        <w:t> </w:t>
      </w:r>
      <w:r>
        <w:rPr>
          <w:sz w:val="24"/>
        </w:rPr>
        <w:t>activity,</w:t>
      </w:r>
      <w:r>
        <w:rPr>
          <w:spacing w:val="-3"/>
          <w:sz w:val="24"/>
        </w:rPr>
        <w:t> </w:t>
      </w:r>
      <w:r>
        <w:rPr>
          <w:sz w:val="24"/>
        </w:rPr>
        <w:t>obesity</w:t>
      </w:r>
      <w:r>
        <w:rPr>
          <w:spacing w:val="-3"/>
          <w:sz w:val="24"/>
        </w:rPr>
        <w:t> </w:t>
      </w:r>
      <w:r>
        <w:rPr>
          <w:sz w:val="24"/>
        </w:rPr>
        <w:t>and</w:t>
      </w:r>
      <w:r>
        <w:rPr>
          <w:spacing w:val="-3"/>
          <w:sz w:val="24"/>
        </w:rPr>
        <w:t> </w:t>
      </w:r>
      <w:r>
        <w:rPr>
          <w:sz w:val="24"/>
        </w:rPr>
        <w:t>blood</w:t>
      </w:r>
      <w:r>
        <w:rPr>
          <w:spacing w:val="-3"/>
          <w:sz w:val="24"/>
        </w:rPr>
        <w:t> </w:t>
      </w:r>
      <w:r>
        <w:rPr>
          <w:sz w:val="24"/>
        </w:rPr>
        <w:t>lipids</w:t>
      </w:r>
      <w:r>
        <w:rPr>
          <w:spacing w:val="-3"/>
          <w:sz w:val="24"/>
        </w:rPr>
        <w:t> </w:t>
      </w:r>
      <w:r>
        <w:rPr>
          <w:sz w:val="24"/>
        </w:rPr>
        <w:t>//</w:t>
      </w:r>
      <w:r>
        <w:rPr>
          <w:spacing w:val="-3"/>
          <w:sz w:val="24"/>
        </w:rPr>
        <w:t> </w:t>
      </w:r>
      <w:r>
        <w:rPr>
          <w:sz w:val="24"/>
        </w:rPr>
        <w:t>International</w:t>
      </w:r>
      <w:r>
        <w:rPr>
          <w:spacing w:val="-3"/>
          <w:sz w:val="24"/>
        </w:rPr>
        <w:t> </w:t>
      </w:r>
      <w:r>
        <w:rPr>
          <w:sz w:val="24"/>
        </w:rPr>
        <w:t>Journal</w:t>
      </w:r>
      <w:r>
        <w:rPr>
          <w:spacing w:val="-3"/>
          <w:sz w:val="24"/>
        </w:rPr>
        <w:t> </w:t>
      </w:r>
      <w:r>
        <w:rPr>
          <w:sz w:val="24"/>
        </w:rPr>
        <w:t>of Obesity. 1999. Vol. 23. №. 3. P. S64–S71.</w:t>
      </w:r>
    </w:p>
    <w:p>
      <w:pPr>
        <w:pStyle w:val="ListParagraph"/>
        <w:numPr>
          <w:ilvl w:val="0"/>
          <w:numId w:val="25"/>
        </w:numPr>
        <w:tabs>
          <w:tab w:pos="2677" w:val="left" w:leader="none"/>
          <w:tab w:pos="2678" w:val="left" w:leader="none"/>
        </w:tabs>
        <w:spacing w:line="360" w:lineRule="auto" w:before="0" w:after="0"/>
        <w:ind w:left="1981" w:right="958" w:hanging="360"/>
        <w:jc w:val="left"/>
        <w:rPr>
          <w:sz w:val="24"/>
        </w:rPr>
      </w:pPr>
      <w:bookmarkStart w:name="_bookmark166" w:id="215"/>
      <w:bookmarkEnd w:id="215"/>
      <w:r>
        <w:rPr>
          <w:sz w:val="24"/>
        </w:rPr>
        <w:t>T</w:t>
      </w:r>
      <w:r>
        <w:rPr>
          <w:sz w:val="24"/>
        </w:rPr>
        <w:t>ran</w:t>
      </w:r>
      <w:r>
        <w:rPr>
          <w:spacing w:val="-3"/>
          <w:sz w:val="24"/>
        </w:rPr>
        <w:t> </w:t>
      </w:r>
      <w:r>
        <w:rPr>
          <w:sz w:val="24"/>
        </w:rPr>
        <w:t>ZV</w:t>
      </w:r>
      <w:r>
        <w:rPr>
          <w:spacing w:val="-4"/>
          <w:sz w:val="24"/>
        </w:rPr>
        <w:t> </w:t>
      </w:r>
      <w:r>
        <w:rPr>
          <w:sz w:val="24"/>
        </w:rPr>
        <w:t>et</w:t>
      </w:r>
      <w:r>
        <w:rPr>
          <w:spacing w:val="-1"/>
          <w:sz w:val="24"/>
        </w:rPr>
        <w:t> </w:t>
      </w:r>
      <w:r>
        <w:rPr>
          <w:sz w:val="24"/>
        </w:rPr>
        <w:t>al.</w:t>
      </w:r>
      <w:r>
        <w:rPr>
          <w:spacing w:val="-3"/>
          <w:sz w:val="24"/>
        </w:rPr>
        <w:t> </w:t>
      </w:r>
      <w:r>
        <w:rPr>
          <w:sz w:val="24"/>
        </w:rPr>
        <w:t>The</w:t>
      </w:r>
      <w:r>
        <w:rPr>
          <w:spacing w:val="-4"/>
          <w:sz w:val="24"/>
        </w:rPr>
        <w:t> </w:t>
      </w:r>
      <w:r>
        <w:rPr>
          <w:sz w:val="24"/>
        </w:rPr>
        <w:t>effects</w:t>
      </w:r>
      <w:r>
        <w:rPr>
          <w:spacing w:val="-3"/>
          <w:sz w:val="24"/>
        </w:rPr>
        <w:t> </w:t>
      </w:r>
      <w:r>
        <w:rPr>
          <w:sz w:val="24"/>
        </w:rPr>
        <w:t>of</w:t>
      </w:r>
      <w:r>
        <w:rPr>
          <w:spacing w:val="-4"/>
          <w:sz w:val="24"/>
        </w:rPr>
        <w:t> </w:t>
      </w:r>
      <w:r>
        <w:rPr>
          <w:sz w:val="24"/>
        </w:rPr>
        <w:t>exercise</w:t>
      </w:r>
      <w:r>
        <w:rPr>
          <w:spacing w:val="-4"/>
          <w:sz w:val="24"/>
        </w:rPr>
        <w:t> </w:t>
      </w:r>
      <w:r>
        <w:rPr>
          <w:sz w:val="24"/>
        </w:rPr>
        <w:t>on</w:t>
      </w:r>
      <w:r>
        <w:rPr>
          <w:spacing w:val="-3"/>
          <w:sz w:val="24"/>
        </w:rPr>
        <w:t> </w:t>
      </w:r>
      <w:r>
        <w:rPr>
          <w:sz w:val="24"/>
        </w:rPr>
        <w:t>blood</w:t>
      </w:r>
      <w:r>
        <w:rPr>
          <w:spacing w:val="-3"/>
          <w:sz w:val="24"/>
        </w:rPr>
        <w:t> </w:t>
      </w:r>
      <w:r>
        <w:rPr>
          <w:sz w:val="24"/>
        </w:rPr>
        <w:t>lipids</w:t>
      </w:r>
      <w:r>
        <w:rPr>
          <w:spacing w:val="-3"/>
          <w:sz w:val="24"/>
        </w:rPr>
        <w:t> </w:t>
      </w:r>
      <w:r>
        <w:rPr>
          <w:sz w:val="24"/>
        </w:rPr>
        <w:t>and</w:t>
      </w:r>
      <w:r>
        <w:rPr>
          <w:spacing w:val="-3"/>
          <w:sz w:val="24"/>
        </w:rPr>
        <w:t> </w:t>
      </w:r>
      <w:r>
        <w:rPr>
          <w:sz w:val="24"/>
        </w:rPr>
        <w:t>lipoproteins:</w:t>
      </w:r>
      <w:r>
        <w:rPr>
          <w:spacing w:val="-3"/>
          <w:sz w:val="24"/>
        </w:rPr>
        <w:t> </w:t>
      </w:r>
      <w:r>
        <w:rPr>
          <w:sz w:val="24"/>
        </w:rPr>
        <w:t>a</w:t>
      </w:r>
      <w:r>
        <w:rPr>
          <w:spacing w:val="-4"/>
          <w:sz w:val="24"/>
        </w:rPr>
        <w:t> </w:t>
      </w:r>
      <w:r>
        <w:rPr>
          <w:sz w:val="24"/>
        </w:rPr>
        <w:t>meta- analysis of studies // Med Sci Sports Exerc. 1983. Vol. 15. №. 5. P. 393–402.</w:t>
      </w:r>
    </w:p>
    <w:p>
      <w:pPr>
        <w:pStyle w:val="ListParagraph"/>
        <w:numPr>
          <w:ilvl w:val="0"/>
          <w:numId w:val="25"/>
        </w:numPr>
        <w:tabs>
          <w:tab w:pos="2677" w:val="left" w:leader="none"/>
          <w:tab w:pos="2678" w:val="left" w:leader="none"/>
        </w:tabs>
        <w:spacing w:line="360" w:lineRule="auto" w:before="0" w:after="0"/>
        <w:ind w:left="1981" w:right="826" w:hanging="360"/>
        <w:jc w:val="left"/>
        <w:rPr>
          <w:sz w:val="24"/>
        </w:rPr>
      </w:pPr>
      <w:bookmarkStart w:name="_bookmark167" w:id="216"/>
      <w:bookmarkEnd w:id="216"/>
      <w:r>
        <w:rPr>
          <w:sz w:val="24"/>
        </w:rPr>
        <w:t>Mo</w:t>
      </w:r>
      <w:r>
        <w:rPr>
          <w:sz w:val="24"/>
        </w:rPr>
        <w:t>zaffarian D, Micha R, Wallace S. Effects on coronary heart disease of increasing polyunsaturated fat in place of saturated fat: a systematic review and meta- analysis</w:t>
      </w:r>
      <w:r>
        <w:rPr>
          <w:spacing w:val="-3"/>
          <w:sz w:val="24"/>
        </w:rPr>
        <w:t> </w:t>
      </w:r>
      <w:r>
        <w:rPr>
          <w:sz w:val="24"/>
        </w:rPr>
        <w:t>of</w:t>
      </w:r>
      <w:r>
        <w:rPr>
          <w:spacing w:val="-4"/>
          <w:sz w:val="24"/>
        </w:rPr>
        <w:t> </w:t>
      </w:r>
      <w:r>
        <w:rPr>
          <w:sz w:val="24"/>
        </w:rPr>
        <w:t>randomized</w:t>
      </w:r>
      <w:r>
        <w:rPr>
          <w:spacing w:val="-3"/>
          <w:sz w:val="24"/>
        </w:rPr>
        <w:t> </w:t>
      </w:r>
      <w:r>
        <w:rPr>
          <w:sz w:val="24"/>
        </w:rPr>
        <w:t>controlled</w:t>
      </w:r>
      <w:r>
        <w:rPr>
          <w:spacing w:val="-3"/>
          <w:sz w:val="24"/>
        </w:rPr>
        <w:t> </w:t>
      </w:r>
      <w:r>
        <w:rPr>
          <w:sz w:val="24"/>
        </w:rPr>
        <w:t>trials</w:t>
      </w:r>
      <w:r>
        <w:rPr>
          <w:spacing w:val="-3"/>
          <w:sz w:val="24"/>
        </w:rPr>
        <w:t> </w:t>
      </w:r>
      <w:r>
        <w:rPr>
          <w:sz w:val="24"/>
        </w:rPr>
        <w:t>//</w:t>
      </w:r>
      <w:r>
        <w:rPr>
          <w:spacing w:val="-3"/>
          <w:sz w:val="24"/>
        </w:rPr>
        <w:t> </w:t>
      </w:r>
      <w:r>
        <w:rPr>
          <w:sz w:val="24"/>
        </w:rPr>
        <w:t>PLoS</w:t>
      </w:r>
      <w:r>
        <w:rPr>
          <w:spacing w:val="-5"/>
          <w:sz w:val="24"/>
        </w:rPr>
        <w:t> </w:t>
      </w:r>
      <w:r>
        <w:rPr>
          <w:sz w:val="24"/>
        </w:rPr>
        <w:t>Med.</w:t>
      </w:r>
      <w:r>
        <w:rPr>
          <w:spacing w:val="-3"/>
          <w:sz w:val="24"/>
        </w:rPr>
        <w:t> </w:t>
      </w:r>
      <w:r>
        <w:rPr>
          <w:sz w:val="24"/>
        </w:rPr>
        <w:t>2010.</w:t>
      </w:r>
      <w:r>
        <w:rPr>
          <w:spacing w:val="-3"/>
          <w:sz w:val="24"/>
        </w:rPr>
        <w:t> </w:t>
      </w:r>
      <w:r>
        <w:rPr>
          <w:sz w:val="24"/>
        </w:rPr>
        <w:t>Vol.</w:t>
      </w:r>
      <w:r>
        <w:rPr>
          <w:spacing w:val="-3"/>
          <w:sz w:val="24"/>
        </w:rPr>
        <w:t> </w:t>
      </w:r>
      <w:r>
        <w:rPr>
          <w:sz w:val="24"/>
        </w:rPr>
        <w:t>7.</w:t>
      </w:r>
      <w:r>
        <w:rPr>
          <w:spacing w:val="-3"/>
          <w:sz w:val="24"/>
        </w:rPr>
        <w:t> </w:t>
      </w:r>
      <w:r>
        <w:rPr>
          <w:sz w:val="24"/>
        </w:rPr>
        <w:t>№.</w:t>
      </w:r>
      <w:r>
        <w:rPr>
          <w:spacing w:val="-3"/>
          <w:sz w:val="24"/>
        </w:rPr>
        <w:t> </w:t>
      </w:r>
      <w:r>
        <w:rPr>
          <w:sz w:val="24"/>
        </w:rPr>
        <w:t>3.</w:t>
      </w:r>
      <w:r>
        <w:rPr>
          <w:spacing w:val="-1"/>
          <w:sz w:val="24"/>
        </w:rPr>
        <w:t> </w:t>
      </w:r>
      <w:r>
        <w:rPr>
          <w:sz w:val="24"/>
        </w:rPr>
        <w:t>P.</w:t>
      </w:r>
      <w:r>
        <w:rPr>
          <w:spacing w:val="-3"/>
          <w:sz w:val="24"/>
        </w:rPr>
        <w:t> </w:t>
      </w:r>
      <w:r>
        <w:rPr>
          <w:sz w:val="24"/>
        </w:rPr>
        <w:t>e1000252.</w:t>
      </w:r>
    </w:p>
    <w:p>
      <w:pPr>
        <w:pStyle w:val="ListParagraph"/>
        <w:numPr>
          <w:ilvl w:val="0"/>
          <w:numId w:val="25"/>
        </w:numPr>
        <w:tabs>
          <w:tab w:pos="2677" w:val="left" w:leader="none"/>
          <w:tab w:pos="2678" w:val="left" w:leader="none"/>
        </w:tabs>
        <w:spacing w:line="360" w:lineRule="auto" w:before="0" w:after="0"/>
        <w:ind w:left="1981" w:right="791" w:hanging="360"/>
        <w:jc w:val="left"/>
        <w:rPr>
          <w:sz w:val="24"/>
        </w:rPr>
      </w:pPr>
      <w:bookmarkStart w:name="_bookmark168" w:id="217"/>
      <w:bookmarkEnd w:id="217"/>
      <w:r>
        <w:rPr>
          <w:sz w:val="24"/>
        </w:rPr>
        <w:t>Mo</w:t>
      </w:r>
      <w:r>
        <w:rPr>
          <w:sz w:val="24"/>
        </w:rPr>
        <w:t>zaffarian D, Aro A, Willett W. C. Health effects of trans-fatty acids: experimental</w:t>
      </w:r>
      <w:r>
        <w:rPr>
          <w:spacing w:val="-4"/>
          <w:sz w:val="24"/>
        </w:rPr>
        <w:t> </w:t>
      </w:r>
      <w:r>
        <w:rPr>
          <w:sz w:val="24"/>
        </w:rPr>
        <w:t>and</w:t>
      </w:r>
      <w:r>
        <w:rPr>
          <w:spacing w:val="-4"/>
          <w:sz w:val="24"/>
        </w:rPr>
        <w:t> </w:t>
      </w:r>
      <w:r>
        <w:rPr>
          <w:sz w:val="24"/>
        </w:rPr>
        <w:t>observational</w:t>
      </w:r>
      <w:r>
        <w:rPr>
          <w:spacing w:val="-4"/>
          <w:sz w:val="24"/>
        </w:rPr>
        <w:t> </w:t>
      </w:r>
      <w:r>
        <w:rPr>
          <w:sz w:val="24"/>
        </w:rPr>
        <w:t>evidence</w:t>
      </w:r>
      <w:r>
        <w:rPr>
          <w:spacing w:val="-5"/>
          <w:sz w:val="24"/>
        </w:rPr>
        <w:t> </w:t>
      </w:r>
      <w:r>
        <w:rPr>
          <w:sz w:val="24"/>
        </w:rPr>
        <w:t>//</w:t>
      </w:r>
      <w:r>
        <w:rPr>
          <w:spacing w:val="-4"/>
          <w:sz w:val="24"/>
        </w:rPr>
        <w:t> </w:t>
      </w:r>
      <w:r>
        <w:rPr>
          <w:sz w:val="24"/>
        </w:rPr>
        <w:t>European</w:t>
      </w:r>
      <w:r>
        <w:rPr>
          <w:spacing w:val="-4"/>
          <w:sz w:val="24"/>
        </w:rPr>
        <w:t> </w:t>
      </w:r>
      <w:r>
        <w:rPr>
          <w:sz w:val="24"/>
        </w:rPr>
        <w:t>journal</w:t>
      </w:r>
      <w:r>
        <w:rPr>
          <w:spacing w:val="-4"/>
          <w:sz w:val="24"/>
        </w:rPr>
        <w:t> </w:t>
      </w:r>
      <w:r>
        <w:rPr>
          <w:sz w:val="24"/>
        </w:rPr>
        <w:t>of</w:t>
      </w:r>
      <w:r>
        <w:rPr>
          <w:spacing w:val="-3"/>
          <w:sz w:val="24"/>
        </w:rPr>
        <w:t> </w:t>
      </w:r>
      <w:r>
        <w:rPr>
          <w:sz w:val="24"/>
        </w:rPr>
        <w:t>clinical</w:t>
      </w:r>
      <w:r>
        <w:rPr>
          <w:spacing w:val="-4"/>
          <w:sz w:val="24"/>
        </w:rPr>
        <w:t> </w:t>
      </w:r>
      <w:r>
        <w:rPr>
          <w:sz w:val="24"/>
        </w:rPr>
        <w:t>nutrition.</w:t>
      </w:r>
      <w:r>
        <w:rPr>
          <w:spacing w:val="-4"/>
          <w:sz w:val="24"/>
        </w:rPr>
        <w:t> </w:t>
      </w:r>
      <w:r>
        <w:rPr>
          <w:sz w:val="24"/>
        </w:rPr>
        <w:t>2009. Vol. 63. №. 2. P. S5–S21.</w:t>
      </w:r>
    </w:p>
    <w:p>
      <w:pPr>
        <w:pStyle w:val="ListParagraph"/>
        <w:numPr>
          <w:ilvl w:val="0"/>
          <w:numId w:val="25"/>
        </w:numPr>
        <w:tabs>
          <w:tab w:pos="2677" w:val="left" w:leader="none"/>
          <w:tab w:pos="2678" w:val="left" w:leader="none"/>
        </w:tabs>
        <w:spacing w:line="360" w:lineRule="auto" w:before="0" w:after="0"/>
        <w:ind w:left="1981" w:right="896" w:hanging="360"/>
        <w:jc w:val="left"/>
        <w:rPr>
          <w:sz w:val="24"/>
        </w:rPr>
      </w:pPr>
      <w:bookmarkStart w:name="_bookmark169" w:id="218"/>
      <w:bookmarkEnd w:id="218"/>
      <w:r>
        <w:rPr>
          <w:sz w:val="24"/>
        </w:rPr>
        <w:t>Cli</w:t>
      </w:r>
      <w:r>
        <w:rPr>
          <w:sz w:val="24"/>
        </w:rPr>
        <w:t>fton</w:t>
      </w:r>
      <w:r>
        <w:rPr>
          <w:spacing w:val="-3"/>
          <w:sz w:val="24"/>
        </w:rPr>
        <w:t> </w:t>
      </w:r>
      <w:r>
        <w:rPr>
          <w:sz w:val="24"/>
        </w:rPr>
        <w:t>P.</w:t>
      </w:r>
      <w:r>
        <w:rPr>
          <w:spacing w:val="-3"/>
          <w:sz w:val="24"/>
        </w:rPr>
        <w:t> </w:t>
      </w:r>
      <w:r>
        <w:rPr>
          <w:sz w:val="24"/>
        </w:rPr>
        <w:t>M,</w:t>
      </w:r>
      <w:r>
        <w:rPr>
          <w:spacing w:val="-3"/>
          <w:sz w:val="24"/>
        </w:rPr>
        <w:t> </w:t>
      </w:r>
      <w:r>
        <w:rPr>
          <w:sz w:val="24"/>
        </w:rPr>
        <w:t>Keogh</w:t>
      </w:r>
      <w:r>
        <w:rPr>
          <w:spacing w:val="-3"/>
          <w:sz w:val="24"/>
        </w:rPr>
        <w:t> </w:t>
      </w:r>
      <w:r>
        <w:rPr>
          <w:sz w:val="24"/>
        </w:rPr>
        <w:t>J.</w:t>
      </w:r>
      <w:r>
        <w:rPr>
          <w:spacing w:val="-3"/>
          <w:sz w:val="24"/>
        </w:rPr>
        <w:t> </w:t>
      </w:r>
      <w:r>
        <w:rPr>
          <w:sz w:val="24"/>
        </w:rPr>
        <w:t>B.</w:t>
      </w:r>
      <w:r>
        <w:rPr>
          <w:spacing w:val="-3"/>
          <w:sz w:val="24"/>
        </w:rPr>
        <w:t> </w:t>
      </w:r>
      <w:r>
        <w:rPr>
          <w:sz w:val="24"/>
        </w:rPr>
        <w:t>A</w:t>
      </w:r>
      <w:r>
        <w:rPr>
          <w:spacing w:val="-4"/>
          <w:sz w:val="24"/>
        </w:rPr>
        <w:t> </w:t>
      </w:r>
      <w:r>
        <w:rPr>
          <w:sz w:val="24"/>
        </w:rPr>
        <w:t>systematic</w:t>
      </w:r>
      <w:r>
        <w:rPr>
          <w:spacing w:val="-4"/>
          <w:sz w:val="24"/>
        </w:rPr>
        <w:t> </w:t>
      </w:r>
      <w:r>
        <w:rPr>
          <w:sz w:val="24"/>
        </w:rPr>
        <w:t>review</w:t>
      </w:r>
      <w:r>
        <w:rPr>
          <w:spacing w:val="-4"/>
          <w:sz w:val="24"/>
        </w:rPr>
        <w:t> </w:t>
      </w:r>
      <w:r>
        <w:rPr>
          <w:sz w:val="24"/>
        </w:rPr>
        <w:t>of</w:t>
      </w:r>
      <w:r>
        <w:rPr>
          <w:spacing w:val="-2"/>
          <w:sz w:val="24"/>
        </w:rPr>
        <w:t> </w:t>
      </w:r>
      <w:r>
        <w:rPr>
          <w:sz w:val="24"/>
        </w:rPr>
        <w:t>the</w:t>
      </w:r>
      <w:r>
        <w:rPr>
          <w:spacing w:val="-4"/>
          <w:sz w:val="24"/>
        </w:rPr>
        <w:t> </w:t>
      </w:r>
      <w:r>
        <w:rPr>
          <w:sz w:val="24"/>
        </w:rPr>
        <w:t>effect</w:t>
      </w:r>
      <w:r>
        <w:rPr>
          <w:spacing w:val="-3"/>
          <w:sz w:val="24"/>
        </w:rPr>
        <w:t> </w:t>
      </w:r>
      <w:r>
        <w:rPr>
          <w:sz w:val="24"/>
        </w:rPr>
        <w:t>of</w:t>
      </w:r>
      <w:r>
        <w:rPr>
          <w:spacing w:val="-4"/>
          <w:sz w:val="24"/>
        </w:rPr>
        <w:t> </w:t>
      </w:r>
      <w:r>
        <w:rPr>
          <w:sz w:val="24"/>
        </w:rPr>
        <w:t>dietary</w:t>
      </w:r>
      <w:r>
        <w:rPr>
          <w:spacing w:val="-3"/>
          <w:sz w:val="24"/>
        </w:rPr>
        <w:t> </w:t>
      </w:r>
      <w:r>
        <w:rPr>
          <w:sz w:val="24"/>
        </w:rPr>
        <w:t>saturated and polyunsaturated fat on heart disease // Nutrition, Metabolism and Cardiovascular Diseases. 2017. Vol. 27. №. 12. P. 1060–1080.</w:t>
      </w:r>
    </w:p>
    <w:p>
      <w:pPr>
        <w:pStyle w:val="ListParagraph"/>
        <w:numPr>
          <w:ilvl w:val="0"/>
          <w:numId w:val="25"/>
        </w:numPr>
        <w:tabs>
          <w:tab w:pos="2677" w:val="left" w:leader="none"/>
          <w:tab w:pos="2678" w:val="left" w:leader="none"/>
        </w:tabs>
        <w:spacing w:line="360" w:lineRule="auto" w:before="0" w:after="0"/>
        <w:ind w:left="1981" w:right="581" w:hanging="360"/>
        <w:jc w:val="left"/>
        <w:rPr>
          <w:sz w:val="24"/>
        </w:rPr>
      </w:pPr>
      <w:bookmarkStart w:name="_bookmark170" w:id="219"/>
      <w:bookmarkEnd w:id="219"/>
      <w:r>
        <w:rPr>
          <w:sz w:val="24"/>
        </w:rPr>
        <w:t>B</w:t>
      </w:r>
      <w:r>
        <w:rPr>
          <w:sz w:val="24"/>
        </w:rPr>
        <w:t>rown</w:t>
      </w:r>
      <w:r>
        <w:rPr>
          <w:spacing w:val="-3"/>
          <w:sz w:val="24"/>
        </w:rPr>
        <w:t> </w:t>
      </w:r>
      <w:r>
        <w:rPr>
          <w:sz w:val="24"/>
        </w:rPr>
        <w:t>L</w:t>
      </w:r>
      <w:r>
        <w:rPr>
          <w:spacing w:val="-4"/>
          <w:sz w:val="24"/>
        </w:rPr>
        <w:t> </w:t>
      </w:r>
      <w:r>
        <w:rPr>
          <w:sz w:val="24"/>
        </w:rPr>
        <w:t>et</w:t>
      </w:r>
      <w:r>
        <w:rPr>
          <w:spacing w:val="-3"/>
          <w:sz w:val="24"/>
        </w:rPr>
        <w:t> </w:t>
      </w:r>
      <w:r>
        <w:rPr>
          <w:sz w:val="24"/>
        </w:rPr>
        <w:t>al.</w:t>
      </w:r>
      <w:r>
        <w:rPr>
          <w:spacing w:val="-3"/>
          <w:sz w:val="24"/>
        </w:rPr>
        <w:t> </w:t>
      </w:r>
      <w:r>
        <w:rPr>
          <w:sz w:val="24"/>
        </w:rPr>
        <w:t>Cholesterol-lowering</w:t>
      </w:r>
      <w:r>
        <w:rPr>
          <w:spacing w:val="-3"/>
          <w:sz w:val="24"/>
        </w:rPr>
        <w:t> </w:t>
      </w:r>
      <w:r>
        <w:rPr>
          <w:sz w:val="24"/>
        </w:rPr>
        <w:t>effects</w:t>
      </w:r>
      <w:r>
        <w:rPr>
          <w:spacing w:val="-3"/>
          <w:sz w:val="24"/>
        </w:rPr>
        <w:t> </w:t>
      </w:r>
      <w:r>
        <w:rPr>
          <w:sz w:val="24"/>
        </w:rPr>
        <w:t>of</w:t>
      </w:r>
      <w:r>
        <w:rPr>
          <w:spacing w:val="-4"/>
          <w:sz w:val="24"/>
        </w:rPr>
        <w:t> </w:t>
      </w:r>
      <w:r>
        <w:rPr>
          <w:sz w:val="24"/>
        </w:rPr>
        <w:t>dietary</w:t>
      </w:r>
      <w:r>
        <w:rPr>
          <w:spacing w:val="-3"/>
          <w:sz w:val="24"/>
        </w:rPr>
        <w:t> </w:t>
      </w:r>
      <w:r>
        <w:rPr>
          <w:sz w:val="24"/>
        </w:rPr>
        <w:t>fiber:</w:t>
      </w:r>
      <w:r>
        <w:rPr>
          <w:spacing w:val="-3"/>
          <w:sz w:val="24"/>
        </w:rPr>
        <w:t> </w:t>
      </w:r>
      <w:r>
        <w:rPr>
          <w:sz w:val="24"/>
        </w:rPr>
        <w:t>a</w:t>
      </w:r>
      <w:r>
        <w:rPr>
          <w:spacing w:val="-4"/>
          <w:sz w:val="24"/>
        </w:rPr>
        <w:t> </w:t>
      </w:r>
      <w:r>
        <w:rPr>
          <w:sz w:val="24"/>
        </w:rPr>
        <w:t>meta-analysis</w:t>
      </w:r>
      <w:r>
        <w:rPr>
          <w:spacing w:val="-3"/>
          <w:sz w:val="24"/>
        </w:rPr>
        <w:t> </w:t>
      </w:r>
      <w:r>
        <w:rPr>
          <w:sz w:val="24"/>
        </w:rPr>
        <w:t>//</w:t>
      </w:r>
      <w:r>
        <w:rPr>
          <w:spacing w:val="-3"/>
          <w:sz w:val="24"/>
        </w:rPr>
        <w:t> </w:t>
      </w:r>
      <w:r>
        <w:rPr>
          <w:sz w:val="24"/>
        </w:rPr>
        <w:t>The American journal of clinical nutrition. 1999. Vol. 69. №. 1. P. 30–42.</w:t>
      </w:r>
    </w:p>
    <w:p>
      <w:pPr>
        <w:pStyle w:val="ListParagraph"/>
        <w:numPr>
          <w:ilvl w:val="0"/>
          <w:numId w:val="25"/>
        </w:numPr>
        <w:tabs>
          <w:tab w:pos="2677" w:val="left" w:leader="none"/>
          <w:tab w:pos="2678" w:val="left" w:leader="none"/>
        </w:tabs>
        <w:spacing w:line="360" w:lineRule="auto" w:before="0" w:after="0"/>
        <w:ind w:left="1981" w:right="668" w:hanging="360"/>
        <w:jc w:val="left"/>
        <w:rPr>
          <w:sz w:val="24"/>
        </w:rPr>
      </w:pPr>
      <w:bookmarkStart w:name="_bookmark171" w:id="220"/>
      <w:bookmarkEnd w:id="220"/>
      <w:r>
        <w:rPr>
          <w:sz w:val="24"/>
        </w:rPr>
        <w:t>H</w:t>
      </w:r>
      <w:r>
        <w:rPr>
          <w:sz w:val="24"/>
        </w:rPr>
        <w:t>ollænder</w:t>
      </w:r>
      <w:r>
        <w:rPr>
          <w:spacing w:val="-4"/>
          <w:sz w:val="24"/>
        </w:rPr>
        <w:t> </w:t>
      </w:r>
      <w:r>
        <w:rPr>
          <w:sz w:val="24"/>
        </w:rPr>
        <w:t>PLB,</w:t>
      </w:r>
      <w:r>
        <w:rPr>
          <w:spacing w:val="-4"/>
          <w:sz w:val="24"/>
        </w:rPr>
        <w:t> </w:t>
      </w:r>
      <w:r>
        <w:rPr>
          <w:sz w:val="24"/>
        </w:rPr>
        <w:t>Ross</w:t>
      </w:r>
      <w:r>
        <w:rPr>
          <w:spacing w:val="-4"/>
          <w:sz w:val="24"/>
        </w:rPr>
        <w:t> </w:t>
      </w:r>
      <w:r>
        <w:rPr>
          <w:sz w:val="24"/>
        </w:rPr>
        <w:t>AB,</w:t>
      </w:r>
      <w:r>
        <w:rPr>
          <w:spacing w:val="-4"/>
          <w:sz w:val="24"/>
        </w:rPr>
        <w:t> </w:t>
      </w:r>
      <w:r>
        <w:rPr>
          <w:sz w:val="24"/>
        </w:rPr>
        <w:t>Kristensen</w:t>
      </w:r>
      <w:r>
        <w:rPr>
          <w:spacing w:val="-4"/>
          <w:sz w:val="24"/>
        </w:rPr>
        <w:t> </w:t>
      </w:r>
      <w:r>
        <w:rPr>
          <w:sz w:val="24"/>
        </w:rPr>
        <w:t>M.</w:t>
      </w:r>
      <w:r>
        <w:rPr>
          <w:spacing w:val="-4"/>
          <w:sz w:val="24"/>
        </w:rPr>
        <w:t> </w:t>
      </w:r>
      <w:r>
        <w:rPr>
          <w:sz w:val="24"/>
        </w:rPr>
        <w:t>Whole-grain</w:t>
      </w:r>
      <w:r>
        <w:rPr>
          <w:spacing w:val="-4"/>
          <w:sz w:val="24"/>
        </w:rPr>
        <w:t> </w:t>
      </w:r>
      <w:r>
        <w:rPr>
          <w:sz w:val="24"/>
        </w:rPr>
        <w:t>and</w:t>
      </w:r>
      <w:r>
        <w:rPr>
          <w:spacing w:val="-4"/>
          <w:sz w:val="24"/>
        </w:rPr>
        <w:t> </w:t>
      </w:r>
      <w:r>
        <w:rPr>
          <w:sz w:val="24"/>
        </w:rPr>
        <w:t>blood</w:t>
      </w:r>
      <w:r>
        <w:rPr>
          <w:spacing w:val="-4"/>
          <w:sz w:val="24"/>
        </w:rPr>
        <w:t> </w:t>
      </w:r>
      <w:r>
        <w:rPr>
          <w:sz w:val="24"/>
        </w:rPr>
        <w:t>lipid</w:t>
      </w:r>
      <w:r>
        <w:rPr>
          <w:spacing w:val="-4"/>
          <w:sz w:val="24"/>
        </w:rPr>
        <w:t> </w:t>
      </w:r>
      <w:r>
        <w:rPr>
          <w:sz w:val="24"/>
        </w:rPr>
        <w:t>changes</w:t>
      </w:r>
      <w:r>
        <w:rPr>
          <w:spacing w:val="-4"/>
          <w:sz w:val="24"/>
        </w:rPr>
        <w:t> </w:t>
      </w:r>
      <w:r>
        <w:rPr>
          <w:sz w:val="24"/>
        </w:rPr>
        <w:t>in apparently healthy adults: a systematic review and meta-analysis of randomized controlled studies // The American journal of clinical nutrition. 2015. Vol. 102. №. 3. P. </w:t>
      </w:r>
      <w:r>
        <w:rPr>
          <w:spacing w:val="-2"/>
          <w:sz w:val="24"/>
        </w:rPr>
        <w:t>556–572.</w:t>
      </w:r>
    </w:p>
    <w:p>
      <w:pPr>
        <w:pStyle w:val="ListParagraph"/>
        <w:numPr>
          <w:ilvl w:val="0"/>
          <w:numId w:val="25"/>
        </w:numPr>
        <w:tabs>
          <w:tab w:pos="2677" w:val="left" w:leader="none"/>
          <w:tab w:pos="2678" w:val="left" w:leader="none"/>
        </w:tabs>
        <w:spacing w:line="360" w:lineRule="auto" w:before="1" w:after="0"/>
        <w:ind w:left="1981" w:right="1004" w:hanging="360"/>
        <w:jc w:val="left"/>
        <w:rPr>
          <w:sz w:val="24"/>
        </w:rPr>
      </w:pPr>
      <w:bookmarkStart w:name="_bookmark172" w:id="221"/>
      <w:bookmarkEnd w:id="221"/>
      <w:r>
        <w:rPr>
          <w:sz w:val="24"/>
        </w:rPr>
        <w:t>G</w:t>
      </w:r>
      <w:r>
        <w:rPr>
          <w:sz w:val="24"/>
        </w:rPr>
        <w:t>ylling H et al. Plant sterols and plant stanols in the management of dyslipidaemia</w:t>
      </w:r>
      <w:r>
        <w:rPr>
          <w:spacing w:val="-5"/>
          <w:sz w:val="24"/>
        </w:rPr>
        <w:t> </w:t>
      </w:r>
      <w:r>
        <w:rPr>
          <w:sz w:val="24"/>
        </w:rPr>
        <w:t>and</w:t>
      </w:r>
      <w:r>
        <w:rPr>
          <w:spacing w:val="-4"/>
          <w:sz w:val="24"/>
        </w:rPr>
        <w:t> </w:t>
      </w:r>
      <w:r>
        <w:rPr>
          <w:sz w:val="24"/>
        </w:rPr>
        <w:t>prevention</w:t>
      </w:r>
      <w:r>
        <w:rPr>
          <w:spacing w:val="-4"/>
          <w:sz w:val="24"/>
        </w:rPr>
        <w:t> </w:t>
      </w:r>
      <w:r>
        <w:rPr>
          <w:sz w:val="24"/>
        </w:rPr>
        <w:t>of</w:t>
      </w:r>
      <w:r>
        <w:rPr>
          <w:spacing w:val="-5"/>
          <w:sz w:val="24"/>
        </w:rPr>
        <w:t> </w:t>
      </w:r>
      <w:r>
        <w:rPr>
          <w:sz w:val="24"/>
        </w:rPr>
        <w:t>cardiovascular</w:t>
      </w:r>
      <w:r>
        <w:rPr>
          <w:spacing w:val="-5"/>
          <w:sz w:val="24"/>
        </w:rPr>
        <w:t> </w:t>
      </w:r>
      <w:r>
        <w:rPr>
          <w:sz w:val="24"/>
        </w:rPr>
        <w:t>disease</w:t>
      </w:r>
      <w:r>
        <w:rPr>
          <w:spacing w:val="-5"/>
          <w:sz w:val="24"/>
        </w:rPr>
        <w:t> </w:t>
      </w:r>
      <w:r>
        <w:rPr>
          <w:sz w:val="24"/>
        </w:rPr>
        <w:t>//</w:t>
      </w:r>
      <w:r>
        <w:rPr>
          <w:spacing w:val="-4"/>
          <w:sz w:val="24"/>
        </w:rPr>
        <w:t> </w:t>
      </w:r>
      <w:r>
        <w:rPr>
          <w:sz w:val="24"/>
        </w:rPr>
        <w:t>Atherosclerosis.</w:t>
      </w:r>
      <w:r>
        <w:rPr>
          <w:spacing w:val="-4"/>
          <w:sz w:val="24"/>
        </w:rPr>
        <w:t> </w:t>
      </w:r>
      <w:r>
        <w:rPr>
          <w:sz w:val="24"/>
        </w:rPr>
        <w:t>2014.</w:t>
      </w:r>
      <w:r>
        <w:rPr>
          <w:spacing w:val="-4"/>
          <w:sz w:val="24"/>
        </w:rPr>
        <w:t> </w:t>
      </w:r>
      <w:r>
        <w:rPr>
          <w:sz w:val="24"/>
        </w:rPr>
        <w:t>Vol.</w:t>
      </w:r>
    </w:p>
    <w:p>
      <w:pPr>
        <w:pStyle w:val="BodyText"/>
      </w:pPr>
      <w:r>
        <w:rPr/>
        <w:t>232.</w:t>
      </w:r>
      <w:r>
        <w:rPr>
          <w:spacing w:val="-3"/>
        </w:rPr>
        <w:t> </w:t>
      </w:r>
      <w:r>
        <w:rPr/>
        <w:t>№. 2. P. </w:t>
      </w:r>
      <w:r>
        <w:rPr>
          <w:spacing w:val="-2"/>
        </w:rPr>
        <w:t>346–360.</w:t>
      </w:r>
    </w:p>
    <w:p>
      <w:pPr>
        <w:pStyle w:val="ListParagraph"/>
        <w:numPr>
          <w:ilvl w:val="0"/>
          <w:numId w:val="25"/>
        </w:numPr>
        <w:tabs>
          <w:tab w:pos="2677" w:val="left" w:leader="none"/>
          <w:tab w:pos="2678" w:val="left" w:leader="none"/>
        </w:tabs>
        <w:spacing w:line="240" w:lineRule="auto" w:before="136" w:after="0"/>
        <w:ind w:left="2677" w:right="0" w:hanging="1057"/>
        <w:jc w:val="left"/>
        <w:rPr>
          <w:sz w:val="24"/>
        </w:rPr>
      </w:pPr>
      <w:bookmarkStart w:name="_bookmark173" w:id="222"/>
      <w:bookmarkEnd w:id="222"/>
      <w:r>
        <w:rPr>
          <w:sz w:val="24"/>
        </w:rPr>
        <w:t>M</w:t>
      </w:r>
      <w:r>
        <w:rPr>
          <w:sz w:val="24"/>
        </w:rPr>
        <w:t>usa-Veloso</w:t>
      </w:r>
      <w:r>
        <w:rPr>
          <w:spacing w:val="-4"/>
          <w:sz w:val="24"/>
        </w:rPr>
        <w:t> </w:t>
      </w:r>
      <w:r>
        <w:rPr>
          <w:sz w:val="24"/>
        </w:rPr>
        <w:t>K</w:t>
      </w:r>
      <w:r>
        <w:rPr>
          <w:spacing w:val="-3"/>
          <w:sz w:val="24"/>
        </w:rPr>
        <w:t> </w:t>
      </w:r>
      <w:r>
        <w:rPr>
          <w:sz w:val="24"/>
        </w:rPr>
        <w:t>et</w:t>
      </w:r>
      <w:r>
        <w:rPr>
          <w:spacing w:val="1"/>
          <w:sz w:val="24"/>
        </w:rPr>
        <w:t> </w:t>
      </w:r>
      <w:r>
        <w:rPr>
          <w:sz w:val="24"/>
        </w:rPr>
        <w:t>al.</w:t>
      </w:r>
      <w:r>
        <w:rPr>
          <w:spacing w:val="-2"/>
          <w:sz w:val="24"/>
        </w:rPr>
        <w:t> </w:t>
      </w:r>
      <w:r>
        <w:rPr>
          <w:sz w:val="24"/>
        </w:rPr>
        <w:t>A</w:t>
      </w:r>
      <w:r>
        <w:rPr>
          <w:spacing w:val="-2"/>
          <w:sz w:val="24"/>
        </w:rPr>
        <w:t> </w:t>
      </w:r>
      <w:r>
        <w:rPr>
          <w:sz w:val="24"/>
        </w:rPr>
        <w:t>comparison</w:t>
      </w:r>
      <w:r>
        <w:rPr>
          <w:spacing w:val="-2"/>
          <w:sz w:val="24"/>
        </w:rPr>
        <w:t> </w:t>
      </w:r>
      <w:r>
        <w:rPr>
          <w:sz w:val="24"/>
        </w:rPr>
        <w:t>of</w:t>
      </w:r>
      <w:r>
        <w:rPr>
          <w:spacing w:val="-2"/>
          <w:sz w:val="24"/>
        </w:rPr>
        <w:t> </w:t>
      </w:r>
      <w:r>
        <w:rPr>
          <w:sz w:val="24"/>
        </w:rPr>
        <w:t>the</w:t>
      </w:r>
      <w:r>
        <w:rPr>
          <w:spacing w:val="-3"/>
          <w:sz w:val="24"/>
        </w:rPr>
        <w:t> </w:t>
      </w:r>
      <w:r>
        <w:rPr>
          <w:sz w:val="24"/>
        </w:rPr>
        <w:t>LDL-cholesterol</w:t>
      </w:r>
      <w:r>
        <w:rPr>
          <w:spacing w:val="-1"/>
          <w:sz w:val="24"/>
        </w:rPr>
        <w:t> </w:t>
      </w:r>
      <w:r>
        <w:rPr>
          <w:sz w:val="24"/>
        </w:rPr>
        <w:t>lowering</w:t>
      </w:r>
      <w:r>
        <w:rPr>
          <w:spacing w:val="-2"/>
          <w:sz w:val="24"/>
        </w:rPr>
        <w:t> </w:t>
      </w:r>
      <w:r>
        <w:rPr>
          <w:sz w:val="24"/>
        </w:rPr>
        <w:t>efficacy</w:t>
      </w:r>
      <w:r>
        <w:rPr>
          <w:spacing w:val="-1"/>
          <w:sz w:val="24"/>
        </w:rPr>
        <w:t> </w:t>
      </w:r>
      <w:r>
        <w:rPr>
          <w:spacing w:val="-5"/>
          <w:sz w:val="24"/>
        </w:rPr>
        <w:t>of</w:t>
      </w:r>
    </w:p>
    <w:p>
      <w:pPr>
        <w:spacing w:after="0" w:line="240" w:lineRule="auto"/>
        <w:jc w:val="left"/>
        <w:rPr>
          <w:sz w:val="24"/>
        </w:rPr>
        <w:sectPr>
          <w:pgSz w:w="11910" w:h="16840"/>
          <w:pgMar w:header="0" w:footer="710" w:top="1040" w:bottom="900" w:left="440" w:right="280"/>
        </w:sectPr>
      </w:pPr>
    </w:p>
    <w:p>
      <w:pPr>
        <w:pStyle w:val="BodyText"/>
        <w:spacing w:line="360" w:lineRule="auto" w:before="73"/>
        <w:ind w:right="685"/>
        <w:jc w:val="both"/>
      </w:pPr>
      <w:r>
        <w:rPr/>
        <w:t>plant</w:t>
      </w:r>
      <w:r>
        <w:rPr>
          <w:spacing w:val="-3"/>
        </w:rPr>
        <w:t> </w:t>
      </w:r>
      <w:r>
        <w:rPr/>
        <w:t>stanols</w:t>
      </w:r>
      <w:r>
        <w:rPr>
          <w:spacing w:val="-3"/>
        </w:rPr>
        <w:t> </w:t>
      </w:r>
      <w:r>
        <w:rPr/>
        <w:t>and</w:t>
      </w:r>
      <w:r>
        <w:rPr>
          <w:spacing w:val="-3"/>
        </w:rPr>
        <w:t> </w:t>
      </w:r>
      <w:r>
        <w:rPr/>
        <w:t>plant</w:t>
      </w:r>
      <w:r>
        <w:rPr>
          <w:spacing w:val="-3"/>
        </w:rPr>
        <w:t> </w:t>
      </w:r>
      <w:r>
        <w:rPr/>
        <w:t>sterols</w:t>
      </w:r>
      <w:r>
        <w:rPr>
          <w:spacing w:val="-3"/>
        </w:rPr>
        <w:t> </w:t>
      </w:r>
      <w:r>
        <w:rPr/>
        <w:t>over</w:t>
      </w:r>
      <w:r>
        <w:rPr>
          <w:spacing w:val="-4"/>
        </w:rPr>
        <w:t> </w:t>
      </w:r>
      <w:r>
        <w:rPr/>
        <w:t>a</w:t>
      </w:r>
      <w:r>
        <w:rPr>
          <w:spacing w:val="-2"/>
        </w:rPr>
        <w:t> </w:t>
      </w:r>
      <w:r>
        <w:rPr/>
        <w:t>continuous</w:t>
      </w:r>
      <w:r>
        <w:rPr>
          <w:spacing w:val="-3"/>
        </w:rPr>
        <w:t> </w:t>
      </w:r>
      <w:r>
        <w:rPr/>
        <w:t>dose</w:t>
      </w:r>
      <w:r>
        <w:rPr>
          <w:spacing w:val="-4"/>
        </w:rPr>
        <w:t> </w:t>
      </w:r>
      <w:r>
        <w:rPr/>
        <w:t>range:</w:t>
      </w:r>
      <w:r>
        <w:rPr>
          <w:spacing w:val="-3"/>
        </w:rPr>
        <w:t> </w:t>
      </w:r>
      <w:r>
        <w:rPr/>
        <w:t>results</w:t>
      </w:r>
      <w:r>
        <w:rPr>
          <w:spacing w:val="-3"/>
        </w:rPr>
        <w:t> </w:t>
      </w:r>
      <w:r>
        <w:rPr/>
        <w:t>of</w:t>
      </w:r>
      <w:r>
        <w:rPr>
          <w:spacing w:val="-4"/>
        </w:rPr>
        <w:t> </w:t>
      </w:r>
      <w:r>
        <w:rPr/>
        <w:t>a</w:t>
      </w:r>
      <w:r>
        <w:rPr>
          <w:spacing w:val="-4"/>
        </w:rPr>
        <w:t> </w:t>
      </w:r>
      <w:r>
        <w:rPr/>
        <w:t>meta-analysis</w:t>
      </w:r>
      <w:r>
        <w:rPr>
          <w:spacing w:val="-3"/>
        </w:rPr>
        <w:t> </w:t>
      </w:r>
      <w:r>
        <w:rPr/>
        <w:t>of randomized,</w:t>
      </w:r>
      <w:r>
        <w:rPr>
          <w:spacing w:val="-5"/>
        </w:rPr>
        <w:t> </w:t>
      </w:r>
      <w:r>
        <w:rPr/>
        <w:t>placebo-controlled</w:t>
      </w:r>
      <w:r>
        <w:rPr>
          <w:spacing w:val="-5"/>
        </w:rPr>
        <w:t> </w:t>
      </w:r>
      <w:r>
        <w:rPr/>
        <w:t>trials</w:t>
      </w:r>
      <w:r>
        <w:rPr>
          <w:spacing w:val="-5"/>
        </w:rPr>
        <w:t> </w:t>
      </w:r>
      <w:r>
        <w:rPr/>
        <w:t>//</w:t>
      </w:r>
      <w:r>
        <w:rPr>
          <w:spacing w:val="-5"/>
        </w:rPr>
        <w:t> </w:t>
      </w:r>
      <w:r>
        <w:rPr/>
        <w:t>Prostaglandins,</w:t>
      </w:r>
      <w:r>
        <w:rPr>
          <w:spacing w:val="-5"/>
        </w:rPr>
        <w:t> </w:t>
      </w:r>
      <w:r>
        <w:rPr/>
        <w:t>Leukotrienes</w:t>
      </w:r>
      <w:r>
        <w:rPr>
          <w:spacing w:val="-5"/>
        </w:rPr>
        <w:t> </w:t>
      </w:r>
      <w:r>
        <w:rPr/>
        <w:t>and</w:t>
      </w:r>
      <w:r>
        <w:rPr>
          <w:spacing w:val="-5"/>
        </w:rPr>
        <w:t> </w:t>
      </w:r>
      <w:r>
        <w:rPr/>
        <w:t>Essential</w:t>
      </w:r>
      <w:r>
        <w:rPr>
          <w:spacing w:val="-5"/>
        </w:rPr>
        <w:t> </w:t>
      </w:r>
      <w:r>
        <w:rPr/>
        <w:t>Fatty Acids. 2011. Vol. 85. №. 1. P. 9–28.</w:t>
      </w:r>
    </w:p>
    <w:p>
      <w:pPr>
        <w:pStyle w:val="ListParagraph"/>
        <w:numPr>
          <w:ilvl w:val="0"/>
          <w:numId w:val="25"/>
        </w:numPr>
        <w:tabs>
          <w:tab w:pos="2677" w:val="left" w:leader="none"/>
          <w:tab w:pos="2678" w:val="left" w:leader="none"/>
        </w:tabs>
        <w:spacing w:line="360" w:lineRule="auto" w:before="2" w:after="0"/>
        <w:ind w:left="1981" w:right="644" w:hanging="360"/>
        <w:jc w:val="left"/>
        <w:rPr>
          <w:sz w:val="24"/>
        </w:rPr>
      </w:pPr>
      <w:bookmarkStart w:name="_bookmark174" w:id="223"/>
      <w:bookmarkEnd w:id="223"/>
      <w:r>
        <w:rPr>
          <w:sz w:val="24"/>
        </w:rPr>
        <w:t>Poli</w:t>
      </w:r>
      <w:r>
        <w:rPr>
          <w:sz w:val="24"/>
        </w:rPr>
        <w:t> A et al. Nutraceuticals and functional foods for the control of plasma cholesterol</w:t>
      </w:r>
      <w:r>
        <w:rPr>
          <w:spacing w:val="-4"/>
          <w:sz w:val="24"/>
        </w:rPr>
        <w:t> </w:t>
      </w:r>
      <w:r>
        <w:rPr>
          <w:sz w:val="24"/>
        </w:rPr>
        <w:t>levels.</w:t>
      </w:r>
      <w:r>
        <w:rPr>
          <w:spacing w:val="-4"/>
          <w:sz w:val="24"/>
        </w:rPr>
        <w:t> </w:t>
      </w:r>
      <w:r>
        <w:rPr>
          <w:sz w:val="24"/>
        </w:rPr>
        <w:t>An</w:t>
      </w:r>
      <w:r>
        <w:rPr>
          <w:spacing w:val="-4"/>
          <w:sz w:val="24"/>
        </w:rPr>
        <w:t> </w:t>
      </w:r>
      <w:r>
        <w:rPr>
          <w:sz w:val="24"/>
        </w:rPr>
        <w:t>intersociety</w:t>
      </w:r>
      <w:r>
        <w:rPr>
          <w:spacing w:val="-4"/>
          <w:sz w:val="24"/>
        </w:rPr>
        <w:t> </w:t>
      </w:r>
      <w:r>
        <w:rPr>
          <w:sz w:val="24"/>
        </w:rPr>
        <w:t>position</w:t>
      </w:r>
      <w:r>
        <w:rPr>
          <w:spacing w:val="-4"/>
          <w:sz w:val="24"/>
        </w:rPr>
        <w:t> </w:t>
      </w:r>
      <w:r>
        <w:rPr>
          <w:sz w:val="24"/>
        </w:rPr>
        <w:t>paper</w:t>
      </w:r>
      <w:r>
        <w:rPr>
          <w:spacing w:val="-5"/>
          <w:sz w:val="24"/>
        </w:rPr>
        <w:t> </w:t>
      </w:r>
      <w:r>
        <w:rPr>
          <w:sz w:val="24"/>
        </w:rPr>
        <w:t>//</w:t>
      </w:r>
      <w:r>
        <w:rPr>
          <w:spacing w:val="-4"/>
          <w:sz w:val="24"/>
        </w:rPr>
        <w:t> </w:t>
      </w:r>
      <w:r>
        <w:rPr>
          <w:sz w:val="24"/>
        </w:rPr>
        <w:t>Pharmacological</w:t>
      </w:r>
      <w:r>
        <w:rPr>
          <w:spacing w:val="-4"/>
          <w:sz w:val="24"/>
        </w:rPr>
        <w:t> </w:t>
      </w:r>
      <w:r>
        <w:rPr>
          <w:sz w:val="24"/>
        </w:rPr>
        <w:t>research.</w:t>
      </w:r>
      <w:r>
        <w:rPr>
          <w:spacing w:val="-4"/>
          <w:sz w:val="24"/>
        </w:rPr>
        <w:t> </w:t>
      </w:r>
      <w:r>
        <w:rPr>
          <w:sz w:val="24"/>
        </w:rPr>
        <w:t>2018.</w:t>
      </w:r>
      <w:r>
        <w:rPr>
          <w:spacing w:val="-4"/>
          <w:sz w:val="24"/>
        </w:rPr>
        <w:t> </w:t>
      </w:r>
      <w:r>
        <w:rPr>
          <w:sz w:val="24"/>
        </w:rPr>
        <w:t>Vol.</w:t>
      </w:r>
    </w:p>
    <w:p>
      <w:pPr>
        <w:pStyle w:val="BodyText"/>
      </w:pPr>
      <w:r>
        <w:rPr/>
        <w:t>134. P. </w:t>
      </w:r>
      <w:r>
        <w:rPr>
          <w:spacing w:val="-2"/>
        </w:rPr>
        <w:t>51–60.</w:t>
      </w:r>
    </w:p>
    <w:p>
      <w:pPr>
        <w:pStyle w:val="ListParagraph"/>
        <w:numPr>
          <w:ilvl w:val="0"/>
          <w:numId w:val="25"/>
        </w:numPr>
        <w:tabs>
          <w:tab w:pos="2677" w:val="left" w:leader="none"/>
          <w:tab w:pos="2678" w:val="left" w:leader="none"/>
        </w:tabs>
        <w:spacing w:line="360" w:lineRule="auto" w:before="136" w:after="0"/>
        <w:ind w:left="1981" w:right="1250" w:hanging="360"/>
        <w:jc w:val="left"/>
        <w:rPr>
          <w:sz w:val="24"/>
        </w:rPr>
      </w:pPr>
      <w:bookmarkStart w:name="_bookmark175" w:id="224"/>
      <w:bookmarkEnd w:id="224"/>
      <w:r>
        <w:rPr>
          <w:sz w:val="24"/>
        </w:rPr>
        <w:t>L</w:t>
      </w:r>
      <w:r>
        <w:rPr>
          <w:sz w:val="24"/>
        </w:rPr>
        <w:t>i</w:t>
      </w:r>
      <w:r>
        <w:rPr>
          <w:spacing w:val="-3"/>
          <w:sz w:val="24"/>
        </w:rPr>
        <w:t> </w:t>
      </w:r>
      <w:r>
        <w:rPr>
          <w:sz w:val="24"/>
        </w:rPr>
        <w:t>Y</w:t>
      </w:r>
      <w:r>
        <w:rPr>
          <w:spacing w:val="-4"/>
          <w:sz w:val="24"/>
        </w:rPr>
        <w:t> </w:t>
      </w:r>
      <w:r>
        <w:rPr>
          <w:sz w:val="24"/>
        </w:rPr>
        <w:t>et</w:t>
      </w:r>
      <w:r>
        <w:rPr>
          <w:spacing w:val="-3"/>
          <w:sz w:val="24"/>
        </w:rPr>
        <w:t> </w:t>
      </w:r>
      <w:r>
        <w:rPr>
          <w:sz w:val="24"/>
        </w:rPr>
        <w:t>al.</w:t>
      </w:r>
      <w:r>
        <w:rPr>
          <w:spacing w:val="-3"/>
          <w:sz w:val="24"/>
        </w:rPr>
        <w:t> </w:t>
      </w:r>
      <w:r>
        <w:rPr>
          <w:sz w:val="24"/>
        </w:rPr>
        <w:t>A</w:t>
      </w:r>
      <w:r>
        <w:rPr>
          <w:spacing w:val="-4"/>
          <w:sz w:val="24"/>
        </w:rPr>
        <w:t> </w:t>
      </w:r>
      <w:r>
        <w:rPr>
          <w:sz w:val="24"/>
        </w:rPr>
        <w:t>meta-analysis</w:t>
      </w:r>
      <w:r>
        <w:rPr>
          <w:spacing w:val="-3"/>
          <w:sz w:val="24"/>
        </w:rPr>
        <w:t> </w:t>
      </w:r>
      <w:r>
        <w:rPr>
          <w:sz w:val="24"/>
        </w:rPr>
        <w:t>of</w:t>
      </w:r>
      <w:r>
        <w:rPr>
          <w:spacing w:val="-4"/>
          <w:sz w:val="24"/>
        </w:rPr>
        <w:t> </w:t>
      </w:r>
      <w:r>
        <w:rPr>
          <w:sz w:val="24"/>
        </w:rPr>
        <w:t>red</w:t>
      </w:r>
      <w:r>
        <w:rPr>
          <w:spacing w:val="-3"/>
          <w:sz w:val="24"/>
        </w:rPr>
        <w:t> </w:t>
      </w:r>
      <w:r>
        <w:rPr>
          <w:sz w:val="24"/>
        </w:rPr>
        <w:t>yeast</w:t>
      </w:r>
      <w:r>
        <w:rPr>
          <w:spacing w:val="-1"/>
          <w:sz w:val="24"/>
        </w:rPr>
        <w:t> </w:t>
      </w:r>
      <w:r>
        <w:rPr>
          <w:sz w:val="24"/>
        </w:rPr>
        <w:t>rice:</w:t>
      </w:r>
      <w:r>
        <w:rPr>
          <w:spacing w:val="-3"/>
          <w:sz w:val="24"/>
        </w:rPr>
        <w:t> </w:t>
      </w:r>
      <w:r>
        <w:rPr>
          <w:sz w:val="24"/>
        </w:rPr>
        <w:t>an</w:t>
      </w:r>
      <w:r>
        <w:rPr>
          <w:spacing w:val="-1"/>
          <w:sz w:val="24"/>
        </w:rPr>
        <w:t> </w:t>
      </w:r>
      <w:r>
        <w:rPr>
          <w:sz w:val="24"/>
        </w:rPr>
        <w:t>effective</w:t>
      </w:r>
      <w:r>
        <w:rPr>
          <w:spacing w:val="-4"/>
          <w:sz w:val="24"/>
        </w:rPr>
        <w:t> </w:t>
      </w:r>
      <w:r>
        <w:rPr>
          <w:sz w:val="24"/>
        </w:rPr>
        <w:t>and</w:t>
      </w:r>
      <w:r>
        <w:rPr>
          <w:spacing w:val="-3"/>
          <w:sz w:val="24"/>
        </w:rPr>
        <w:t> </w:t>
      </w:r>
      <w:r>
        <w:rPr>
          <w:sz w:val="24"/>
        </w:rPr>
        <w:t>relatively</w:t>
      </w:r>
      <w:r>
        <w:rPr>
          <w:spacing w:val="-3"/>
          <w:sz w:val="24"/>
        </w:rPr>
        <w:t> </w:t>
      </w:r>
      <w:r>
        <w:rPr>
          <w:sz w:val="24"/>
        </w:rPr>
        <w:t>safe alternative approach for dyslipidemia // PloS one. 2014. Vol. 9. №. 6. P. e98611.</w:t>
      </w:r>
    </w:p>
    <w:p>
      <w:pPr>
        <w:pStyle w:val="ListParagraph"/>
        <w:numPr>
          <w:ilvl w:val="0"/>
          <w:numId w:val="25"/>
        </w:numPr>
        <w:tabs>
          <w:tab w:pos="2677" w:val="left" w:leader="none"/>
          <w:tab w:pos="2678" w:val="left" w:leader="none"/>
        </w:tabs>
        <w:spacing w:line="360" w:lineRule="auto" w:before="1" w:after="0"/>
        <w:ind w:left="1981" w:right="887" w:hanging="360"/>
        <w:jc w:val="left"/>
        <w:rPr>
          <w:sz w:val="24"/>
        </w:rPr>
      </w:pPr>
      <w:bookmarkStart w:name="_bookmark176" w:id="225"/>
      <w:bookmarkEnd w:id="225"/>
      <w:r>
        <w:rPr>
          <w:sz w:val="24"/>
        </w:rPr>
        <w:t>N</w:t>
      </w:r>
      <w:r>
        <w:rPr>
          <w:sz w:val="24"/>
        </w:rPr>
        <w:t>ordmann</w:t>
      </w:r>
      <w:r>
        <w:rPr>
          <w:spacing w:val="-3"/>
          <w:sz w:val="24"/>
        </w:rPr>
        <w:t> </w:t>
      </w:r>
      <w:r>
        <w:rPr>
          <w:sz w:val="24"/>
        </w:rPr>
        <w:t>AJ</w:t>
      </w:r>
      <w:r>
        <w:rPr>
          <w:spacing w:val="-3"/>
          <w:sz w:val="24"/>
        </w:rPr>
        <w:t> </w:t>
      </w:r>
      <w:r>
        <w:rPr>
          <w:sz w:val="24"/>
        </w:rPr>
        <w:t>et</w:t>
      </w:r>
      <w:r>
        <w:rPr>
          <w:spacing w:val="-3"/>
          <w:sz w:val="24"/>
        </w:rPr>
        <w:t> </w:t>
      </w:r>
      <w:r>
        <w:rPr>
          <w:sz w:val="24"/>
        </w:rPr>
        <w:t>al.</w:t>
      </w:r>
      <w:r>
        <w:rPr>
          <w:spacing w:val="-3"/>
          <w:sz w:val="24"/>
        </w:rPr>
        <w:t> </w:t>
      </w:r>
      <w:r>
        <w:rPr>
          <w:sz w:val="24"/>
        </w:rPr>
        <w:t>Effects</w:t>
      </w:r>
      <w:r>
        <w:rPr>
          <w:spacing w:val="-3"/>
          <w:sz w:val="24"/>
        </w:rPr>
        <w:t> </w:t>
      </w:r>
      <w:r>
        <w:rPr>
          <w:sz w:val="24"/>
        </w:rPr>
        <w:t>of</w:t>
      </w:r>
      <w:r>
        <w:rPr>
          <w:spacing w:val="-4"/>
          <w:sz w:val="24"/>
        </w:rPr>
        <w:t> </w:t>
      </w:r>
      <w:r>
        <w:rPr>
          <w:sz w:val="24"/>
        </w:rPr>
        <w:t>low-carbohydrate</w:t>
      </w:r>
      <w:r>
        <w:rPr>
          <w:spacing w:val="-2"/>
          <w:sz w:val="24"/>
        </w:rPr>
        <w:t> </w:t>
      </w:r>
      <w:r>
        <w:rPr>
          <w:sz w:val="24"/>
        </w:rPr>
        <w:t>vs</w:t>
      </w:r>
      <w:r>
        <w:rPr>
          <w:spacing w:val="-3"/>
          <w:sz w:val="24"/>
        </w:rPr>
        <w:t> </w:t>
      </w:r>
      <w:r>
        <w:rPr>
          <w:sz w:val="24"/>
        </w:rPr>
        <w:t>low-fat</w:t>
      </w:r>
      <w:r>
        <w:rPr>
          <w:spacing w:val="-3"/>
          <w:sz w:val="24"/>
        </w:rPr>
        <w:t> </w:t>
      </w:r>
      <w:r>
        <w:rPr>
          <w:sz w:val="24"/>
        </w:rPr>
        <w:t>diets</w:t>
      </w:r>
      <w:r>
        <w:rPr>
          <w:spacing w:val="-3"/>
          <w:sz w:val="24"/>
        </w:rPr>
        <w:t> </w:t>
      </w:r>
      <w:r>
        <w:rPr>
          <w:sz w:val="24"/>
        </w:rPr>
        <w:t>on</w:t>
      </w:r>
      <w:r>
        <w:rPr>
          <w:spacing w:val="-3"/>
          <w:sz w:val="24"/>
        </w:rPr>
        <w:t> </w:t>
      </w:r>
      <w:r>
        <w:rPr>
          <w:sz w:val="24"/>
        </w:rPr>
        <w:t>weight</w:t>
      </w:r>
      <w:r>
        <w:rPr>
          <w:spacing w:val="-3"/>
          <w:sz w:val="24"/>
        </w:rPr>
        <w:t> </w:t>
      </w:r>
      <w:r>
        <w:rPr>
          <w:sz w:val="24"/>
        </w:rPr>
        <w:t>loss and cardiovascular risk factors: a meta-analysis of randomized controlled trials // Archives of internal medicine. 2006. Vol. 166. №. 3. P. 285–293.</w:t>
      </w:r>
    </w:p>
    <w:p>
      <w:pPr>
        <w:pStyle w:val="ListParagraph"/>
        <w:numPr>
          <w:ilvl w:val="0"/>
          <w:numId w:val="25"/>
        </w:numPr>
        <w:tabs>
          <w:tab w:pos="2677" w:val="left" w:leader="none"/>
          <w:tab w:pos="2678" w:val="left" w:leader="none"/>
        </w:tabs>
        <w:spacing w:line="360" w:lineRule="auto" w:before="1" w:after="0"/>
        <w:ind w:left="1981" w:right="999" w:hanging="360"/>
        <w:jc w:val="left"/>
        <w:rPr>
          <w:sz w:val="24"/>
        </w:rPr>
      </w:pPr>
      <w:bookmarkStart w:name="_bookmark177" w:id="226"/>
      <w:bookmarkEnd w:id="226"/>
      <w:r>
        <w:rPr>
          <w:sz w:val="24"/>
        </w:rPr>
        <w:t>Z</w:t>
      </w:r>
      <w:r>
        <w:rPr>
          <w:sz w:val="24"/>
        </w:rPr>
        <w:t>omer E et al. Interventions that cause weight loss and the impact on cardiovascular</w:t>
      </w:r>
      <w:r>
        <w:rPr>
          <w:spacing w:val="-5"/>
          <w:sz w:val="24"/>
        </w:rPr>
        <w:t> </w:t>
      </w:r>
      <w:r>
        <w:rPr>
          <w:sz w:val="24"/>
        </w:rPr>
        <w:t>risk</w:t>
      </w:r>
      <w:r>
        <w:rPr>
          <w:spacing w:val="-4"/>
          <w:sz w:val="24"/>
        </w:rPr>
        <w:t> </w:t>
      </w:r>
      <w:r>
        <w:rPr>
          <w:sz w:val="24"/>
        </w:rPr>
        <w:t>factors:</w:t>
      </w:r>
      <w:r>
        <w:rPr>
          <w:spacing w:val="-4"/>
          <w:sz w:val="24"/>
        </w:rPr>
        <w:t> </w:t>
      </w:r>
      <w:r>
        <w:rPr>
          <w:sz w:val="24"/>
        </w:rPr>
        <w:t>a</w:t>
      </w:r>
      <w:r>
        <w:rPr>
          <w:spacing w:val="-5"/>
          <w:sz w:val="24"/>
        </w:rPr>
        <w:t> </w:t>
      </w:r>
      <w:r>
        <w:rPr>
          <w:sz w:val="24"/>
        </w:rPr>
        <w:t>systematic</w:t>
      </w:r>
      <w:r>
        <w:rPr>
          <w:spacing w:val="-5"/>
          <w:sz w:val="24"/>
        </w:rPr>
        <w:t> </w:t>
      </w:r>
      <w:r>
        <w:rPr>
          <w:sz w:val="24"/>
        </w:rPr>
        <w:t>review</w:t>
      </w:r>
      <w:r>
        <w:rPr>
          <w:spacing w:val="-3"/>
          <w:sz w:val="24"/>
        </w:rPr>
        <w:t> </w:t>
      </w:r>
      <w:r>
        <w:rPr>
          <w:sz w:val="24"/>
        </w:rPr>
        <w:t>and</w:t>
      </w:r>
      <w:r>
        <w:rPr>
          <w:spacing w:val="-4"/>
          <w:sz w:val="24"/>
        </w:rPr>
        <w:t> </w:t>
      </w:r>
      <w:r>
        <w:rPr>
          <w:sz w:val="24"/>
        </w:rPr>
        <w:t>meta-analysis</w:t>
      </w:r>
      <w:r>
        <w:rPr>
          <w:spacing w:val="-4"/>
          <w:sz w:val="24"/>
        </w:rPr>
        <w:t> </w:t>
      </w:r>
      <w:r>
        <w:rPr>
          <w:sz w:val="24"/>
        </w:rPr>
        <w:t>//</w:t>
      </w:r>
      <w:r>
        <w:rPr>
          <w:spacing w:val="-4"/>
          <w:sz w:val="24"/>
        </w:rPr>
        <w:t> </w:t>
      </w:r>
      <w:r>
        <w:rPr>
          <w:sz w:val="24"/>
        </w:rPr>
        <w:t>Obesity</w:t>
      </w:r>
      <w:r>
        <w:rPr>
          <w:spacing w:val="-4"/>
          <w:sz w:val="24"/>
        </w:rPr>
        <w:t> </w:t>
      </w:r>
      <w:r>
        <w:rPr>
          <w:sz w:val="24"/>
        </w:rPr>
        <w:t>reviews. 2016. Vol. 17. №. 10. P. 1001–1011.</w:t>
      </w:r>
    </w:p>
    <w:p>
      <w:pPr>
        <w:pStyle w:val="ListParagraph"/>
        <w:numPr>
          <w:ilvl w:val="0"/>
          <w:numId w:val="25"/>
        </w:numPr>
        <w:tabs>
          <w:tab w:pos="2677" w:val="left" w:leader="none"/>
          <w:tab w:pos="2678" w:val="left" w:leader="none"/>
        </w:tabs>
        <w:spacing w:line="360" w:lineRule="auto" w:before="0" w:after="0"/>
        <w:ind w:left="1981" w:right="605" w:hanging="360"/>
        <w:jc w:val="left"/>
        <w:rPr>
          <w:sz w:val="24"/>
        </w:rPr>
      </w:pPr>
      <w:bookmarkStart w:name="_bookmark178" w:id="227"/>
      <w:bookmarkEnd w:id="227"/>
      <w:r>
        <w:rPr>
          <w:sz w:val="24"/>
        </w:rPr>
        <w:t>B</w:t>
      </w:r>
      <w:r>
        <w:rPr>
          <w:sz w:val="24"/>
        </w:rPr>
        <w:t>erger</w:t>
      </w:r>
      <w:r>
        <w:rPr>
          <w:spacing w:val="-4"/>
          <w:sz w:val="24"/>
        </w:rPr>
        <w:t> </w:t>
      </w:r>
      <w:r>
        <w:rPr>
          <w:sz w:val="24"/>
        </w:rPr>
        <w:t>S</w:t>
      </w:r>
      <w:r>
        <w:rPr>
          <w:spacing w:val="-3"/>
          <w:sz w:val="24"/>
        </w:rPr>
        <w:t> </w:t>
      </w:r>
      <w:r>
        <w:rPr>
          <w:sz w:val="24"/>
        </w:rPr>
        <w:t>et</w:t>
      </w:r>
      <w:r>
        <w:rPr>
          <w:spacing w:val="-3"/>
          <w:sz w:val="24"/>
        </w:rPr>
        <w:t> </w:t>
      </w:r>
      <w:r>
        <w:rPr>
          <w:sz w:val="24"/>
        </w:rPr>
        <w:t>al.</w:t>
      </w:r>
      <w:r>
        <w:rPr>
          <w:spacing w:val="-3"/>
          <w:sz w:val="24"/>
        </w:rPr>
        <w:t> </w:t>
      </w:r>
      <w:r>
        <w:rPr>
          <w:sz w:val="24"/>
        </w:rPr>
        <w:t>Dietary</w:t>
      </w:r>
      <w:r>
        <w:rPr>
          <w:spacing w:val="-3"/>
          <w:sz w:val="24"/>
        </w:rPr>
        <w:t> </w:t>
      </w:r>
      <w:r>
        <w:rPr>
          <w:sz w:val="24"/>
        </w:rPr>
        <w:t>cholesterol</w:t>
      </w:r>
      <w:r>
        <w:rPr>
          <w:spacing w:val="-3"/>
          <w:sz w:val="24"/>
        </w:rPr>
        <w:t> </w:t>
      </w:r>
      <w:r>
        <w:rPr>
          <w:sz w:val="24"/>
        </w:rPr>
        <w:t>and</w:t>
      </w:r>
      <w:r>
        <w:rPr>
          <w:spacing w:val="-3"/>
          <w:sz w:val="24"/>
        </w:rPr>
        <w:t> </w:t>
      </w:r>
      <w:r>
        <w:rPr>
          <w:sz w:val="24"/>
        </w:rPr>
        <w:t>cardiovascular</w:t>
      </w:r>
      <w:r>
        <w:rPr>
          <w:spacing w:val="-4"/>
          <w:sz w:val="24"/>
        </w:rPr>
        <w:t> </w:t>
      </w:r>
      <w:r>
        <w:rPr>
          <w:sz w:val="24"/>
        </w:rPr>
        <w:t>disease:</w:t>
      </w:r>
      <w:r>
        <w:rPr>
          <w:spacing w:val="-3"/>
          <w:sz w:val="24"/>
        </w:rPr>
        <w:t> </w:t>
      </w:r>
      <w:r>
        <w:rPr>
          <w:sz w:val="24"/>
        </w:rPr>
        <w:t>a</w:t>
      </w:r>
      <w:r>
        <w:rPr>
          <w:spacing w:val="-4"/>
          <w:sz w:val="24"/>
        </w:rPr>
        <w:t> </w:t>
      </w:r>
      <w:r>
        <w:rPr>
          <w:sz w:val="24"/>
        </w:rPr>
        <w:t>systematic</w:t>
      </w:r>
      <w:r>
        <w:rPr>
          <w:spacing w:val="-4"/>
          <w:sz w:val="24"/>
        </w:rPr>
        <w:t> </w:t>
      </w:r>
      <w:r>
        <w:rPr>
          <w:sz w:val="24"/>
        </w:rPr>
        <w:t>review and meta-analysis // The American journal of clinical nutrition. 2015. Vol. 102. №. 2. P. </w:t>
      </w:r>
      <w:r>
        <w:rPr>
          <w:spacing w:val="-2"/>
          <w:sz w:val="24"/>
        </w:rPr>
        <w:t>276–294.</w:t>
      </w:r>
    </w:p>
    <w:p>
      <w:pPr>
        <w:pStyle w:val="ListParagraph"/>
        <w:numPr>
          <w:ilvl w:val="0"/>
          <w:numId w:val="25"/>
        </w:numPr>
        <w:tabs>
          <w:tab w:pos="2677" w:val="left" w:leader="none"/>
          <w:tab w:pos="2678" w:val="left" w:leader="none"/>
        </w:tabs>
        <w:spacing w:line="360" w:lineRule="auto" w:before="0" w:after="0"/>
        <w:ind w:left="1981" w:right="716" w:hanging="360"/>
        <w:jc w:val="left"/>
        <w:rPr>
          <w:sz w:val="24"/>
        </w:rPr>
      </w:pPr>
      <w:bookmarkStart w:name="_bookmark179" w:id="228"/>
      <w:bookmarkEnd w:id="228"/>
      <w:r>
        <w:rPr>
          <w:sz w:val="24"/>
        </w:rPr>
        <w:t>G</w:t>
      </w:r>
      <w:r>
        <w:rPr>
          <w:sz w:val="24"/>
        </w:rPr>
        <w:t>riffin</w:t>
      </w:r>
      <w:r>
        <w:rPr>
          <w:spacing w:val="-3"/>
          <w:sz w:val="24"/>
        </w:rPr>
        <w:t> </w:t>
      </w:r>
      <w:r>
        <w:rPr>
          <w:sz w:val="24"/>
        </w:rPr>
        <w:t>JD,</w:t>
      </w:r>
      <w:r>
        <w:rPr>
          <w:spacing w:val="-3"/>
          <w:sz w:val="24"/>
        </w:rPr>
        <w:t> </w:t>
      </w:r>
      <w:r>
        <w:rPr>
          <w:sz w:val="24"/>
        </w:rPr>
        <w:t>Lichtenstein</w:t>
      </w:r>
      <w:r>
        <w:rPr>
          <w:spacing w:val="-1"/>
          <w:sz w:val="24"/>
        </w:rPr>
        <w:t> </w:t>
      </w:r>
      <w:r>
        <w:rPr>
          <w:sz w:val="24"/>
        </w:rPr>
        <w:t>AH.</w:t>
      </w:r>
      <w:r>
        <w:rPr>
          <w:spacing w:val="-3"/>
          <w:sz w:val="24"/>
        </w:rPr>
        <w:t> </w:t>
      </w:r>
      <w:r>
        <w:rPr>
          <w:sz w:val="24"/>
        </w:rPr>
        <w:t>Dietary</w:t>
      </w:r>
      <w:r>
        <w:rPr>
          <w:spacing w:val="-1"/>
          <w:sz w:val="24"/>
        </w:rPr>
        <w:t> </w:t>
      </w:r>
      <w:r>
        <w:rPr>
          <w:sz w:val="24"/>
        </w:rPr>
        <w:t>cholesterol</w:t>
      </w:r>
      <w:r>
        <w:rPr>
          <w:spacing w:val="-1"/>
          <w:sz w:val="24"/>
        </w:rPr>
        <w:t> </w:t>
      </w:r>
      <w:r>
        <w:rPr>
          <w:sz w:val="24"/>
        </w:rPr>
        <w:t>and</w:t>
      </w:r>
      <w:r>
        <w:rPr>
          <w:spacing w:val="-3"/>
          <w:sz w:val="24"/>
        </w:rPr>
        <w:t> </w:t>
      </w:r>
      <w:r>
        <w:rPr>
          <w:sz w:val="24"/>
        </w:rPr>
        <w:t>plasma</w:t>
      </w:r>
      <w:r>
        <w:rPr>
          <w:spacing w:val="-4"/>
          <w:sz w:val="24"/>
        </w:rPr>
        <w:t> </w:t>
      </w:r>
      <w:r>
        <w:rPr>
          <w:sz w:val="24"/>
        </w:rPr>
        <w:t>lipoprotein</w:t>
      </w:r>
      <w:r>
        <w:rPr>
          <w:spacing w:val="-3"/>
          <w:sz w:val="24"/>
        </w:rPr>
        <w:t> </w:t>
      </w:r>
      <w:r>
        <w:rPr>
          <w:sz w:val="24"/>
        </w:rPr>
        <w:t>profiles: randomized</w:t>
      </w:r>
      <w:r>
        <w:rPr>
          <w:spacing w:val="-3"/>
          <w:sz w:val="24"/>
        </w:rPr>
        <w:t> </w:t>
      </w:r>
      <w:r>
        <w:rPr>
          <w:sz w:val="24"/>
        </w:rPr>
        <w:t>controlled</w:t>
      </w:r>
      <w:r>
        <w:rPr>
          <w:spacing w:val="-3"/>
          <w:sz w:val="24"/>
        </w:rPr>
        <w:t> </w:t>
      </w:r>
      <w:r>
        <w:rPr>
          <w:sz w:val="24"/>
        </w:rPr>
        <w:t>trials</w:t>
      </w:r>
      <w:r>
        <w:rPr>
          <w:spacing w:val="-3"/>
          <w:sz w:val="24"/>
        </w:rPr>
        <w:t> </w:t>
      </w:r>
      <w:r>
        <w:rPr>
          <w:sz w:val="24"/>
        </w:rPr>
        <w:t>//</w:t>
      </w:r>
      <w:r>
        <w:rPr>
          <w:spacing w:val="-3"/>
          <w:sz w:val="24"/>
        </w:rPr>
        <w:t> </w:t>
      </w:r>
      <w:r>
        <w:rPr>
          <w:sz w:val="24"/>
        </w:rPr>
        <w:t>Current</w:t>
      </w:r>
      <w:r>
        <w:rPr>
          <w:spacing w:val="-3"/>
          <w:sz w:val="24"/>
        </w:rPr>
        <w:t> </w:t>
      </w:r>
      <w:r>
        <w:rPr>
          <w:sz w:val="24"/>
        </w:rPr>
        <w:t>nutrition</w:t>
      </w:r>
      <w:r>
        <w:rPr>
          <w:spacing w:val="-3"/>
          <w:sz w:val="24"/>
        </w:rPr>
        <w:t> </w:t>
      </w:r>
      <w:r>
        <w:rPr>
          <w:sz w:val="24"/>
        </w:rPr>
        <w:t>reports.</w:t>
      </w:r>
      <w:r>
        <w:rPr>
          <w:spacing w:val="-3"/>
          <w:sz w:val="24"/>
        </w:rPr>
        <w:t> </w:t>
      </w:r>
      <w:r>
        <w:rPr>
          <w:sz w:val="24"/>
        </w:rPr>
        <w:t>2013.</w:t>
      </w:r>
      <w:r>
        <w:rPr>
          <w:spacing w:val="-3"/>
          <w:sz w:val="24"/>
        </w:rPr>
        <w:t> </w:t>
      </w:r>
      <w:r>
        <w:rPr>
          <w:sz w:val="24"/>
        </w:rPr>
        <w:t>Vol.</w:t>
      </w:r>
      <w:r>
        <w:rPr>
          <w:spacing w:val="-3"/>
          <w:sz w:val="24"/>
        </w:rPr>
        <w:t> </w:t>
      </w:r>
      <w:r>
        <w:rPr>
          <w:sz w:val="24"/>
        </w:rPr>
        <w:t>2.</w:t>
      </w:r>
      <w:r>
        <w:rPr>
          <w:spacing w:val="-3"/>
          <w:sz w:val="24"/>
        </w:rPr>
        <w:t> </w:t>
      </w:r>
      <w:r>
        <w:rPr>
          <w:sz w:val="24"/>
        </w:rPr>
        <w:t>№.</w:t>
      </w:r>
      <w:r>
        <w:rPr>
          <w:spacing w:val="-3"/>
          <w:sz w:val="24"/>
        </w:rPr>
        <w:t> </w:t>
      </w:r>
      <w:r>
        <w:rPr>
          <w:sz w:val="24"/>
        </w:rPr>
        <w:t>4.</w:t>
      </w:r>
      <w:r>
        <w:rPr>
          <w:spacing w:val="-3"/>
          <w:sz w:val="24"/>
        </w:rPr>
        <w:t> </w:t>
      </w:r>
      <w:r>
        <w:rPr>
          <w:sz w:val="24"/>
        </w:rPr>
        <w:t>P.</w:t>
      </w:r>
      <w:r>
        <w:rPr>
          <w:spacing w:val="-3"/>
          <w:sz w:val="24"/>
        </w:rPr>
        <w:t> </w:t>
      </w:r>
      <w:r>
        <w:rPr>
          <w:sz w:val="24"/>
        </w:rPr>
        <w:t>274–282.</w:t>
      </w:r>
    </w:p>
    <w:p>
      <w:pPr>
        <w:pStyle w:val="ListParagraph"/>
        <w:numPr>
          <w:ilvl w:val="0"/>
          <w:numId w:val="25"/>
        </w:numPr>
        <w:tabs>
          <w:tab w:pos="2677" w:val="left" w:leader="none"/>
          <w:tab w:pos="2678" w:val="left" w:leader="none"/>
        </w:tabs>
        <w:spacing w:line="360" w:lineRule="auto" w:before="0" w:after="0"/>
        <w:ind w:left="1981" w:right="937" w:hanging="360"/>
        <w:jc w:val="left"/>
        <w:rPr>
          <w:sz w:val="24"/>
        </w:rPr>
      </w:pPr>
      <w:bookmarkStart w:name="_bookmark180" w:id="229"/>
      <w:bookmarkEnd w:id="229"/>
      <w:r>
        <w:rPr>
          <w:sz w:val="24"/>
        </w:rPr>
        <w:t>Sh</w:t>
      </w:r>
      <w:r>
        <w:rPr>
          <w:sz w:val="24"/>
        </w:rPr>
        <w:t>aw</w:t>
      </w:r>
      <w:r>
        <w:rPr>
          <w:spacing w:val="-4"/>
          <w:sz w:val="24"/>
        </w:rPr>
        <w:t> </w:t>
      </w:r>
      <w:r>
        <w:rPr>
          <w:sz w:val="24"/>
        </w:rPr>
        <w:t>K</w:t>
      </w:r>
      <w:r>
        <w:rPr>
          <w:spacing w:val="-4"/>
          <w:sz w:val="24"/>
        </w:rPr>
        <w:t> </w:t>
      </w:r>
      <w:r>
        <w:rPr>
          <w:sz w:val="24"/>
        </w:rPr>
        <w:t>et</w:t>
      </w:r>
      <w:r>
        <w:rPr>
          <w:spacing w:val="-3"/>
          <w:sz w:val="24"/>
        </w:rPr>
        <w:t> </w:t>
      </w:r>
      <w:r>
        <w:rPr>
          <w:sz w:val="24"/>
        </w:rPr>
        <w:t>al.</w:t>
      </w:r>
      <w:r>
        <w:rPr>
          <w:spacing w:val="-3"/>
          <w:sz w:val="24"/>
        </w:rPr>
        <w:t> </w:t>
      </w:r>
      <w:r>
        <w:rPr>
          <w:sz w:val="24"/>
        </w:rPr>
        <w:t>Exercise</w:t>
      </w:r>
      <w:r>
        <w:rPr>
          <w:spacing w:val="-4"/>
          <w:sz w:val="24"/>
        </w:rPr>
        <w:t> </w:t>
      </w:r>
      <w:r>
        <w:rPr>
          <w:sz w:val="24"/>
        </w:rPr>
        <w:t>for</w:t>
      </w:r>
      <w:r>
        <w:rPr>
          <w:spacing w:val="-4"/>
          <w:sz w:val="24"/>
        </w:rPr>
        <w:t> </w:t>
      </w:r>
      <w:r>
        <w:rPr>
          <w:sz w:val="24"/>
        </w:rPr>
        <w:t>overweight</w:t>
      </w:r>
      <w:r>
        <w:rPr>
          <w:spacing w:val="-3"/>
          <w:sz w:val="24"/>
        </w:rPr>
        <w:t> </w:t>
      </w:r>
      <w:r>
        <w:rPr>
          <w:sz w:val="24"/>
        </w:rPr>
        <w:t>or</w:t>
      </w:r>
      <w:r>
        <w:rPr>
          <w:spacing w:val="-4"/>
          <w:sz w:val="24"/>
        </w:rPr>
        <w:t> </w:t>
      </w:r>
      <w:r>
        <w:rPr>
          <w:sz w:val="24"/>
        </w:rPr>
        <w:t>obesity.</w:t>
      </w:r>
      <w:r>
        <w:rPr>
          <w:spacing w:val="-3"/>
          <w:sz w:val="24"/>
        </w:rPr>
        <w:t> </w:t>
      </w:r>
      <w:r>
        <w:rPr>
          <w:sz w:val="24"/>
        </w:rPr>
        <w:t>Cochrane</w:t>
      </w:r>
      <w:r>
        <w:rPr>
          <w:spacing w:val="-4"/>
          <w:sz w:val="24"/>
        </w:rPr>
        <w:t> </w:t>
      </w:r>
      <w:r>
        <w:rPr>
          <w:sz w:val="24"/>
        </w:rPr>
        <w:t>Database</w:t>
      </w:r>
      <w:r>
        <w:rPr>
          <w:spacing w:val="-4"/>
          <w:sz w:val="24"/>
        </w:rPr>
        <w:t> </w:t>
      </w:r>
      <w:r>
        <w:rPr>
          <w:sz w:val="24"/>
        </w:rPr>
        <w:t>Syst</w:t>
      </w:r>
      <w:r>
        <w:rPr>
          <w:spacing w:val="-3"/>
          <w:sz w:val="24"/>
        </w:rPr>
        <w:t> </w:t>
      </w:r>
      <w:r>
        <w:rPr>
          <w:sz w:val="24"/>
        </w:rPr>
        <w:t>Rev 2006; CD003817. 2013.</w:t>
      </w:r>
    </w:p>
    <w:p>
      <w:pPr>
        <w:pStyle w:val="ListParagraph"/>
        <w:numPr>
          <w:ilvl w:val="0"/>
          <w:numId w:val="25"/>
        </w:numPr>
        <w:tabs>
          <w:tab w:pos="2677" w:val="left" w:leader="none"/>
          <w:tab w:pos="2678" w:val="left" w:leader="none"/>
        </w:tabs>
        <w:spacing w:line="360" w:lineRule="auto" w:before="0" w:after="0"/>
        <w:ind w:left="1981" w:right="690" w:hanging="360"/>
        <w:jc w:val="left"/>
        <w:rPr>
          <w:sz w:val="24"/>
        </w:rPr>
      </w:pPr>
      <w:bookmarkStart w:name="_bookmark181" w:id="230"/>
      <w:bookmarkEnd w:id="230"/>
      <w:r>
        <w:rPr>
          <w:sz w:val="24"/>
        </w:rPr>
        <w:t>D</w:t>
      </w:r>
      <w:r>
        <w:rPr>
          <w:sz w:val="24"/>
        </w:rPr>
        <w:t>roste DW et al. A daily glass of red wine associated with lifestyle changes independentlyimproves</w:t>
      </w:r>
      <w:r>
        <w:rPr>
          <w:spacing w:val="-4"/>
          <w:sz w:val="24"/>
        </w:rPr>
        <w:t> </w:t>
      </w:r>
      <w:r>
        <w:rPr>
          <w:sz w:val="24"/>
        </w:rPr>
        <w:t>blood</w:t>
      </w:r>
      <w:r>
        <w:rPr>
          <w:spacing w:val="-4"/>
          <w:sz w:val="24"/>
        </w:rPr>
        <w:t> </w:t>
      </w:r>
      <w:r>
        <w:rPr>
          <w:sz w:val="24"/>
        </w:rPr>
        <w:t>lipids</w:t>
      </w:r>
      <w:r>
        <w:rPr>
          <w:spacing w:val="-4"/>
          <w:sz w:val="24"/>
        </w:rPr>
        <w:t> </w:t>
      </w:r>
      <w:r>
        <w:rPr>
          <w:sz w:val="24"/>
        </w:rPr>
        <w:t>in</w:t>
      </w:r>
      <w:r>
        <w:rPr>
          <w:spacing w:val="-4"/>
          <w:sz w:val="24"/>
        </w:rPr>
        <w:t> </w:t>
      </w:r>
      <w:r>
        <w:rPr>
          <w:sz w:val="24"/>
        </w:rPr>
        <w:t>patients</w:t>
      </w:r>
      <w:r>
        <w:rPr>
          <w:spacing w:val="-4"/>
          <w:sz w:val="24"/>
        </w:rPr>
        <w:t> </w:t>
      </w:r>
      <w:r>
        <w:rPr>
          <w:sz w:val="24"/>
        </w:rPr>
        <w:t>with</w:t>
      </w:r>
      <w:r>
        <w:rPr>
          <w:spacing w:val="-4"/>
          <w:sz w:val="24"/>
        </w:rPr>
        <w:t> </w:t>
      </w:r>
      <w:r>
        <w:rPr>
          <w:sz w:val="24"/>
        </w:rPr>
        <w:t>carotid</w:t>
      </w:r>
      <w:r>
        <w:rPr>
          <w:spacing w:val="-4"/>
          <w:sz w:val="24"/>
        </w:rPr>
        <w:t> </w:t>
      </w:r>
      <w:r>
        <w:rPr>
          <w:sz w:val="24"/>
        </w:rPr>
        <w:t>arteriosclerosis:</w:t>
      </w:r>
      <w:r>
        <w:rPr>
          <w:spacing w:val="-2"/>
          <w:sz w:val="24"/>
        </w:rPr>
        <w:t> </w:t>
      </w:r>
      <w:r>
        <w:rPr>
          <w:sz w:val="24"/>
        </w:rPr>
        <w:t>results</w:t>
      </w:r>
      <w:r>
        <w:rPr>
          <w:spacing w:val="-4"/>
          <w:sz w:val="24"/>
        </w:rPr>
        <w:t> </w:t>
      </w:r>
      <w:r>
        <w:rPr>
          <w:sz w:val="24"/>
        </w:rPr>
        <w:t>from arandomized controlled trial // Nutrition journal. 2013. Vol. 12. №. 1. P. 147.</w:t>
      </w:r>
    </w:p>
    <w:p>
      <w:pPr>
        <w:pStyle w:val="ListParagraph"/>
        <w:numPr>
          <w:ilvl w:val="0"/>
          <w:numId w:val="25"/>
        </w:numPr>
        <w:tabs>
          <w:tab w:pos="2677" w:val="left" w:leader="none"/>
          <w:tab w:pos="2678" w:val="left" w:leader="none"/>
        </w:tabs>
        <w:spacing w:line="360" w:lineRule="auto" w:before="0" w:after="0"/>
        <w:ind w:left="1981" w:right="657" w:hanging="360"/>
        <w:jc w:val="left"/>
        <w:rPr>
          <w:sz w:val="24"/>
        </w:rPr>
      </w:pPr>
      <w:bookmarkStart w:name="_bookmark182" w:id="231"/>
      <w:bookmarkEnd w:id="231"/>
      <w:r>
        <w:rPr>
          <w:sz w:val="24"/>
        </w:rPr>
        <w:t>Rimm</w:t>
      </w:r>
      <w:r>
        <w:rPr>
          <w:spacing w:val="-3"/>
          <w:sz w:val="24"/>
        </w:rPr>
        <w:t> </w:t>
      </w:r>
      <w:r>
        <w:rPr>
          <w:sz w:val="24"/>
        </w:rPr>
        <w:t>EB</w:t>
      </w:r>
      <w:r>
        <w:rPr>
          <w:spacing w:val="-3"/>
          <w:sz w:val="24"/>
        </w:rPr>
        <w:t> </w:t>
      </w:r>
      <w:r>
        <w:rPr>
          <w:sz w:val="24"/>
        </w:rPr>
        <w:t>et</w:t>
      </w:r>
      <w:r>
        <w:rPr>
          <w:spacing w:val="-3"/>
          <w:sz w:val="24"/>
        </w:rPr>
        <w:t> </w:t>
      </w:r>
      <w:r>
        <w:rPr>
          <w:sz w:val="24"/>
        </w:rPr>
        <w:t>al.</w:t>
      </w:r>
      <w:r>
        <w:rPr>
          <w:spacing w:val="-3"/>
          <w:sz w:val="24"/>
        </w:rPr>
        <w:t> </w:t>
      </w:r>
      <w:r>
        <w:rPr>
          <w:sz w:val="24"/>
        </w:rPr>
        <w:t>Moderate</w:t>
      </w:r>
      <w:r>
        <w:rPr>
          <w:spacing w:val="-4"/>
          <w:sz w:val="24"/>
        </w:rPr>
        <w:t> </w:t>
      </w:r>
      <w:r>
        <w:rPr>
          <w:sz w:val="24"/>
        </w:rPr>
        <w:t>alcohol</w:t>
      </w:r>
      <w:r>
        <w:rPr>
          <w:spacing w:val="-3"/>
          <w:sz w:val="24"/>
        </w:rPr>
        <w:t> </w:t>
      </w:r>
      <w:r>
        <w:rPr>
          <w:sz w:val="24"/>
        </w:rPr>
        <w:t>intake</w:t>
      </w:r>
      <w:r>
        <w:rPr>
          <w:spacing w:val="-4"/>
          <w:sz w:val="24"/>
        </w:rPr>
        <w:t> </w:t>
      </w:r>
      <w:r>
        <w:rPr>
          <w:sz w:val="24"/>
        </w:rPr>
        <w:t>and</w:t>
      </w:r>
      <w:r>
        <w:rPr>
          <w:spacing w:val="-3"/>
          <w:sz w:val="24"/>
        </w:rPr>
        <w:t> </w:t>
      </w:r>
      <w:r>
        <w:rPr>
          <w:sz w:val="24"/>
        </w:rPr>
        <w:t>lower</w:t>
      </w:r>
      <w:r>
        <w:rPr>
          <w:spacing w:val="-4"/>
          <w:sz w:val="24"/>
        </w:rPr>
        <w:t> </w:t>
      </w:r>
      <w:r>
        <w:rPr>
          <w:sz w:val="24"/>
        </w:rPr>
        <w:t>risk</w:t>
      </w:r>
      <w:r>
        <w:rPr>
          <w:spacing w:val="-3"/>
          <w:sz w:val="24"/>
        </w:rPr>
        <w:t> </w:t>
      </w:r>
      <w:r>
        <w:rPr>
          <w:sz w:val="24"/>
        </w:rPr>
        <w:t>of</w:t>
      </w:r>
      <w:r>
        <w:rPr>
          <w:spacing w:val="-4"/>
          <w:sz w:val="24"/>
        </w:rPr>
        <w:t> </w:t>
      </w:r>
      <w:r>
        <w:rPr>
          <w:sz w:val="24"/>
        </w:rPr>
        <w:t>coronary</w:t>
      </w:r>
      <w:r>
        <w:rPr>
          <w:spacing w:val="-3"/>
          <w:sz w:val="24"/>
        </w:rPr>
        <w:t> </w:t>
      </w:r>
      <w:r>
        <w:rPr>
          <w:sz w:val="24"/>
        </w:rPr>
        <w:t>heart</w:t>
      </w:r>
      <w:r>
        <w:rPr>
          <w:spacing w:val="-3"/>
          <w:sz w:val="24"/>
        </w:rPr>
        <w:t> </w:t>
      </w:r>
      <w:r>
        <w:rPr>
          <w:sz w:val="24"/>
        </w:rPr>
        <w:t>disease: meta-analysis of effects on lipids and haemostatic factors // Bmj. 1999. Vol. 319. №. 7224. P. 1523–1528.</w:t>
      </w:r>
    </w:p>
    <w:p>
      <w:pPr>
        <w:pStyle w:val="ListParagraph"/>
        <w:numPr>
          <w:ilvl w:val="0"/>
          <w:numId w:val="25"/>
        </w:numPr>
        <w:tabs>
          <w:tab w:pos="2677" w:val="left" w:leader="none"/>
          <w:tab w:pos="2678" w:val="left" w:leader="none"/>
        </w:tabs>
        <w:spacing w:line="360" w:lineRule="auto" w:before="0" w:after="0"/>
        <w:ind w:left="1981" w:right="751" w:hanging="360"/>
        <w:jc w:val="left"/>
        <w:rPr>
          <w:sz w:val="24"/>
        </w:rPr>
      </w:pPr>
      <w:bookmarkStart w:name="_bookmark183" w:id="232"/>
      <w:bookmarkEnd w:id="232"/>
      <w:r>
        <w:rPr>
          <w:sz w:val="24"/>
        </w:rPr>
        <w:t>Y</w:t>
      </w:r>
      <w:r>
        <w:rPr>
          <w:sz w:val="24"/>
        </w:rPr>
        <w:t>u-Poth S et al. Effects of the National Cholesterol Education Program's Step I and</w:t>
      </w:r>
      <w:r>
        <w:rPr>
          <w:spacing w:val="-3"/>
          <w:sz w:val="24"/>
        </w:rPr>
        <w:t> </w:t>
      </w:r>
      <w:r>
        <w:rPr>
          <w:sz w:val="24"/>
        </w:rPr>
        <w:t>Step</w:t>
      </w:r>
      <w:r>
        <w:rPr>
          <w:spacing w:val="-1"/>
          <w:sz w:val="24"/>
        </w:rPr>
        <w:t> </w:t>
      </w:r>
      <w:r>
        <w:rPr>
          <w:sz w:val="24"/>
        </w:rPr>
        <w:t>II</w:t>
      </w:r>
      <w:r>
        <w:rPr>
          <w:spacing w:val="-7"/>
          <w:sz w:val="24"/>
        </w:rPr>
        <w:t> </w:t>
      </w:r>
      <w:r>
        <w:rPr>
          <w:sz w:val="24"/>
        </w:rPr>
        <w:t>dietary</w:t>
      </w:r>
      <w:r>
        <w:rPr>
          <w:spacing w:val="-3"/>
          <w:sz w:val="24"/>
        </w:rPr>
        <w:t> </w:t>
      </w:r>
      <w:r>
        <w:rPr>
          <w:sz w:val="24"/>
        </w:rPr>
        <w:t>intervention</w:t>
      </w:r>
      <w:r>
        <w:rPr>
          <w:spacing w:val="-3"/>
          <w:sz w:val="24"/>
        </w:rPr>
        <w:t> </w:t>
      </w:r>
      <w:r>
        <w:rPr>
          <w:sz w:val="24"/>
        </w:rPr>
        <w:t>programs</w:t>
      </w:r>
      <w:r>
        <w:rPr>
          <w:spacing w:val="-3"/>
          <w:sz w:val="24"/>
        </w:rPr>
        <w:t> </w:t>
      </w:r>
      <w:r>
        <w:rPr>
          <w:sz w:val="24"/>
        </w:rPr>
        <w:t>on</w:t>
      </w:r>
      <w:r>
        <w:rPr>
          <w:spacing w:val="-3"/>
          <w:sz w:val="24"/>
        </w:rPr>
        <w:t> </w:t>
      </w:r>
      <w:r>
        <w:rPr>
          <w:sz w:val="24"/>
        </w:rPr>
        <w:t>cardiovascular</w:t>
      </w:r>
      <w:r>
        <w:rPr>
          <w:spacing w:val="-4"/>
          <w:sz w:val="24"/>
        </w:rPr>
        <w:t> </w:t>
      </w:r>
      <w:r>
        <w:rPr>
          <w:sz w:val="24"/>
        </w:rPr>
        <w:t>disease</w:t>
      </w:r>
      <w:r>
        <w:rPr>
          <w:spacing w:val="-4"/>
          <w:sz w:val="24"/>
        </w:rPr>
        <w:t> </w:t>
      </w:r>
      <w:r>
        <w:rPr>
          <w:sz w:val="24"/>
        </w:rPr>
        <w:t>risk</w:t>
      </w:r>
      <w:r>
        <w:rPr>
          <w:spacing w:val="-3"/>
          <w:sz w:val="24"/>
        </w:rPr>
        <w:t> </w:t>
      </w:r>
      <w:r>
        <w:rPr>
          <w:sz w:val="24"/>
        </w:rPr>
        <w:t>factors:</w:t>
      </w:r>
      <w:r>
        <w:rPr>
          <w:spacing w:val="-3"/>
          <w:sz w:val="24"/>
        </w:rPr>
        <w:t> </w:t>
      </w:r>
      <w:r>
        <w:rPr>
          <w:sz w:val="24"/>
        </w:rPr>
        <w:t>a</w:t>
      </w:r>
      <w:r>
        <w:rPr>
          <w:spacing w:val="-4"/>
          <w:sz w:val="24"/>
        </w:rPr>
        <w:t> </w:t>
      </w:r>
      <w:r>
        <w:rPr>
          <w:sz w:val="24"/>
        </w:rPr>
        <w:t>meta- analysis // The American journal of clinical nutrition. 1999. Vol. 69. №. 4. P. 632–646.</w:t>
      </w:r>
    </w:p>
    <w:p>
      <w:pPr>
        <w:pStyle w:val="ListParagraph"/>
        <w:numPr>
          <w:ilvl w:val="0"/>
          <w:numId w:val="25"/>
        </w:numPr>
        <w:tabs>
          <w:tab w:pos="2677" w:val="left" w:leader="none"/>
          <w:tab w:pos="2678" w:val="left" w:leader="none"/>
        </w:tabs>
        <w:spacing w:line="360" w:lineRule="auto" w:before="0" w:after="0"/>
        <w:ind w:left="1981" w:right="620" w:hanging="360"/>
        <w:jc w:val="left"/>
        <w:rPr>
          <w:sz w:val="24"/>
        </w:rPr>
      </w:pPr>
      <w:bookmarkStart w:name="_bookmark184" w:id="233"/>
      <w:bookmarkEnd w:id="233"/>
      <w:r>
        <w:rPr>
          <w:sz w:val="24"/>
        </w:rPr>
        <w:t>S</w:t>
      </w:r>
      <w:r>
        <w:rPr>
          <w:sz w:val="24"/>
        </w:rPr>
        <w:t>antos FL et al. Systematic review and meta-analysis of clinical trials of the effects</w:t>
      </w:r>
      <w:r>
        <w:rPr>
          <w:spacing w:val="-3"/>
          <w:sz w:val="24"/>
        </w:rPr>
        <w:t> </w:t>
      </w:r>
      <w:r>
        <w:rPr>
          <w:sz w:val="24"/>
        </w:rPr>
        <w:t>of</w:t>
      </w:r>
      <w:r>
        <w:rPr>
          <w:spacing w:val="-4"/>
          <w:sz w:val="24"/>
        </w:rPr>
        <w:t> </w:t>
      </w:r>
      <w:r>
        <w:rPr>
          <w:sz w:val="24"/>
        </w:rPr>
        <w:t>low</w:t>
      </w:r>
      <w:r>
        <w:rPr>
          <w:spacing w:val="-4"/>
          <w:sz w:val="24"/>
        </w:rPr>
        <w:t> </w:t>
      </w:r>
      <w:r>
        <w:rPr>
          <w:sz w:val="24"/>
        </w:rPr>
        <w:t>carbohydrate</w:t>
      </w:r>
      <w:r>
        <w:rPr>
          <w:spacing w:val="-4"/>
          <w:sz w:val="24"/>
        </w:rPr>
        <w:t> </w:t>
      </w:r>
      <w:r>
        <w:rPr>
          <w:sz w:val="24"/>
        </w:rPr>
        <w:t>diets</w:t>
      </w:r>
      <w:r>
        <w:rPr>
          <w:spacing w:val="-3"/>
          <w:sz w:val="24"/>
        </w:rPr>
        <w:t> </w:t>
      </w:r>
      <w:r>
        <w:rPr>
          <w:sz w:val="24"/>
        </w:rPr>
        <w:t>on</w:t>
      </w:r>
      <w:r>
        <w:rPr>
          <w:spacing w:val="-3"/>
          <w:sz w:val="24"/>
        </w:rPr>
        <w:t> </w:t>
      </w:r>
      <w:r>
        <w:rPr>
          <w:sz w:val="24"/>
        </w:rPr>
        <w:t>cardiovascular</w:t>
      </w:r>
      <w:r>
        <w:rPr>
          <w:spacing w:val="-4"/>
          <w:sz w:val="24"/>
        </w:rPr>
        <w:t> </w:t>
      </w:r>
      <w:r>
        <w:rPr>
          <w:sz w:val="24"/>
        </w:rPr>
        <w:t>risk</w:t>
      </w:r>
      <w:r>
        <w:rPr>
          <w:spacing w:val="-3"/>
          <w:sz w:val="24"/>
        </w:rPr>
        <w:t> </w:t>
      </w:r>
      <w:r>
        <w:rPr>
          <w:sz w:val="24"/>
        </w:rPr>
        <w:t>factors</w:t>
      </w:r>
      <w:r>
        <w:rPr>
          <w:spacing w:val="-3"/>
          <w:sz w:val="24"/>
        </w:rPr>
        <w:t> </w:t>
      </w:r>
      <w:r>
        <w:rPr>
          <w:sz w:val="24"/>
        </w:rPr>
        <w:t>//</w:t>
      </w:r>
      <w:r>
        <w:rPr>
          <w:spacing w:val="-3"/>
          <w:sz w:val="24"/>
        </w:rPr>
        <w:t> </w:t>
      </w:r>
      <w:r>
        <w:rPr>
          <w:sz w:val="24"/>
        </w:rPr>
        <w:t>Obesity</w:t>
      </w:r>
      <w:r>
        <w:rPr>
          <w:spacing w:val="-3"/>
          <w:sz w:val="24"/>
        </w:rPr>
        <w:t> </w:t>
      </w:r>
      <w:r>
        <w:rPr>
          <w:sz w:val="24"/>
        </w:rPr>
        <w:t>Reviews.</w:t>
      </w:r>
      <w:r>
        <w:rPr>
          <w:spacing w:val="-3"/>
          <w:sz w:val="24"/>
        </w:rPr>
        <w:t> </w:t>
      </w:r>
      <w:r>
        <w:rPr>
          <w:sz w:val="24"/>
        </w:rPr>
        <w:t>2012. Vol. 13. №. 11. P. 1048–1066.</w:t>
      </w:r>
    </w:p>
    <w:p>
      <w:pPr>
        <w:pStyle w:val="ListParagraph"/>
        <w:numPr>
          <w:ilvl w:val="0"/>
          <w:numId w:val="25"/>
        </w:numPr>
        <w:tabs>
          <w:tab w:pos="2677" w:val="left" w:leader="none"/>
          <w:tab w:pos="2678" w:val="left" w:leader="none"/>
        </w:tabs>
        <w:spacing w:line="360" w:lineRule="auto" w:before="1" w:after="0"/>
        <w:ind w:left="1981" w:right="970" w:hanging="360"/>
        <w:jc w:val="left"/>
        <w:rPr>
          <w:sz w:val="24"/>
        </w:rPr>
      </w:pPr>
      <w:bookmarkStart w:name="_bookmark185" w:id="234"/>
      <w:bookmarkEnd w:id="234"/>
      <w:r>
        <w:rPr>
          <w:sz w:val="24"/>
        </w:rPr>
        <w:t>Riv</w:t>
      </w:r>
      <w:r>
        <w:rPr>
          <w:sz w:val="24"/>
        </w:rPr>
        <w:t>ellese</w:t>
      </w:r>
      <w:r>
        <w:rPr>
          <w:spacing w:val="-4"/>
          <w:sz w:val="24"/>
        </w:rPr>
        <w:t> </w:t>
      </w:r>
      <w:r>
        <w:rPr>
          <w:sz w:val="24"/>
        </w:rPr>
        <w:t>AA</w:t>
      </w:r>
      <w:r>
        <w:rPr>
          <w:spacing w:val="-4"/>
          <w:sz w:val="24"/>
        </w:rPr>
        <w:t> </w:t>
      </w:r>
      <w:r>
        <w:rPr>
          <w:sz w:val="24"/>
        </w:rPr>
        <w:t>et</w:t>
      </w:r>
      <w:r>
        <w:rPr>
          <w:spacing w:val="-3"/>
          <w:sz w:val="24"/>
        </w:rPr>
        <w:t> </w:t>
      </w:r>
      <w:r>
        <w:rPr>
          <w:sz w:val="24"/>
        </w:rPr>
        <w:t>al.</w:t>
      </w:r>
      <w:r>
        <w:rPr>
          <w:spacing w:val="-3"/>
          <w:sz w:val="24"/>
        </w:rPr>
        <w:t> </w:t>
      </w:r>
      <w:r>
        <w:rPr>
          <w:sz w:val="24"/>
        </w:rPr>
        <w:t>Effects</w:t>
      </w:r>
      <w:r>
        <w:rPr>
          <w:spacing w:val="-3"/>
          <w:sz w:val="24"/>
        </w:rPr>
        <w:t> </w:t>
      </w:r>
      <w:r>
        <w:rPr>
          <w:sz w:val="24"/>
        </w:rPr>
        <w:t>of</w:t>
      </w:r>
      <w:r>
        <w:rPr>
          <w:spacing w:val="-4"/>
          <w:sz w:val="24"/>
        </w:rPr>
        <w:t> </w:t>
      </w:r>
      <w:r>
        <w:rPr>
          <w:sz w:val="24"/>
        </w:rPr>
        <w:t>dietary</w:t>
      </w:r>
      <w:r>
        <w:rPr>
          <w:spacing w:val="-3"/>
          <w:sz w:val="24"/>
        </w:rPr>
        <w:t> </w:t>
      </w:r>
      <w:r>
        <w:rPr>
          <w:sz w:val="24"/>
        </w:rPr>
        <w:t>saturated,</w:t>
      </w:r>
      <w:r>
        <w:rPr>
          <w:spacing w:val="-3"/>
          <w:sz w:val="24"/>
        </w:rPr>
        <w:t> </w:t>
      </w:r>
      <w:r>
        <w:rPr>
          <w:sz w:val="24"/>
        </w:rPr>
        <w:t>monounsaturated</w:t>
      </w:r>
      <w:r>
        <w:rPr>
          <w:spacing w:val="-3"/>
          <w:sz w:val="24"/>
        </w:rPr>
        <w:t> </w:t>
      </w:r>
      <w:r>
        <w:rPr>
          <w:sz w:val="24"/>
        </w:rPr>
        <w:t>and</w:t>
      </w:r>
      <w:r>
        <w:rPr>
          <w:spacing w:val="-3"/>
          <w:sz w:val="24"/>
        </w:rPr>
        <w:t> </w:t>
      </w:r>
      <w:r>
        <w:rPr>
          <w:sz w:val="24"/>
        </w:rPr>
        <w:t>n-3</w:t>
      </w:r>
      <w:r>
        <w:rPr>
          <w:spacing w:val="-3"/>
          <w:sz w:val="24"/>
        </w:rPr>
        <w:t> </w:t>
      </w:r>
      <w:r>
        <w:rPr>
          <w:sz w:val="24"/>
        </w:rPr>
        <w:t>fatty acids on fasting lipoproteins, LDL size and post-prandial lipid metabolism in healthy</w:t>
      </w:r>
    </w:p>
    <w:p>
      <w:pPr>
        <w:spacing w:after="0" w:line="360" w:lineRule="auto"/>
        <w:jc w:val="left"/>
        <w:rPr>
          <w:sz w:val="24"/>
        </w:rPr>
        <w:sectPr>
          <w:pgSz w:w="11910" w:h="16840"/>
          <w:pgMar w:header="0" w:footer="710" w:top="1040" w:bottom="900" w:left="440" w:right="280"/>
        </w:sectPr>
      </w:pPr>
    </w:p>
    <w:p>
      <w:pPr>
        <w:pStyle w:val="BodyText"/>
        <w:spacing w:before="73"/>
      </w:pPr>
      <w:r>
        <w:rPr/>
        <w:t>subjects</w:t>
      </w:r>
      <w:r>
        <w:rPr>
          <w:spacing w:val="-1"/>
        </w:rPr>
        <w:t> </w:t>
      </w:r>
      <w:r>
        <w:rPr/>
        <w:t>//</w:t>
      </w:r>
      <w:r>
        <w:rPr>
          <w:spacing w:val="-1"/>
        </w:rPr>
        <w:t> </w:t>
      </w:r>
      <w:r>
        <w:rPr/>
        <w:t>Atherosclerosis.</w:t>
      </w:r>
      <w:r>
        <w:rPr>
          <w:spacing w:val="-1"/>
        </w:rPr>
        <w:t> </w:t>
      </w:r>
      <w:r>
        <w:rPr/>
        <w:t>2003.</w:t>
      </w:r>
      <w:r>
        <w:rPr>
          <w:spacing w:val="-1"/>
        </w:rPr>
        <w:t> </w:t>
      </w:r>
      <w:r>
        <w:rPr/>
        <w:t>Vol.</w:t>
      </w:r>
      <w:r>
        <w:rPr>
          <w:spacing w:val="-1"/>
        </w:rPr>
        <w:t> </w:t>
      </w:r>
      <w:r>
        <w:rPr/>
        <w:t>167.</w:t>
      </w:r>
      <w:r>
        <w:rPr>
          <w:spacing w:val="-1"/>
        </w:rPr>
        <w:t> </w:t>
      </w:r>
      <w:r>
        <w:rPr/>
        <w:t>№.</w:t>
      </w:r>
      <w:r>
        <w:rPr>
          <w:spacing w:val="-1"/>
        </w:rPr>
        <w:t> </w:t>
      </w:r>
      <w:r>
        <w:rPr/>
        <w:t>1.</w:t>
      </w:r>
      <w:r>
        <w:rPr>
          <w:spacing w:val="-1"/>
        </w:rPr>
        <w:t> </w:t>
      </w:r>
      <w:r>
        <w:rPr/>
        <w:t>P. </w:t>
      </w:r>
      <w:r>
        <w:rPr>
          <w:spacing w:val="-2"/>
        </w:rPr>
        <w:t>149–158.</w:t>
      </w:r>
    </w:p>
    <w:p>
      <w:pPr>
        <w:pStyle w:val="ListParagraph"/>
        <w:numPr>
          <w:ilvl w:val="0"/>
          <w:numId w:val="25"/>
        </w:numPr>
        <w:tabs>
          <w:tab w:pos="2677" w:val="left" w:leader="none"/>
          <w:tab w:pos="2678" w:val="left" w:leader="none"/>
        </w:tabs>
        <w:spacing w:line="360" w:lineRule="auto" w:before="139" w:after="0"/>
        <w:ind w:left="1981" w:right="691" w:hanging="360"/>
        <w:jc w:val="left"/>
        <w:rPr>
          <w:sz w:val="24"/>
        </w:rPr>
      </w:pPr>
      <w:bookmarkStart w:name="_bookmark186" w:id="235"/>
      <w:bookmarkEnd w:id="235"/>
      <w:r>
        <w:rPr>
          <w:sz w:val="24"/>
        </w:rPr>
        <w:t>W</w:t>
      </w:r>
      <w:r>
        <w:rPr>
          <w:sz w:val="24"/>
        </w:rPr>
        <w:t>ei</w:t>
      </w:r>
      <w:r>
        <w:rPr>
          <w:spacing w:val="-5"/>
          <w:sz w:val="24"/>
        </w:rPr>
        <w:t> </w:t>
      </w:r>
      <w:r>
        <w:rPr>
          <w:sz w:val="24"/>
        </w:rPr>
        <w:t>MY,</w:t>
      </w:r>
      <w:r>
        <w:rPr>
          <w:spacing w:val="-5"/>
          <w:sz w:val="24"/>
        </w:rPr>
        <w:t> </w:t>
      </w:r>
      <w:r>
        <w:rPr>
          <w:sz w:val="24"/>
        </w:rPr>
        <w:t>Jacobson</w:t>
      </w:r>
      <w:r>
        <w:rPr>
          <w:spacing w:val="-5"/>
          <w:sz w:val="24"/>
        </w:rPr>
        <w:t> </w:t>
      </w:r>
      <w:r>
        <w:rPr>
          <w:sz w:val="24"/>
        </w:rPr>
        <w:t>TA.</w:t>
      </w:r>
      <w:r>
        <w:rPr>
          <w:spacing w:val="-3"/>
          <w:sz w:val="24"/>
        </w:rPr>
        <w:t> </w:t>
      </w:r>
      <w:r>
        <w:rPr>
          <w:sz w:val="24"/>
        </w:rPr>
        <w:t>Effects</w:t>
      </w:r>
      <w:r>
        <w:rPr>
          <w:spacing w:val="-5"/>
          <w:sz w:val="24"/>
        </w:rPr>
        <w:t> </w:t>
      </w:r>
      <w:r>
        <w:rPr>
          <w:sz w:val="24"/>
        </w:rPr>
        <w:t>of</w:t>
      </w:r>
      <w:r>
        <w:rPr>
          <w:spacing w:val="-4"/>
          <w:sz w:val="24"/>
        </w:rPr>
        <w:t> </w:t>
      </w:r>
      <w:r>
        <w:rPr>
          <w:sz w:val="24"/>
        </w:rPr>
        <w:t>eicosapentaenoic</w:t>
      </w:r>
      <w:r>
        <w:rPr>
          <w:spacing w:val="-6"/>
          <w:sz w:val="24"/>
        </w:rPr>
        <w:t> </w:t>
      </w:r>
      <w:r>
        <w:rPr>
          <w:sz w:val="24"/>
        </w:rPr>
        <w:t>acid</w:t>
      </w:r>
      <w:r>
        <w:rPr>
          <w:spacing w:val="-5"/>
          <w:sz w:val="24"/>
        </w:rPr>
        <w:t> </w:t>
      </w:r>
      <w:r>
        <w:rPr>
          <w:sz w:val="24"/>
        </w:rPr>
        <w:t>versus</w:t>
      </w:r>
      <w:r>
        <w:rPr>
          <w:spacing w:val="-5"/>
          <w:sz w:val="24"/>
        </w:rPr>
        <w:t> </w:t>
      </w:r>
      <w:r>
        <w:rPr>
          <w:sz w:val="24"/>
        </w:rPr>
        <w:t>docosahexaenoic acid on serum lipids: a systematic review and meta-analysis // Current atherosclerosis reports. 2011. Vol. 13. №. 6. P. 474–483.</w:t>
      </w:r>
    </w:p>
    <w:p>
      <w:pPr>
        <w:pStyle w:val="ListParagraph"/>
        <w:numPr>
          <w:ilvl w:val="0"/>
          <w:numId w:val="25"/>
        </w:numPr>
        <w:tabs>
          <w:tab w:pos="2677" w:val="left" w:leader="none"/>
          <w:tab w:pos="2678" w:val="left" w:leader="none"/>
        </w:tabs>
        <w:spacing w:line="360" w:lineRule="auto" w:before="0" w:after="0"/>
        <w:ind w:left="1981" w:right="1070" w:hanging="360"/>
        <w:jc w:val="left"/>
        <w:rPr>
          <w:sz w:val="24"/>
        </w:rPr>
      </w:pPr>
      <w:bookmarkStart w:name="_bookmark187" w:id="236"/>
      <w:bookmarkEnd w:id="236"/>
      <w:r>
        <w:rPr>
          <w:sz w:val="24"/>
        </w:rPr>
        <w:t>K</w:t>
      </w:r>
      <w:r>
        <w:rPr>
          <w:sz w:val="24"/>
        </w:rPr>
        <w:t>elishadi R, Mansourian M, Heidari-Beni M. Association of fructose consumption</w:t>
      </w:r>
      <w:r>
        <w:rPr>
          <w:spacing w:val="-3"/>
          <w:sz w:val="24"/>
        </w:rPr>
        <w:t> </w:t>
      </w:r>
      <w:r>
        <w:rPr>
          <w:sz w:val="24"/>
        </w:rPr>
        <w:t>and</w:t>
      </w:r>
      <w:r>
        <w:rPr>
          <w:spacing w:val="-3"/>
          <w:sz w:val="24"/>
        </w:rPr>
        <w:t> </w:t>
      </w:r>
      <w:r>
        <w:rPr>
          <w:sz w:val="24"/>
        </w:rPr>
        <w:t>components</w:t>
      </w:r>
      <w:r>
        <w:rPr>
          <w:spacing w:val="-3"/>
          <w:sz w:val="24"/>
        </w:rPr>
        <w:t> </w:t>
      </w:r>
      <w:r>
        <w:rPr>
          <w:sz w:val="24"/>
        </w:rPr>
        <w:t>of</w:t>
      </w:r>
      <w:r>
        <w:rPr>
          <w:spacing w:val="-4"/>
          <w:sz w:val="24"/>
        </w:rPr>
        <w:t> </w:t>
      </w:r>
      <w:r>
        <w:rPr>
          <w:sz w:val="24"/>
        </w:rPr>
        <w:t>metabolic</w:t>
      </w:r>
      <w:r>
        <w:rPr>
          <w:spacing w:val="-4"/>
          <w:sz w:val="24"/>
        </w:rPr>
        <w:t> </w:t>
      </w:r>
      <w:r>
        <w:rPr>
          <w:sz w:val="24"/>
        </w:rPr>
        <w:t>syndrome</w:t>
      </w:r>
      <w:r>
        <w:rPr>
          <w:spacing w:val="-4"/>
          <w:sz w:val="24"/>
        </w:rPr>
        <w:t> </w:t>
      </w:r>
      <w:r>
        <w:rPr>
          <w:sz w:val="24"/>
        </w:rPr>
        <w:t>in</w:t>
      </w:r>
      <w:r>
        <w:rPr>
          <w:spacing w:val="-3"/>
          <w:sz w:val="24"/>
        </w:rPr>
        <w:t> </w:t>
      </w:r>
      <w:r>
        <w:rPr>
          <w:sz w:val="24"/>
        </w:rPr>
        <w:t>human</w:t>
      </w:r>
      <w:r>
        <w:rPr>
          <w:spacing w:val="-3"/>
          <w:sz w:val="24"/>
        </w:rPr>
        <w:t> </w:t>
      </w:r>
      <w:r>
        <w:rPr>
          <w:sz w:val="24"/>
        </w:rPr>
        <w:t>studies:</w:t>
      </w:r>
      <w:r>
        <w:rPr>
          <w:spacing w:val="-3"/>
          <w:sz w:val="24"/>
        </w:rPr>
        <w:t> </w:t>
      </w:r>
      <w:r>
        <w:rPr>
          <w:sz w:val="24"/>
        </w:rPr>
        <w:t>a</w:t>
      </w:r>
      <w:r>
        <w:rPr>
          <w:spacing w:val="-4"/>
          <w:sz w:val="24"/>
        </w:rPr>
        <w:t> </w:t>
      </w:r>
      <w:r>
        <w:rPr>
          <w:sz w:val="24"/>
        </w:rPr>
        <w:t>systematic review and meta-analysis // Nutrition. 2014. Vol. 30. №. 5. P. 503–510.</w:t>
      </w:r>
    </w:p>
    <w:p>
      <w:pPr>
        <w:pStyle w:val="ListParagraph"/>
        <w:numPr>
          <w:ilvl w:val="0"/>
          <w:numId w:val="25"/>
        </w:numPr>
        <w:tabs>
          <w:tab w:pos="2677" w:val="left" w:leader="none"/>
          <w:tab w:pos="2678" w:val="left" w:leader="none"/>
        </w:tabs>
        <w:spacing w:line="360" w:lineRule="auto" w:before="1" w:after="0"/>
        <w:ind w:left="1981" w:right="776" w:hanging="360"/>
        <w:jc w:val="left"/>
        <w:rPr>
          <w:sz w:val="24"/>
        </w:rPr>
      </w:pPr>
      <w:bookmarkStart w:name="_bookmark188" w:id="237"/>
      <w:bookmarkEnd w:id="237"/>
      <w:r>
        <w:rPr>
          <w:sz w:val="24"/>
        </w:rPr>
        <w:t>St</w:t>
      </w:r>
      <w:r>
        <w:rPr>
          <w:sz w:val="24"/>
        </w:rPr>
        <w:t>anhope KL et al. Consuming fructose-sweetened, not glucose-sweetened, beverages increases visceral adiposity and lipids and decreases insulin sensitivity in overweight/obese</w:t>
      </w:r>
      <w:r>
        <w:rPr>
          <w:spacing w:val="-4"/>
          <w:sz w:val="24"/>
        </w:rPr>
        <w:t> </w:t>
      </w:r>
      <w:r>
        <w:rPr>
          <w:sz w:val="24"/>
        </w:rPr>
        <w:t>humans</w:t>
      </w:r>
      <w:r>
        <w:rPr>
          <w:spacing w:val="-3"/>
          <w:sz w:val="24"/>
        </w:rPr>
        <w:t> </w:t>
      </w:r>
      <w:r>
        <w:rPr>
          <w:sz w:val="24"/>
        </w:rPr>
        <w:t>//</w:t>
      </w:r>
      <w:r>
        <w:rPr>
          <w:spacing w:val="-3"/>
          <w:sz w:val="24"/>
        </w:rPr>
        <w:t> </w:t>
      </w:r>
      <w:r>
        <w:rPr>
          <w:sz w:val="24"/>
        </w:rPr>
        <w:t>The</w:t>
      </w:r>
      <w:r>
        <w:rPr>
          <w:spacing w:val="-4"/>
          <w:sz w:val="24"/>
        </w:rPr>
        <w:t> </w:t>
      </w:r>
      <w:r>
        <w:rPr>
          <w:sz w:val="24"/>
        </w:rPr>
        <w:t>Journal</w:t>
      </w:r>
      <w:r>
        <w:rPr>
          <w:spacing w:val="-3"/>
          <w:sz w:val="24"/>
        </w:rPr>
        <w:t> </w:t>
      </w:r>
      <w:r>
        <w:rPr>
          <w:sz w:val="24"/>
        </w:rPr>
        <w:t>of</w:t>
      </w:r>
      <w:r>
        <w:rPr>
          <w:spacing w:val="-4"/>
          <w:sz w:val="24"/>
        </w:rPr>
        <w:t> </w:t>
      </w:r>
      <w:r>
        <w:rPr>
          <w:sz w:val="24"/>
        </w:rPr>
        <w:t>clinical</w:t>
      </w:r>
      <w:r>
        <w:rPr>
          <w:spacing w:val="-3"/>
          <w:sz w:val="24"/>
        </w:rPr>
        <w:t> </w:t>
      </w:r>
      <w:r>
        <w:rPr>
          <w:sz w:val="24"/>
        </w:rPr>
        <w:t>investigation.</w:t>
      </w:r>
      <w:r>
        <w:rPr>
          <w:spacing w:val="-3"/>
          <w:sz w:val="24"/>
        </w:rPr>
        <w:t> </w:t>
      </w:r>
      <w:r>
        <w:rPr>
          <w:sz w:val="24"/>
        </w:rPr>
        <w:t>2009.</w:t>
      </w:r>
      <w:r>
        <w:rPr>
          <w:spacing w:val="-3"/>
          <w:sz w:val="24"/>
        </w:rPr>
        <w:t> </w:t>
      </w:r>
      <w:r>
        <w:rPr>
          <w:sz w:val="24"/>
        </w:rPr>
        <w:t>Vol.</w:t>
      </w:r>
      <w:r>
        <w:rPr>
          <w:spacing w:val="-3"/>
          <w:sz w:val="24"/>
        </w:rPr>
        <w:t> </w:t>
      </w:r>
      <w:r>
        <w:rPr>
          <w:sz w:val="24"/>
        </w:rPr>
        <w:t>119.</w:t>
      </w:r>
      <w:r>
        <w:rPr>
          <w:spacing w:val="-3"/>
          <w:sz w:val="24"/>
        </w:rPr>
        <w:t> </w:t>
      </w:r>
      <w:r>
        <w:rPr>
          <w:sz w:val="24"/>
        </w:rPr>
        <w:t>№.</w:t>
      </w:r>
      <w:r>
        <w:rPr>
          <w:spacing w:val="-3"/>
          <w:sz w:val="24"/>
        </w:rPr>
        <w:t> </w:t>
      </w:r>
      <w:r>
        <w:rPr>
          <w:sz w:val="24"/>
        </w:rPr>
        <w:t>5.</w:t>
      </w:r>
    </w:p>
    <w:p>
      <w:pPr>
        <w:pStyle w:val="BodyText"/>
        <w:spacing w:line="275" w:lineRule="exact"/>
      </w:pPr>
      <w:r>
        <w:rPr/>
        <w:t>P. </w:t>
      </w:r>
      <w:r>
        <w:rPr>
          <w:spacing w:val="-2"/>
        </w:rPr>
        <w:t>1322–1334.</w:t>
      </w:r>
    </w:p>
    <w:p>
      <w:pPr>
        <w:pStyle w:val="ListParagraph"/>
        <w:numPr>
          <w:ilvl w:val="0"/>
          <w:numId w:val="25"/>
        </w:numPr>
        <w:tabs>
          <w:tab w:pos="2677" w:val="left" w:leader="none"/>
          <w:tab w:pos="2678" w:val="left" w:leader="none"/>
        </w:tabs>
        <w:spacing w:line="360" w:lineRule="auto" w:before="139" w:after="0"/>
        <w:ind w:left="1981" w:right="799" w:hanging="360"/>
        <w:jc w:val="left"/>
        <w:rPr>
          <w:sz w:val="24"/>
        </w:rPr>
      </w:pPr>
      <w:bookmarkStart w:name="_bookmark189" w:id="238"/>
      <w:bookmarkEnd w:id="238"/>
      <w:r>
        <w:rPr>
          <w:sz w:val="24"/>
        </w:rPr>
        <w:t>Ga</w:t>
      </w:r>
      <w:r>
        <w:rPr>
          <w:sz w:val="24"/>
        </w:rPr>
        <w:t>yet-Boyer C et al. Is there a linear relationship between the dose of ruminant trans-fatty acids and cardiovascular risk markers in healthy subjects: results from a systematic</w:t>
      </w:r>
      <w:r>
        <w:rPr>
          <w:spacing w:val="-4"/>
          <w:sz w:val="24"/>
        </w:rPr>
        <w:t> </w:t>
      </w:r>
      <w:r>
        <w:rPr>
          <w:sz w:val="24"/>
        </w:rPr>
        <w:t>review</w:t>
      </w:r>
      <w:r>
        <w:rPr>
          <w:spacing w:val="-3"/>
          <w:sz w:val="24"/>
        </w:rPr>
        <w:t> </w:t>
      </w:r>
      <w:r>
        <w:rPr>
          <w:sz w:val="24"/>
        </w:rPr>
        <w:t>and</w:t>
      </w:r>
      <w:r>
        <w:rPr>
          <w:spacing w:val="-4"/>
          <w:sz w:val="24"/>
        </w:rPr>
        <w:t> </w:t>
      </w:r>
      <w:r>
        <w:rPr>
          <w:sz w:val="24"/>
        </w:rPr>
        <w:t>meta-regression</w:t>
      </w:r>
      <w:r>
        <w:rPr>
          <w:spacing w:val="-4"/>
          <w:sz w:val="24"/>
        </w:rPr>
        <w:t> </w:t>
      </w:r>
      <w:r>
        <w:rPr>
          <w:sz w:val="24"/>
        </w:rPr>
        <w:t>of</w:t>
      </w:r>
      <w:r>
        <w:rPr>
          <w:spacing w:val="-4"/>
          <w:sz w:val="24"/>
        </w:rPr>
        <w:t> </w:t>
      </w:r>
      <w:r>
        <w:rPr>
          <w:sz w:val="24"/>
        </w:rPr>
        <w:t>randomised</w:t>
      </w:r>
      <w:r>
        <w:rPr>
          <w:spacing w:val="-4"/>
          <w:sz w:val="24"/>
        </w:rPr>
        <w:t> </w:t>
      </w:r>
      <w:r>
        <w:rPr>
          <w:sz w:val="24"/>
        </w:rPr>
        <w:t>clinical</w:t>
      </w:r>
      <w:r>
        <w:rPr>
          <w:spacing w:val="-4"/>
          <w:sz w:val="24"/>
        </w:rPr>
        <w:t> </w:t>
      </w:r>
      <w:r>
        <w:rPr>
          <w:sz w:val="24"/>
        </w:rPr>
        <w:t>trials</w:t>
      </w:r>
      <w:r>
        <w:rPr>
          <w:spacing w:val="-4"/>
          <w:sz w:val="24"/>
        </w:rPr>
        <w:t> </w:t>
      </w:r>
      <w:r>
        <w:rPr>
          <w:sz w:val="24"/>
        </w:rPr>
        <w:t>//</w:t>
      </w:r>
      <w:r>
        <w:rPr>
          <w:spacing w:val="-4"/>
          <w:sz w:val="24"/>
        </w:rPr>
        <w:t> </w:t>
      </w:r>
      <w:r>
        <w:rPr>
          <w:sz w:val="24"/>
        </w:rPr>
        <w:t>British</w:t>
      </w:r>
      <w:r>
        <w:rPr>
          <w:spacing w:val="-4"/>
          <w:sz w:val="24"/>
        </w:rPr>
        <w:t> </w:t>
      </w:r>
      <w:r>
        <w:rPr>
          <w:sz w:val="24"/>
        </w:rPr>
        <w:t>Journal</w:t>
      </w:r>
      <w:r>
        <w:rPr>
          <w:spacing w:val="-4"/>
          <w:sz w:val="24"/>
        </w:rPr>
        <w:t> </w:t>
      </w:r>
      <w:r>
        <w:rPr>
          <w:sz w:val="24"/>
        </w:rPr>
        <w:t>of Nutrition. 2014. Vol. 112. №. 12. P. 1914–1922.</w:t>
      </w:r>
    </w:p>
    <w:p>
      <w:pPr>
        <w:pStyle w:val="ListParagraph"/>
        <w:numPr>
          <w:ilvl w:val="0"/>
          <w:numId w:val="25"/>
        </w:numPr>
        <w:tabs>
          <w:tab w:pos="2677" w:val="left" w:leader="none"/>
          <w:tab w:pos="2678" w:val="left" w:leader="none"/>
        </w:tabs>
        <w:spacing w:line="360" w:lineRule="auto" w:before="0" w:after="0"/>
        <w:ind w:left="1981" w:right="1009" w:hanging="360"/>
        <w:jc w:val="left"/>
        <w:rPr>
          <w:sz w:val="24"/>
        </w:rPr>
      </w:pPr>
      <w:bookmarkStart w:name="_bookmark190" w:id="239"/>
      <w:bookmarkEnd w:id="239"/>
      <w:r>
        <w:rPr>
          <w:sz w:val="24"/>
        </w:rPr>
        <w:t>K</w:t>
      </w:r>
      <w:r>
        <w:rPr>
          <w:sz w:val="24"/>
        </w:rPr>
        <w:t>elley</w:t>
      </w:r>
      <w:r>
        <w:rPr>
          <w:spacing w:val="-4"/>
          <w:sz w:val="24"/>
        </w:rPr>
        <w:t> </w:t>
      </w:r>
      <w:r>
        <w:rPr>
          <w:sz w:val="24"/>
        </w:rPr>
        <w:t>GA,</w:t>
      </w:r>
      <w:r>
        <w:rPr>
          <w:spacing w:val="-4"/>
          <w:sz w:val="24"/>
        </w:rPr>
        <w:t> </w:t>
      </w:r>
      <w:r>
        <w:rPr>
          <w:sz w:val="24"/>
        </w:rPr>
        <w:t>Kelley</w:t>
      </w:r>
      <w:r>
        <w:rPr>
          <w:spacing w:val="-4"/>
          <w:sz w:val="24"/>
        </w:rPr>
        <w:t> </w:t>
      </w:r>
      <w:r>
        <w:rPr>
          <w:sz w:val="24"/>
        </w:rPr>
        <w:t>KS.</w:t>
      </w:r>
      <w:r>
        <w:rPr>
          <w:spacing w:val="-2"/>
          <w:sz w:val="24"/>
        </w:rPr>
        <w:t> </w:t>
      </w:r>
      <w:r>
        <w:rPr>
          <w:sz w:val="24"/>
        </w:rPr>
        <w:t>Impact</w:t>
      </w:r>
      <w:r>
        <w:rPr>
          <w:spacing w:val="-4"/>
          <w:sz w:val="24"/>
        </w:rPr>
        <w:t> </w:t>
      </w:r>
      <w:r>
        <w:rPr>
          <w:sz w:val="24"/>
        </w:rPr>
        <w:t>of</w:t>
      </w:r>
      <w:r>
        <w:rPr>
          <w:spacing w:val="-4"/>
          <w:sz w:val="24"/>
        </w:rPr>
        <w:t> </w:t>
      </w:r>
      <w:r>
        <w:rPr>
          <w:sz w:val="24"/>
        </w:rPr>
        <w:t>progressive</w:t>
      </w:r>
      <w:r>
        <w:rPr>
          <w:spacing w:val="-4"/>
          <w:sz w:val="24"/>
        </w:rPr>
        <w:t> </w:t>
      </w:r>
      <w:r>
        <w:rPr>
          <w:sz w:val="24"/>
        </w:rPr>
        <w:t>resistance</w:t>
      </w:r>
      <w:r>
        <w:rPr>
          <w:spacing w:val="-4"/>
          <w:sz w:val="24"/>
        </w:rPr>
        <w:t> </w:t>
      </w:r>
      <w:r>
        <w:rPr>
          <w:sz w:val="24"/>
        </w:rPr>
        <w:t>training</w:t>
      </w:r>
      <w:r>
        <w:rPr>
          <w:spacing w:val="-4"/>
          <w:sz w:val="24"/>
        </w:rPr>
        <w:t> </w:t>
      </w:r>
      <w:r>
        <w:rPr>
          <w:sz w:val="24"/>
        </w:rPr>
        <w:t>on</w:t>
      </w:r>
      <w:r>
        <w:rPr>
          <w:spacing w:val="-4"/>
          <w:sz w:val="24"/>
        </w:rPr>
        <w:t> </w:t>
      </w:r>
      <w:r>
        <w:rPr>
          <w:sz w:val="24"/>
        </w:rPr>
        <w:t>lipids</w:t>
      </w:r>
      <w:r>
        <w:rPr>
          <w:spacing w:val="-4"/>
          <w:sz w:val="24"/>
        </w:rPr>
        <w:t> </w:t>
      </w:r>
      <w:r>
        <w:rPr>
          <w:sz w:val="24"/>
        </w:rPr>
        <w:t>and lipoproteins in adults: a meta-analysis of randomized controlled trials // Preventive medicine. 2009. Vol. 48. №. 1. P. 9–19.</w:t>
      </w:r>
    </w:p>
    <w:p>
      <w:pPr>
        <w:pStyle w:val="ListParagraph"/>
        <w:numPr>
          <w:ilvl w:val="0"/>
          <w:numId w:val="25"/>
        </w:numPr>
        <w:tabs>
          <w:tab w:pos="2677" w:val="left" w:leader="none"/>
          <w:tab w:pos="2678" w:val="left" w:leader="none"/>
        </w:tabs>
        <w:spacing w:line="360" w:lineRule="auto" w:before="0" w:after="0"/>
        <w:ind w:left="1981" w:right="757" w:hanging="360"/>
        <w:jc w:val="left"/>
        <w:rPr>
          <w:sz w:val="24"/>
        </w:rPr>
      </w:pPr>
      <w:bookmarkStart w:name="_bookmark191" w:id="240"/>
      <w:bookmarkEnd w:id="240"/>
      <w:r>
        <w:rPr>
          <w:sz w:val="24"/>
        </w:rPr>
        <w:t>K</w:t>
      </w:r>
      <w:r>
        <w:rPr>
          <w:sz w:val="24"/>
        </w:rPr>
        <w:t>astorini</w:t>
      </w:r>
      <w:r>
        <w:rPr>
          <w:spacing w:val="-3"/>
          <w:sz w:val="24"/>
        </w:rPr>
        <w:t> </w:t>
      </w:r>
      <w:r>
        <w:rPr>
          <w:sz w:val="24"/>
        </w:rPr>
        <w:t>CM</w:t>
      </w:r>
      <w:r>
        <w:rPr>
          <w:spacing w:val="-3"/>
          <w:sz w:val="24"/>
        </w:rPr>
        <w:t> </w:t>
      </w:r>
      <w:r>
        <w:rPr>
          <w:sz w:val="24"/>
        </w:rPr>
        <w:t>et</w:t>
      </w:r>
      <w:r>
        <w:rPr>
          <w:spacing w:val="-3"/>
          <w:sz w:val="24"/>
        </w:rPr>
        <w:t> </w:t>
      </w:r>
      <w:r>
        <w:rPr>
          <w:sz w:val="24"/>
        </w:rPr>
        <w:t>al.</w:t>
      </w:r>
      <w:r>
        <w:rPr>
          <w:spacing w:val="-3"/>
          <w:sz w:val="24"/>
        </w:rPr>
        <w:t> </w:t>
      </w:r>
      <w:r>
        <w:rPr>
          <w:sz w:val="24"/>
        </w:rPr>
        <w:t>The</w:t>
      </w:r>
      <w:r>
        <w:rPr>
          <w:spacing w:val="-4"/>
          <w:sz w:val="24"/>
        </w:rPr>
        <w:t> </w:t>
      </w:r>
      <w:r>
        <w:rPr>
          <w:sz w:val="24"/>
        </w:rPr>
        <w:t>effect</w:t>
      </w:r>
      <w:r>
        <w:rPr>
          <w:spacing w:val="-3"/>
          <w:sz w:val="24"/>
        </w:rPr>
        <w:t> </w:t>
      </w:r>
      <w:r>
        <w:rPr>
          <w:sz w:val="24"/>
        </w:rPr>
        <w:t>of</w:t>
      </w:r>
      <w:r>
        <w:rPr>
          <w:spacing w:val="-4"/>
          <w:sz w:val="24"/>
        </w:rPr>
        <w:t> </w:t>
      </w:r>
      <w:r>
        <w:rPr>
          <w:sz w:val="24"/>
        </w:rPr>
        <w:t>Mediterranean</w:t>
      </w:r>
      <w:r>
        <w:rPr>
          <w:spacing w:val="-3"/>
          <w:sz w:val="24"/>
        </w:rPr>
        <w:t> </w:t>
      </w:r>
      <w:r>
        <w:rPr>
          <w:sz w:val="24"/>
        </w:rPr>
        <w:t>diet</w:t>
      </w:r>
      <w:r>
        <w:rPr>
          <w:spacing w:val="-3"/>
          <w:sz w:val="24"/>
        </w:rPr>
        <w:t> </w:t>
      </w:r>
      <w:r>
        <w:rPr>
          <w:sz w:val="24"/>
        </w:rPr>
        <w:t>on</w:t>
      </w:r>
      <w:r>
        <w:rPr>
          <w:spacing w:val="-3"/>
          <w:sz w:val="24"/>
        </w:rPr>
        <w:t> </w:t>
      </w:r>
      <w:r>
        <w:rPr>
          <w:sz w:val="24"/>
        </w:rPr>
        <w:t>metabolic</w:t>
      </w:r>
      <w:r>
        <w:rPr>
          <w:spacing w:val="-4"/>
          <w:sz w:val="24"/>
        </w:rPr>
        <w:t> </w:t>
      </w:r>
      <w:r>
        <w:rPr>
          <w:sz w:val="24"/>
        </w:rPr>
        <w:t>syndrome</w:t>
      </w:r>
      <w:r>
        <w:rPr>
          <w:spacing w:val="-4"/>
          <w:sz w:val="24"/>
        </w:rPr>
        <w:t> </w:t>
      </w:r>
      <w:r>
        <w:rPr>
          <w:sz w:val="24"/>
        </w:rPr>
        <w:t>and its components: a meta-analysis of 50 studies and 534,906 individuals // Journal of the American college of cardiology. 2011. Vol. 57. №. 11. P. 1299–1313.</w:t>
      </w:r>
    </w:p>
    <w:p>
      <w:pPr>
        <w:pStyle w:val="ListParagraph"/>
        <w:numPr>
          <w:ilvl w:val="0"/>
          <w:numId w:val="25"/>
        </w:numPr>
        <w:tabs>
          <w:tab w:pos="2677" w:val="left" w:leader="none"/>
          <w:tab w:pos="2678" w:val="left" w:leader="none"/>
        </w:tabs>
        <w:spacing w:line="360" w:lineRule="auto" w:before="0" w:after="0"/>
        <w:ind w:left="1981" w:right="824" w:hanging="360"/>
        <w:jc w:val="left"/>
        <w:rPr>
          <w:sz w:val="24"/>
        </w:rPr>
      </w:pPr>
      <w:bookmarkStart w:name="_bookmark192" w:id="241"/>
      <w:bookmarkEnd w:id="241"/>
      <w:r>
        <w:rPr>
          <w:sz w:val="24"/>
        </w:rPr>
        <w:t>M</w:t>
      </w:r>
      <w:r>
        <w:rPr>
          <w:sz w:val="24"/>
        </w:rPr>
        <w:t>aeda</w:t>
      </w:r>
      <w:r>
        <w:rPr>
          <w:spacing w:val="-1"/>
          <w:sz w:val="24"/>
        </w:rPr>
        <w:t> </w:t>
      </w:r>
      <w:r>
        <w:rPr>
          <w:sz w:val="24"/>
        </w:rPr>
        <w:t>K, Noguchi Y, Fukui T. The</w:t>
      </w:r>
      <w:r>
        <w:rPr>
          <w:spacing w:val="-1"/>
          <w:sz w:val="24"/>
        </w:rPr>
        <w:t> </w:t>
      </w:r>
      <w:r>
        <w:rPr>
          <w:sz w:val="24"/>
        </w:rPr>
        <w:t>effects of cessation from cigarette</w:t>
      </w:r>
      <w:r>
        <w:rPr>
          <w:spacing w:val="-1"/>
          <w:sz w:val="24"/>
        </w:rPr>
        <w:t> </w:t>
      </w:r>
      <w:r>
        <w:rPr>
          <w:sz w:val="24"/>
        </w:rPr>
        <w:t>smoking on</w:t>
      </w:r>
      <w:r>
        <w:rPr>
          <w:spacing w:val="-3"/>
          <w:sz w:val="24"/>
        </w:rPr>
        <w:t> </w:t>
      </w:r>
      <w:r>
        <w:rPr>
          <w:sz w:val="24"/>
        </w:rPr>
        <w:t>the</w:t>
      </w:r>
      <w:r>
        <w:rPr>
          <w:spacing w:val="-4"/>
          <w:sz w:val="24"/>
        </w:rPr>
        <w:t> </w:t>
      </w:r>
      <w:r>
        <w:rPr>
          <w:sz w:val="24"/>
        </w:rPr>
        <w:t>lipid</w:t>
      </w:r>
      <w:r>
        <w:rPr>
          <w:spacing w:val="-3"/>
          <w:sz w:val="24"/>
        </w:rPr>
        <w:t> </w:t>
      </w:r>
      <w:r>
        <w:rPr>
          <w:sz w:val="24"/>
        </w:rPr>
        <w:t>and</w:t>
      </w:r>
      <w:r>
        <w:rPr>
          <w:spacing w:val="-3"/>
          <w:sz w:val="24"/>
        </w:rPr>
        <w:t> </w:t>
      </w:r>
      <w:r>
        <w:rPr>
          <w:sz w:val="24"/>
        </w:rPr>
        <w:t>lipoprotein</w:t>
      </w:r>
      <w:r>
        <w:rPr>
          <w:spacing w:val="-3"/>
          <w:sz w:val="24"/>
        </w:rPr>
        <w:t> </w:t>
      </w:r>
      <w:r>
        <w:rPr>
          <w:sz w:val="24"/>
        </w:rPr>
        <w:t>profiles:</w:t>
      </w:r>
      <w:r>
        <w:rPr>
          <w:spacing w:val="-3"/>
          <w:sz w:val="24"/>
        </w:rPr>
        <w:t> </w:t>
      </w:r>
      <w:r>
        <w:rPr>
          <w:sz w:val="24"/>
        </w:rPr>
        <w:t>a</w:t>
      </w:r>
      <w:r>
        <w:rPr>
          <w:spacing w:val="-4"/>
          <w:sz w:val="24"/>
        </w:rPr>
        <w:t> </w:t>
      </w:r>
      <w:r>
        <w:rPr>
          <w:sz w:val="24"/>
        </w:rPr>
        <w:t>meta-analysis</w:t>
      </w:r>
      <w:r>
        <w:rPr>
          <w:spacing w:val="-3"/>
          <w:sz w:val="24"/>
        </w:rPr>
        <w:t> </w:t>
      </w:r>
      <w:r>
        <w:rPr>
          <w:sz w:val="24"/>
        </w:rPr>
        <w:t>//</w:t>
      </w:r>
      <w:r>
        <w:rPr>
          <w:spacing w:val="-3"/>
          <w:sz w:val="24"/>
        </w:rPr>
        <w:t> </w:t>
      </w:r>
      <w:r>
        <w:rPr>
          <w:sz w:val="24"/>
        </w:rPr>
        <w:t>Preventive</w:t>
      </w:r>
      <w:r>
        <w:rPr>
          <w:spacing w:val="-4"/>
          <w:sz w:val="24"/>
        </w:rPr>
        <w:t> </w:t>
      </w:r>
      <w:r>
        <w:rPr>
          <w:sz w:val="24"/>
        </w:rPr>
        <w:t>medicine.</w:t>
      </w:r>
      <w:r>
        <w:rPr>
          <w:spacing w:val="-3"/>
          <w:sz w:val="24"/>
        </w:rPr>
        <w:t> </w:t>
      </w:r>
      <w:r>
        <w:rPr>
          <w:sz w:val="24"/>
        </w:rPr>
        <w:t>2003.</w:t>
      </w:r>
      <w:r>
        <w:rPr>
          <w:spacing w:val="-3"/>
          <w:sz w:val="24"/>
        </w:rPr>
        <w:t> </w:t>
      </w:r>
      <w:r>
        <w:rPr>
          <w:sz w:val="24"/>
        </w:rPr>
        <w:t>Vol.</w:t>
      </w:r>
    </w:p>
    <w:p>
      <w:pPr>
        <w:pStyle w:val="BodyText"/>
      </w:pPr>
      <w:r>
        <w:rPr/>
        <w:t>37.</w:t>
      </w:r>
      <w:r>
        <w:rPr>
          <w:spacing w:val="-3"/>
        </w:rPr>
        <w:t> </w:t>
      </w:r>
      <w:r>
        <w:rPr/>
        <w:t>№. 4. P. </w:t>
      </w:r>
      <w:r>
        <w:rPr>
          <w:spacing w:val="-2"/>
        </w:rPr>
        <w:t>283–290.</w:t>
      </w:r>
    </w:p>
    <w:p>
      <w:pPr>
        <w:pStyle w:val="ListParagraph"/>
        <w:numPr>
          <w:ilvl w:val="0"/>
          <w:numId w:val="25"/>
        </w:numPr>
        <w:tabs>
          <w:tab w:pos="2677" w:val="left" w:leader="none"/>
          <w:tab w:pos="2678" w:val="left" w:leader="none"/>
        </w:tabs>
        <w:spacing w:line="360" w:lineRule="auto" w:before="137" w:after="0"/>
        <w:ind w:left="1981" w:right="1213" w:hanging="360"/>
        <w:jc w:val="left"/>
        <w:rPr>
          <w:sz w:val="24"/>
        </w:rPr>
      </w:pPr>
      <w:bookmarkStart w:name="_bookmark193" w:id="242"/>
      <w:bookmarkEnd w:id="242"/>
      <w:r>
        <w:rPr>
          <w:sz w:val="24"/>
        </w:rPr>
        <w:t>M</w:t>
      </w:r>
      <w:r>
        <w:rPr>
          <w:sz w:val="24"/>
        </w:rPr>
        <w:t>ark</w:t>
      </w:r>
      <w:r>
        <w:rPr>
          <w:spacing w:val="-3"/>
          <w:sz w:val="24"/>
        </w:rPr>
        <w:t> </w:t>
      </w:r>
      <w:r>
        <w:rPr>
          <w:sz w:val="24"/>
        </w:rPr>
        <w:t>L</w:t>
      </w:r>
      <w:r>
        <w:rPr>
          <w:spacing w:val="-4"/>
          <w:sz w:val="24"/>
        </w:rPr>
        <w:t> </w:t>
      </w:r>
      <w:r>
        <w:rPr>
          <w:sz w:val="24"/>
        </w:rPr>
        <w:t>et</w:t>
      </w:r>
      <w:r>
        <w:rPr>
          <w:spacing w:val="-3"/>
          <w:sz w:val="24"/>
        </w:rPr>
        <w:t> </w:t>
      </w:r>
      <w:r>
        <w:rPr>
          <w:sz w:val="24"/>
        </w:rPr>
        <w:t>al.</w:t>
      </w:r>
      <w:r>
        <w:rPr>
          <w:spacing w:val="-3"/>
          <w:sz w:val="24"/>
        </w:rPr>
        <w:t> </w:t>
      </w:r>
      <w:r>
        <w:rPr>
          <w:sz w:val="24"/>
        </w:rPr>
        <w:t>Effects</w:t>
      </w:r>
      <w:r>
        <w:rPr>
          <w:spacing w:val="-3"/>
          <w:sz w:val="24"/>
        </w:rPr>
        <w:t> </w:t>
      </w:r>
      <w:r>
        <w:rPr>
          <w:sz w:val="24"/>
        </w:rPr>
        <w:t>of</w:t>
      </w:r>
      <w:r>
        <w:rPr>
          <w:spacing w:val="-4"/>
          <w:sz w:val="24"/>
        </w:rPr>
        <w:t> </w:t>
      </w:r>
      <w:r>
        <w:rPr>
          <w:sz w:val="24"/>
        </w:rPr>
        <w:t>ezetimibe</w:t>
      </w:r>
      <w:r>
        <w:rPr>
          <w:spacing w:val="-4"/>
          <w:sz w:val="24"/>
        </w:rPr>
        <w:t> </w:t>
      </w:r>
      <w:r>
        <w:rPr>
          <w:sz w:val="24"/>
        </w:rPr>
        <w:t>on</w:t>
      </w:r>
      <w:r>
        <w:rPr>
          <w:spacing w:val="-3"/>
          <w:sz w:val="24"/>
        </w:rPr>
        <w:t> </w:t>
      </w:r>
      <w:r>
        <w:rPr>
          <w:sz w:val="24"/>
        </w:rPr>
        <w:t>lipids</w:t>
      </w:r>
      <w:r>
        <w:rPr>
          <w:spacing w:val="-3"/>
          <w:sz w:val="24"/>
        </w:rPr>
        <w:t> </w:t>
      </w:r>
      <w:r>
        <w:rPr>
          <w:sz w:val="24"/>
        </w:rPr>
        <w:t>and</w:t>
      </w:r>
      <w:r>
        <w:rPr>
          <w:spacing w:val="-3"/>
          <w:sz w:val="24"/>
        </w:rPr>
        <w:t> </w:t>
      </w:r>
      <w:r>
        <w:rPr>
          <w:sz w:val="24"/>
        </w:rPr>
        <w:t>lipoproteins</w:t>
      </w:r>
      <w:r>
        <w:rPr>
          <w:spacing w:val="-3"/>
          <w:sz w:val="24"/>
        </w:rPr>
        <w:t> </w:t>
      </w:r>
      <w:r>
        <w:rPr>
          <w:sz w:val="24"/>
        </w:rPr>
        <w:t>in</w:t>
      </w:r>
      <w:r>
        <w:rPr>
          <w:spacing w:val="-3"/>
          <w:sz w:val="24"/>
        </w:rPr>
        <w:t> </w:t>
      </w:r>
      <w:r>
        <w:rPr>
          <w:sz w:val="24"/>
        </w:rPr>
        <w:t>patients</w:t>
      </w:r>
      <w:r>
        <w:rPr>
          <w:spacing w:val="-3"/>
          <w:sz w:val="24"/>
        </w:rPr>
        <w:t> </w:t>
      </w:r>
      <w:r>
        <w:rPr>
          <w:sz w:val="24"/>
        </w:rPr>
        <w:t>with hypercholesterolemia and different apolipoprotein E genotypes // Current medical research and opinion. 2007. Vol. 23. №. 7. P. 1541–1548.</w:t>
      </w:r>
    </w:p>
    <w:p>
      <w:pPr>
        <w:pStyle w:val="ListParagraph"/>
        <w:numPr>
          <w:ilvl w:val="0"/>
          <w:numId w:val="25"/>
        </w:numPr>
        <w:tabs>
          <w:tab w:pos="2677" w:val="left" w:leader="none"/>
          <w:tab w:pos="2678" w:val="left" w:leader="none"/>
        </w:tabs>
        <w:spacing w:line="360" w:lineRule="auto" w:before="1" w:after="0"/>
        <w:ind w:left="1981" w:right="866" w:hanging="360"/>
        <w:jc w:val="left"/>
        <w:rPr>
          <w:sz w:val="24"/>
        </w:rPr>
      </w:pPr>
      <w:bookmarkStart w:name="_bookmark194" w:id="243"/>
      <w:bookmarkEnd w:id="243"/>
      <w:r>
        <w:rPr>
          <w:sz w:val="24"/>
        </w:rPr>
        <w:t>L</w:t>
      </w:r>
      <w:r>
        <w:rPr>
          <w:sz w:val="24"/>
        </w:rPr>
        <w:t>i</w:t>
      </w:r>
      <w:r>
        <w:rPr>
          <w:spacing w:val="-2"/>
          <w:sz w:val="24"/>
        </w:rPr>
        <w:t> </w:t>
      </w:r>
      <w:r>
        <w:rPr>
          <w:sz w:val="24"/>
        </w:rPr>
        <w:t>YH</w:t>
      </w:r>
      <w:r>
        <w:rPr>
          <w:spacing w:val="-3"/>
          <w:sz w:val="24"/>
        </w:rPr>
        <w:t> </w:t>
      </w:r>
      <w:r>
        <w:rPr>
          <w:sz w:val="24"/>
        </w:rPr>
        <w:t>et</w:t>
      </w:r>
      <w:r>
        <w:rPr>
          <w:spacing w:val="-2"/>
          <w:sz w:val="24"/>
        </w:rPr>
        <w:t> </w:t>
      </w:r>
      <w:r>
        <w:rPr>
          <w:sz w:val="24"/>
        </w:rPr>
        <w:t>al.</w:t>
      </w:r>
      <w:r>
        <w:rPr>
          <w:spacing w:val="-2"/>
          <w:sz w:val="24"/>
        </w:rPr>
        <w:t> </w:t>
      </w:r>
      <w:r>
        <w:rPr>
          <w:sz w:val="24"/>
        </w:rPr>
        <w:t>2017</w:t>
      </w:r>
      <w:r>
        <w:rPr>
          <w:spacing w:val="-2"/>
          <w:sz w:val="24"/>
        </w:rPr>
        <w:t> </w:t>
      </w:r>
      <w:r>
        <w:rPr>
          <w:sz w:val="24"/>
        </w:rPr>
        <w:t>Taiwan</w:t>
      </w:r>
      <w:r>
        <w:rPr>
          <w:spacing w:val="-2"/>
          <w:sz w:val="24"/>
        </w:rPr>
        <w:t> </w:t>
      </w:r>
      <w:r>
        <w:rPr>
          <w:sz w:val="24"/>
        </w:rPr>
        <w:t>lipid</w:t>
      </w:r>
      <w:r>
        <w:rPr>
          <w:spacing w:val="-2"/>
          <w:sz w:val="24"/>
        </w:rPr>
        <w:t> </w:t>
      </w:r>
      <w:r>
        <w:rPr>
          <w:sz w:val="24"/>
        </w:rPr>
        <w:t>guidelines</w:t>
      </w:r>
      <w:r>
        <w:rPr>
          <w:spacing w:val="-2"/>
          <w:sz w:val="24"/>
        </w:rPr>
        <w:t> </w:t>
      </w:r>
      <w:r>
        <w:rPr>
          <w:sz w:val="24"/>
        </w:rPr>
        <w:t>for</w:t>
      </w:r>
      <w:r>
        <w:rPr>
          <w:spacing w:val="-3"/>
          <w:sz w:val="24"/>
        </w:rPr>
        <w:t> </w:t>
      </w:r>
      <w:r>
        <w:rPr>
          <w:sz w:val="24"/>
        </w:rPr>
        <w:t>high</w:t>
      </w:r>
      <w:r>
        <w:rPr>
          <w:spacing w:val="-2"/>
          <w:sz w:val="24"/>
        </w:rPr>
        <w:t> </w:t>
      </w:r>
      <w:r>
        <w:rPr>
          <w:sz w:val="24"/>
        </w:rPr>
        <w:t>risk</w:t>
      </w:r>
      <w:r>
        <w:rPr>
          <w:spacing w:val="-2"/>
          <w:sz w:val="24"/>
        </w:rPr>
        <w:t> </w:t>
      </w:r>
      <w:r>
        <w:rPr>
          <w:sz w:val="24"/>
        </w:rPr>
        <w:t>patients</w:t>
      </w:r>
      <w:r>
        <w:rPr>
          <w:spacing w:val="-2"/>
          <w:sz w:val="24"/>
        </w:rPr>
        <w:t> </w:t>
      </w:r>
      <w:r>
        <w:rPr>
          <w:sz w:val="24"/>
        </w:rPr>
        <w:t>//</w:t>
      </w:r>
      <w:r>
        <w:rPr>
          <w:spacing w:val="-2"/>
          <w:sz w:val="24"/>
        </w:rPr>
        <w:t> </w:t>
      </w:r>
      <w:r>
        <w:rPr>
          <w:sz w:val="24"/>
        </w:rPr>
        <w:t>Journal</w:t>
      </w:r>
      <w:r>
        <w:rPr>
          <w:spacing w:val="-2"/>
          <w:sz w:val="24"/>
        </w:rPr>
        <w:t> </w:t>
      </w:r>
      <w:r>
        <w:rPr>
          <w:sz w:val="24"/>
        </w:rPr>
        <w:t>of</w:t>
      </w:r>
      <w:r>
        <w:rPr>
          <w:spacing w:val="-3"/>
          <w:sz w:val="24"/>
        </w:rPr>
        <w:t> </w:t>
      </w:r>
      <w:r>
        <w:rPr>
          <w:sz w:val="24"/>
        </w:rPr>
        <w:t>the Formosan Medical Association. 2017. Vol. 116. №. 4. P. 217–248.</w:t>
      </w:r>
    </w:p>
    <w:p>
      <w:pPr>
        <w:pStyle w:val="ListParagraph"/>
        <w:numPr>
          <w:ilvl w:val="0"/>
          <w:numId w:val="25"/>
        </w:numPr>
        <w:tabs>
          <w:tab w:pos="2677" w:val="left" w:leader="none"/>
          <w:tab w:pos="2678" w:val="left" w:leader="none"/>
        </w:tabs>
        <w:spacing w:line="360" w:lineRule="auto" w:before="1" w:after="0"/>
        <w:ind w:left="1981" w:right="632" w:hanging="360"/>
        <w:jc w:val="left"/>
        <w:rPr>
          <w:sz w:val="24"/>
        </w:rPr>
      </w:pPr>
      <w:bookmarkStart w:name="_bookmark195" w:id="244"/>
      <w:bookmarkEnd w:id="244"/>
      <w:r>
        <w:rPr>
          <w:sz w:val="24"/>
        </w:rPr>
        <w:t>M</w:t>
      </w:r>
      <w:r>
        <w:rPr>
          <w:sz w:val="24"/>
        </w:rPr>
        <w:t>eshkov A.N., Ershova A.I., Deev A.D., Metelskaya V.A., Zhernakova Yu.V., Rotar O.P., Shalnova S.A., Boytsov S.A. Distribution of lipid profile values in economically active men and women in Russian Federation: results of the ESSE-RF study</w:t>
      </w:r>
      <w:r>
        <w:rPr>
          <w:spacing w:val="-4"/>
          <w:sz w:val="24"/>
        </w:rPr>
        <w:t> </w:t>
      </w:r>
      <w:r>
        <w:rPr>
          <w:sz w:val="24"/>
        </w:rPr>
        <w:t>for</w:t>
      </w:r>
      <w:r>
        <w:rPr>
          <w:spacing w:val="-5"/>
          <w:sz w:val="24"/>
        </w:rPr>
        <w:t> </w:t>
      </w:r>
      <w:r>
        <w:rPr>
          <w:sz w:val="24"/>
        </w:rPr>
        <w:t>the</w:t>
      </w:r>
      <w:r>
        <w:rPr>
          <w:spacing w:val="-5"/>
          <w:sz w:val="24"/>
        </w:rPr>
        <w:t> </w:t>
      </w:r>
      <w:r>
        <w:rPr>
          <w:sz w:val="24"/>
        </w:rPr>
        <w:t>ears</w:t>
      </w:r>
      <w:r>
        <w:rPr>
          <w:spacing w:val="-4"/>
          <w:sz w:val="24"/>
        </w:rPr>
        <w:t> </w:t>
      </w:r>
      <w:r>
        <w:rPr>
          <w:sz w:val="24"/>
        </w:rPr>
        <w:t>2012-2014.</w:t>
      </w:r>
      <w:r>
        <w:rPr>
          <w:spacing w:val="-4"/>
          <w:sz w:val="24"/>
        </w:rPr>
        <w:t> </w:t>
      </w:r>
      <w:r>
        <w:rPr>
          <w:sz w:val="24"/>
        </w:rPr>
        <w:t>Cardiovascular</w:t>
      </w:r>
      <w:r>
        <w:rPr>
          <w:spacing w:val="-5"/>
          <w:sz w:val="24"/>
        </w:rPr>
        <w:t> </w:t>
      </w:r>
      <w:r>
        <w:rPr>
          <w:sz w:val="24"/>
        </w:rPr>
        <w:t>Therapy</w:t>
      </w:r>
      <w:r>
        <w:rPr>
          <w:spacing w:val="-4"/>
          <w:sz w:val="24"/>
        </w:rPr>
        <w:t> </w:t>
      </w:r>
      <w:r>
        <w:rPr>
          <w:sz w:val="24"/>
        </w:rPr>
        <w:t>and</w:t>
      </w:r>
      <w:r>
        <w:rPr>
          <w:spacing w:val="-4"/>
          <w:sz w:val="24"/>
        </w:rPr>
        <w:t> </w:t>
      </w:r>
      <w:r>
        <w:rPr>
          <w:sz w:val="24"/>
        </w:rPr>
        <w:t>Prevention.</w:t>
      </w:r>
      <w:r>
        <w:rPr>
          <w:spacing w:val="-4"/>
          <w:sz w:val="24"/>
        </w:rPr>
        <w:t> </w:t>
      </w:r>
      <w:r>
        <w:rPr>
          <w:sz w:val="24"/>
        </w:rPr>
        <w:t>2017;16(4):62-67. (In Russ.)</w:t>
      </w:r>
    </w:p>
    <w:p>
      <w:pPr>
        <w:pStyle w:val="BodyText"/>
        <w:spacing w:line="275" w:lineRule="exact"/>
      </w:pPr>
      <w:r>
        <w:rPr/>
        <w:t>Мешков</w:t>
      </w:r>
      <w:r>
        <w:rPr>
          <w:spacing w:val="-3"/>
        </w:rPr>
        <w:t> </w:t>
      </w:r>
      <w:r>
        <w:rPr/>
        <w:t>А.</w:t>
      </w:r>
      <w:r>
        <w:rPr>
          <w:spacing w:val="-1"/>
        </w:rPr>
        <w:t> </w:t>
      </w:r>
      <w:r>
        <w:rPr/>
        <w:t>Н.</w:t>
      </w:r>
      <w:r>
        <w:rPr>
          <w:spacing w:val="-1"/>
        </w:rPr>
        <w:t> </w:t>
      </w:r>
      <w:r>
        <w:rPr/>
        <w:t>и др.</w:t>
      </w:r>
      <w:r>
        <w:rPr>
          <w:spacing w:val="-1"/>
        </w:rPr>
        <w:t> </w:t>
      </w:r>
      <w:r>
        <w:rPr/>
        <w:t>Распределение</w:t>
      </w:r>
      <w:r>
        <w:rPr>
          <w:spacing w:val="-2"/>
        </w:rPr>
        <w:t> </w:t>
      </w:r>
      <w:r>
        <w:rPr/>
        <w:t>показателей</w:t>
      </w:r>
      <w:r>
        <w:rPr>
          <w:spacing w:val="-1"/>
        </w:rPr>
        <w:t> </w:t>
      </w:r>
      <w:r>
        <w:rPr/>
        <w:t>липидного</w:t>
      </w:r>
      <w:r>
        <w:rPr>
          <w:spacing w:val="-1"/>
        </w:rPr>
        <w:t> </w:t>
      </w:r>
      <w:r>
        <w:rPr/>
        <w:t>спектра</w:t>
      </w:r>
      <w:r>
        <w:rPr>
          <w:spacing w:val="-2"/>
        </w:rPr>
        <w:t> </w:t>
      </w:r>
      <w:r>
        <w:rPr/>
        <w:t>у</w:t>
      </w:r>
      <w:r>
        <w:rPr>
          <w:spacing w:val="-4"/>
        </w:rPr>
        <w:t> </w:t>
      </w:r>
      <w:r>
        <w:rPr/>
        <w:t>мужчин </w:t>
      </w:r>
      <w:r>
        <w:rPr>
          <w:spacing w:val="-10"/>
        </w:rPr>
        <w:t>и</w:t>
      </w:r>
    </w:p>
    <w:p>
      <w:pPr>
        <w:spacing w:after="0" w:line="275" w:lineRule="exact"/>
        <w:sectPr>
          <w:pgSz w:w="11910" w:h="16840"/>
          <w:pgMar w:header="0" w:footer="710" w:top="1040" w:bottom="900" w:left="440" w:right="280"/>
        </w:sectPr>
      </w:pPr>
    </w:p>
    <w:p>
      <w:pPr>
        <w:pStyle w:val="BodyText"/>
        <w:spacing w:line="360" w:lineRule="auto" w:before="73"/>
        <w:ind w:right="571"/>
      </w:pPr>
      <w:r>
        <w:rPr/>
        <w:t>женщин</w:t>
      </w:r>
      <w:r>
        <w:rPr>
          <w:spacing w:val="-5"/>
        </w:rPr>
        <w:t> </w:t>
      </w:r>
      <w:r>
        <w:rPr/>
        <w:t>трудоспособного</w:t>
      </w:r>
      <w:r>
        <w:rPr>
          <w:spacing w:val="-7"/>
        </w:rPr>
        <w:t> </w:t>
      </w:r>
      <w:r>
        <w:rPr/>
        <w:t>возраста</w:t>
      </w:r>
      <w:r>
        <w:rPr>
          <w:spacing w:val="-7"/>
        </w:rPr>
        <w:t> </w:t>
      </w:r>
      <w:r>
        <w:rPr/>
        <w:t>в</w:t>
      </w:r>
      <w:r>
        <w:rPr>
          <w:spacing w:val="-7"/>
        </w:rPr>
        <w:t> </w:t>
      </w:r>
      <w:r>
        <w:rPr/>
        <w:t>Российской</w:t>
      </w:r>
      <w:r>
        <w:rPr>
          <w:spacing w:val="-5"/>
        </w:rPr>
        <w:t> </w:t>
      </w:r>
      <w:r>
        <w:rPr/>
        <w:t>Федерации:</w:t>
      </w:r>
      <w:r>
        <w:rPr>
          <w:spacing w:val="-6"/>
        </w:rPr>
        <w:t> </w:t>
      </w:r>
      <w:r>
        <w:rPr/>
        <w:t>результаты исследования эссе-РФ за 2012–2014 гг. // Кардиоваскулярная терапия и профилактика. 2017. Vol. 16. № 4. C. 62–67.</w:t>
      </w:r>
    </w:p>
    <w:p>
      <w:pPr>
        <w:pStyle w:val="ListParagraph"/>
        <w:numPr>
          <w:ilvl w:val="0"/>
          <w:numId w:val="25"/>
        </w:numPr>
        <w:tabs>
          <w:tab w:pos="2677" w:val="left" w:leader="none"/>
          <w:tab w:pos="2678" w:val="left" w:leader="none"/>
        </w:tabs>
        <w:spacing w:line="360" w:lineRule="auto" w:before="2" w:after="0"/>
        <w:ind w:left="1981" w:right="568" w:hanging="360"/>
        <w:jc w:val="left"/>
        <w:rPr>
          <w:sz w:val="24"/>
        </w:rPr>
      </w:pPr>
      <w:bookmarkStart w:name="_bookmark196" w:id="245"/>
      <w:bookmarkEnd w:id="245"/>
      <w:r>
        <w:rPr>
          <w:sz w:val="24"/>
        </w:rPr>
        <w:t>B</w:t>
      </w:r>
      <w:r>
        <w:rPr>
          <w:sz w:val="24"/>
        </w:rPr>
        <w:t>raunwald’s heart disease: a textbook of cardiovascular medicine, Peter Libby et al, 8th ed. Vol. 1. 2012.</w:t>
      </w:r>
    </w:p>
    <w:p>
      <w:pPr>
        <w:pStyle w:val="BodyText"/>
        <w:spacing w:line="360" w:lineRule="auto"/>
        <w:ind w:right="568"/>
        <w:jc w:val="both"/>
      </w:pPr>
      <w:r>
        <w:rPr/>
        <w:t>Болезни сердца по Браунвальду: руководство по сердечно-сосудистой медицине / под ред. П. Либби и др.; пер. с англ. под общ. ред. Р. Г. Оганова. В 4 т. Том 1. М.: Логосфера, 2012.</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197" w:id="246"/>
      <w:bookmarkEnd w:id="246"/>
      <w:r>
        <w:rPr>
          <w:sz w:val="24"/>
        </w:rPr>
        <w:t>T</w:t>
      </w:r>
      <w:r>
        <w:rPr>
          <w:sz w:val="24"/>
        </w:rPr>
        <w:t>he Merck manual of diagnosis and therapyed. MH.Beers [et. al]. 17th ed. XXXIII, 2833 p.: il. Index.: p. 2657–2833. ISBN 0911910-10-7.</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bookmarkStart w:name="_bookmark198" w:id="247"/>
      <w:bookmarkEnd w:id="247"/>
      <w:r>
        <w:rPr>
          <w:sz w:val="24"/>
        </w:rPr>
        <w:t>La</w:t>
      </w:r>
      <w:r>
        <w:rPr>
          <w:sz w:val="24"/>
        </w:rPr>
        <w:t>wler PR et al. Real-world risk of cardiovascular outcomes associated with hypertriglyceridaemia among individuals with atherosclerotic cardiovascular disease and potential eligibility for emerging therapies // Eur Heart J. 2020 Jan 1;41(1):86–94.</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199" w:id="248"/>
      <w:bookmarkEnd w:id="248"/>
      <w:r>
        <w:rPr>
          <w:sz w:val="24"/>
        </w:rPr>
        <w:t>L</w:t>
      </w:r>
      <w:r>
        <w:rPr>
          <w:sz w:val="24"/>
        </w:rPr>
        <w:t>iu J et al. Effects of blood triglycerides on cardiovascular and all-cause</w:t>
      </w:r>
      <w:r>
        <w:rPr>
          <w:spacing w:val="40"/>
          <w:sz w:val="24"/>
        </w:rPr>
        <w:t> </w:t>
      </w:r>
      <w:r>
        <w:rPr>
          <w:sz w:val="24"/>
        </w:rPr>
        <w:t>mortality: a systematic review and meta-analysis of 61 prospective studies // Lipids in health and disease. 2013. Vol. 12. №. 1. P. 1–11.</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bookmarkStart w:name="_bookmark200" w:id="249"/>
      <w:bookmarkEnd w:id="249"/>
      <w:r>
        <w:rPr>
          <w:sz w:val="24"/>
        </w:rPr>
        <w:t>K</w:t>
      </w:r>
      <w:r>
        <w:rPr>
          <w:sz w:val="24"/>
        </w:rPr>
        <w:t>osmas CE, Estrella AM, Sourlas A et al. Inclisiran: A New Promising Agent in the Management of Hypercholesterolemia.</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r>
        <w:rPr>
          <w:sz w:val="24"/>
        </w:rPr>
        <w:t>Levin AA. Treating disease ath the RNA levek with oligonucleotides. NEJM </w:t>
      </w:r>
      <w:r>
        <w:rPr>
          <w:spacing w:val="-2"/>
          <w:sz w:val="24"/>
        </w:rPr>
        <w:t>2019;380:57–70.</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r>
        <w:rPr>
          <w:sz w:val="24"/>
        </w:rPr>
        <w:t>Tsouka AN, Tellis CC, Tseplis AD. Pharmacology of PCK9 Inhibitors: current status and future perspectives. Current Pharmaceutical Design 2018;24:3622–3633.</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01" w:id="250"/>
      <w:bookmarkEnd w:id="250"/>
      <w:r>
        <w:rPr>
          <w:sz w:val="24"/>
        </w:rPr>
        <w:t>W</w:t>
      </w:r>
      <w:r>
        <w:rPr>
          <w:sz w:val="24"/>
        </w:rPr>
        <w:t>ang N, Tall AR. New approach to PCSK9 therapeutics. NEJM 2017; 376:41– </w:t>
      </w:r>
      <w:r>
        <w:rPr>
          <w:spacing w:val="-4"/>
          <w:sz w:val="24"/>
        </w:rPr>
        <w:t>51.</w:t>
      </w:r>
    </w:p>
    <w:p>
      <w:pPr>
        <w:pStyle w:val="ListParagraph"/>
        <w:numPr>
          <w:ilvl w:val="0"/>
          <w:numId w:val="25"/>
        </w:numPr>
        <w:tabs>
          <w:tab w:pos="2677" w:val="left" w:leader="none"/>
          <w:tab w:pos="2678" w:val="left" w:leader="none"/>
        </w:tabs>
        <w:spacing w:line="360" w:lineRule="auto" w:before="0" w:after="0"/>
        <w:ind w:left="1981" w:right="566" w:hanging="360"/>
        <w:jc w:val="both"/>
        <w:rPr>
          <w:sz w:val="24"/>
        </w:rPr>
      </w:pPr>
      <w:bookmarkStart w:name="_bookmark202" w:id="251"/>
      <w:bookmarkEnd w:id="251"/>
      <w:r>
        <w:rPr>
          <w:sz w:val="24"/>
        </w:rPr>
        <w:t>R</w:t>
      </w:r>
      <w:r>
        <w:rPr>
          <w:sz w:val="24"/>
        </w:rPr>
        <w:t>ay KK, Phill M, Scot Wright R et al. Two phase 3 trials of Inclisiran in patients with elevated LDL cholesterol. NEJM 2020;382:1507–1519</w:t>
      </w:r>
    </w:p>
    <w:p>
      <w:pPr>
        <w:pStyle w:val="ListParagraph"/>
        <w:numPr>
          <w:ilvl w:val="0"/>
          <w:numId w:val="25"/>
        </w:numPr>
        <w:tabs>
          <w:tab w:pos="2677" w:val="left" w:leader="none"/>
          <w:tab w:pos="2678" w:val="left" w:leader="none"/>
        </w:tabs>
        <w:spacing w:line="360" w:lineRule="auto" w:before="0" w:after="0"/>
        <w:ind w:left="1981" w:right="569" w:hanging="360"/>
        <w:jc w:val="both"/>
        <w:rPr>
          <w:sz w:val="24"/>
        </w:rPr>
      </w:pPr>
      <w:bookmarkStart w:name="_bookmark203" w:id="252"/>
      <w:bookmarkEnd w:id="252"/>
      <w:r>
        <w:rPr>
          <w:sz w:val="24"/>
        </w:rPr>
        <w:t>R</w:t>
      </w:r>
      <w:r>
        <w:rPr>
          <w:sz w:val="24"/>
        </w:rPr>
        <w:t>aal JF, Kallend D, Ray KK et al. Inclisiran for the Treatment of Heterozygous Familial Hypercholesterolemia. NEJM 2020; 382:1520–1530.</w:t>
      </w:r>
    </w:p>
    <w:p>
      <w:pPr>
        <w:pStyle w:val="ListParagraph"/>
        <w:numPr>
          <w:ilvl w:val="0"/>
          <w:numId w:val="25"/>
        </w:numPr>
        <w:tabs>
          <w:tab w:pos="2677" w:val="left" w:leader="none"/>
          <w:tab w:pos="2678" w:val="left" w:leader="none"/>
        </w:tabs>
        <w:spacing w:line="360" w:lineRule="auto" w:before="0" w:after="0"/>
        <w:ind w:left="1981" w:right="566" w:hanging="360"/>
        <w:jc w:val="both"/>
        <w:rPr>
          <w:sz w:val="24"/>
        </w:rPr>
      </w:pPr>
      <w:bookmarkStart w:name="_bookmark204" w:id="253"/>
      <w:bookmarkEnd w:id="253"/>
      <w:r>
        <w:rPr>
          <w:sz w:val="24"/>
        </w:rPr>
        <w:t>M</w:t>
      </w:r>
      <w:r>
        <w:rPr>
          <w:sz w:val="24"/>
        </w:rPr>
        <w:t>arston NA, Giugliano RP, Im K, Silverman MG, O'Donoghue ML, Wiviott SD, Ference</w:t>
      </w:r>
      <w:r>
        <w:rPr>
          <w:spacing w:val="-2"/>
          <w:sz w:val="24"/>
        </w:rPr>
        <w:t> </w:t>
      </w:r>
      <w:r>
        <w:rPr>
          <w:sz w:val="24"/>
        </w:rPr>
        <w:t>BA,</w:t>
      </w:r>
      <w:r>
        <w:rPr>
          <w:spacing w:val="-1"/>
          <w:sz w:val="24"/>
        </w:rPr>
        <w:t> </w:t>
      </w:r>
      <w:r>
        <w:rPr>
          <w:sz w:val="24"/>
        </w:rPr>
        <w:t>Sabatine</w:t>
      </w:r>
      <w:r>
        <w:rPr>
          <w:spacing w:val="-2"/>
          <w:sz w:val="24"/>
        </w:rPr>
        <w:t> </w:t>
      </w:r>
      <w:r>
        <w:rPr>
          <w:sz w:val="24"/>
        </w:rPr>
        <w:t>MS.</w:t>
      </w:r>
      <w:r>
        <w:rPr>
          <w:spacing w:val="-1"/>
          <w:sz w:val="24"/>
        </w:rPr>
        <w:t> </w:t>
      </w:r>
      <w:r>
        <w:rPr>
          <w:sz w:val="24"/>
        </w:rPr>
        <w:t>Association</w:t>
      </w:r>
      <w:r>
        <w:rPr>
          <w:spacing w:val="-1"/>
          <w:sz w:val="24"/>
        </w:rPr>
        <w:t> </w:t>
      </w:r>
      <w:r>
        <w:rPr>
          <w:sz w:val="24"/>
        </w:rPr>
        <w:t>Between Triglyceride</w:t>
      </w:r>
      <w:r>
        <w:rPr>
          <w:spacing w:val="-2"/>
          <w:sz w:val="24"/>
        </w:rPr>
        <w:t> </w:t>
      </w:r>
      <w:r>
        <w:rPr>
          <w:sz w:val="24"/>
        </w:rPr>
        <w:t>Lowering</w:t>
      </w:r>
      <w:r>
        <w:rPr>
          <w:spacing w:val="-1"/>
          <w:sz w:val="24"/>
        </w:rPr>
        <w:t> </w:t>
      </w:r>
      <w:r>
        <w:rPr>
          <w:sz w:val="24"/>
        </w:rPr>
        <w:t>and</w:t>
      </w:r>
      <w:r>
        <w:rPr>
          <w:spacing w:val="-1"/>
          <w:sz w:val="24"/>
        </w:rPr>
        <w:t> </w:t>
      </w:r>
      <w:r>
        <w:rPr>
          <w:sz w:val="24"/>
        </w:rPr>
        <w:t>Reduction</w:t>
      </w:r>
      <w:r>
        <w:rPr>
          <w:spacing w:val="-1"/>
          <w:sz w:val="24"/>
        </w:rPr>
        <w:t> </w:t>
      </w:r>
      <w:r>
        <w:rPr>
          <w:sz w:val="24"/>
        </w:rPr>
        <w:t>of Cardiovascular Risk Across Multiple Lipid-Lowering Therapeutic Classes: A Systematic Review and Meta-Regression Analysis of Randomized Controlled Trials. Circulation. 2019 Oct 15;140(16):1308–1317.</w:t>
      </w:r>
    </w:p>
    <w:p>
      <w:pPr>
        <w:pStyle w:val="ListParagraph"/>
        <w:numPr>
          <w:ilvl w:val="0"/>
          <w:numId w:val="25"/>
        </w:numPr>
        <w:tabs>
          <w:tab w:pos="2677" w:val="left" w:leader="none"/>
          <w:tab w:pos="2678" w:val="left" w:leader="none"/>
        </w:tabs>
        <w:spacing w:line="360" w:lineRule="auto" w:before="1" w:after="0"/>
        <w:ind w:left="1981" w:right="566" w:hanging="360"/>
        <w:jc w:val="both"/>
        <w:rPr>
          <w:sz w:val="24"/>
        </w:rPr>
      </w:pPr>
      <w:bookmarkStart w:name="_bookmark205" w:id="254"/>
      <w:bookmarkEnd w:id="254"/>
      <w:r>
        <w:rPr>
          <w:sz w:val="24"/>
        </w:rPr>
        <w:t>Rohit</w:t>
      </w:r>
      <w:r>
        <w:rPr>
          <w:sz w:val="24"/>
        </w:rPr>
        <w:t> D, Shankar J. Comparative Study of Atorvastatin and Rosuvastatin in Combination</w:t>
      </w:r>
      <w:r>
        <w:rPr>
          <w:spacing w:val="26"/>
          <w:sz w:val="24"/>
        </w:rPr>
        <w:t> </w:t>
      </w:r>
      <w:r>
        <w:rPr>
          <w:sz w:val="24"/>
        </w:rPr>
        <w:t>with</w:t>
      </w:r>
      <w:r>
        <w:rPr>
          <w:spacing w:val="25"/>
          <w:sz w:val="24"/>
        </w:rPr>
        <w:t> </w:t>
      </w:r>
      <w:r>
        <w:rPr>
          <w:sz w:val="24"/>
        </w:rPr>
        <w:t>Fenofibrate</w:t>
      </w:r>
      <w:r>
        <w:rPr>
          <w:spacing w:val="25"/>
          <w:sz w:val="24"/>
        </w:rPr>
        <w:t> </w:t>
      </w:r>
      <w:r>
        <w:rPr>
          <w:sz w:val="24"/>
        </w:rPr>
        <w:t>in</w:t>
      </w:r>
      <w:r>
        <w:rPr>
          <w:spacing w:val="26"/>
          <w:sz w:val="24"/>
        </w:rPr>
        <w:t> </w:t>
      </w:r>
      <w:r>
        <w:rPr>
          <w:sz w:val="24"/>
        </w:rPr>
        <w:t>mixed</w:t>
      </w:r>
      <w:r>
        <w:rPr>
          <w:spacing w:val="25"/>
          <w:sz w:val="24"/>
        </w:rPr>
        <w:t> </w:t>
      </w:r>
      <w:r>
        <w:rPr>
          <w:sz w:val="24"/>
        </w:rPr>
        <w:t>Hyperlipidemia.</w:t>
      </w:r>
      <w:r>
        <w:rPr>
          <w:spacing w:val="28"/>
          <w:sz w:val="24"/>
        </w:rPr>
        <w:t> </w:t>
      </w:r>
      <w:r>
        <w:rPr>
          <w:sz w:val="24"/>
        </w:rPr>
        <w:t>Int</w:t>
      </w:r>
      <w:r>
        <w:rPr>
          <w:spacing w:val="26"/>
          <w:sz w:val="24"/>
        </w:rPr>
        <w:t> </w:t>
      </w:r>
      <w:r>
        <w:rPr>
          <w:sz w:val="24"/>
        </w:rPr>
        <w:t>J</w:t>
      </w:r>
      <w:r>
        <w:rPr>
          <w:spacing w:val="26"/>
          <w:sz w:val="24"/>
        </w:rPr>
        <w:t> </w:t>
      </w:r>
      <w:r>
        <w:rPr>
          <w:sz w:val="24"/>
        </w:rPr>
        <w:t>Pharmacol</w:t>
      </w:r>
      <w:r>
        <w:rPr>
          <w:spacing w:val="26"/>
          <w:sz w:val="24"/>
        </w:rPr>
        <w:t> </w:t>
      </w:r>
      <w:r>
        <w:rPr>
          <w:sz w:val="24"/>
        </w:rPr>
        <w:t>and</w:t>
      </w:r>
      <w:r>
        <w:rPr>
          <w:spacing w:val="26"/>
          <w:sz w:val="24"/>
        </w:rPr>
        <w:t> </w:t>
      </w:r>
      <w:r>
        <w:rPr>
          <w:sz w:val="24"/>
        </w:rPr>
        <w:t>Clin</w:t>
      </w:r>
      <w:r>
        <w:rPr>
          <w:spacing w:val="25"/>
          <w:sz w:val="24"/>
        </w:rPr>
        <w:t> </w:t>
      </w:r>
      <w:r>
        <w:rPr>
          <w:sz w:val="24"/>
        </w:rPr>
        <w:t>Sci.</w:t>
      </w:r>
    </w:p>
    <w:p>
      <w:pPr>
        <w:spacing w:after="0" w:line="360" w:lineRule="auto"/>
        <w:jc w:val="both"/>
        <w:rPr>
          <w:sz w:val="24"/>
        </w:rPr>
        <w:sectPr>
          <w:pgSz w:w="11910" w:h="16840"/>
          <w:pgMar w:header="0" w:footer="710" w:top="1040" w:bottom="900" w:left="440" w:right="280"/>
        </w:sectPr>
      </w:pPr>
    </w:p>
    <w:p>
      <w:pPr>
        <w:pStyle w:val="BodyText"/>
        <w:spacing w:before="73"/>
      </w:pPr>
      <w:r>
        <w:rPr>
          <w:spacing w:val="-2"/>
        </w:rPr>
        <w:t>2016;5(1):25–31.</w:t>
      </w:r>
    </w:p>
    <w:p>
      <w:pPr>
        <w:pStyle w:val="ListParagraph"/>
        <w:numPr>
          <w:ilvl w:val="0"/>
          <w:numId w:val="25"/>
        </w:numPr>
        <w:tabs>
          <w:tab w:pos="2677" w:val="left" w:leader="none"/>
          <w:tab w:pos="2678" w:val="left" w:leader="none"/>
        </w:tabs>
        <w:spacing w:line="360" w:lineRule="auto" w:before="139" w:after="0"/>
        <w:ind w:left="1981" w:right="567" w:hanging="360"/>
        <w:jc w:val="both"/>
        <w:rPr>
          <w:sz w:val="24"/>
        </w:rPr>
      </w:pPr>
      <w:r>
        <w:rPr>
          <w:sz w:val="24"/>
        </w:rPr>
        <w:t>Bangalore S, Kamalakkannan G, Parkar S, Messerli FH. Fixed-dose combinations improve medication compliance: a meta-analysis. American Journal of Medicine 2007; 120(8): 713–719.</w:t>
      </w:r>
    </w:p>
    <w:p>
      <w:pPr>
        <w:pStyle w:val="ListParagraph"/>
        <w:numPr>
          <w:ilvl w:val="0"/>
          <w:numId w:val="25"/>
        </w:numPr>
        <w:tabs>
          <w:tab w:pos="2677" w:val="left" w:leader="none"/>
          <w:tab w:pos="2678" w:val="left" w:leader="none"/>
        </w:tabs>
        <w:spacing w:line="360" w:lineRule="auto" w:before="0" w:after="0"/>
        <w:ind w:left="1981" w:right="568" w:hanging="360"/>
        <w:jc w:val="both"/>
        <w:rPr>
          <w:sz w:val="24"/>
        </w:rPr>
      </w:pPr>
      <w:bookmarkStart w:name="_bookmark206" w:id="255"/>
      <w:bookmarkEnd w:id="255"/>
      <w:r>
        <w:rPr>
          <w:sz w:val="24"/>
        </w:rPr>
        <w:t>B</w:t>
      </w:r>
      <w:r>
        <w:rPr>
          <w:sz w:val="24"/>
        </w:rPr>
        <w:t>aumgartner A, Drame K, Geutjens S, Airaksinen M (2020). Does the Polypill Improve Patient Adherence Compared to Its Individual Formulations? A Systematic Review. Pharmaceutics, 12(2), 190.</w:t>
      </w:r>
    </w:p>
    <w:p>
      <w:pPr>
        <w:pStyle w:val="ListParagraph"/>
        <w:numPr>
          <w:ilvl w:val="0"/>
          <w:numId w:val="25"/>
        </w:numPr>
        <w:tabs>
          <w:tab w:pos="2677" w:val="left" w:leader="none"/>
          <w:tab w:pos="2678" w:val="left" w:leader="none"/>
        </w:tabs>
        <w:spacing w:line="360" w:lineRule="auto" w:before="1" w:after="0"/>
        <w:ind w:left="1981" w:right="567" w:hanging="360"/>
        <w:jc w:val="both"/>
        <w:rPr>
          <w:sz w:val="24"/>
        </w:rPr>
      </w:pPr>
      <w:bookmarkStart w:name="_bookmark207" w:id="256"/>
      <w:bookmarkEnd w:id="256"/>
      <w:r>
        <w:rPr>
          <w:sz w:val="24"/>
        </w:rPr>
        <w:t>Chol</w:t>
      </w:r>
      <w:r>
        <w:rPr>
          <w:sz w:val="24"/>
        </w:rPr>
        <w:t>esterol Treatment Trialists Collaboration, Kearney PM, Blackwell L, Collins R, Keech A, Simes J, Peto R, Armitage J, Baigent C. Efficacy of cholesterol lowering therapy in 18,686 people with diabetes in 14 randomised trials of</w:t>
      </w:r>
      <w:r>
        <w:rPr>
          <w:spacing w:val="-1"/>
          <w:sz w:val="24"/>
        </w:rPr>
        <w:t> </w:t>
      </w:r>
      <w:r>
        <w:rPr>
          <w:sz w:val="24"/>
        </w:rPr>
        <w:t>statins: a meta-analysis. Lancet 2008;371:117–125.</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08" w:id="257"/>
      <w:bookmarkEnd w:id="257"/>
      <w:r>
        <w:rPr>
          <w:sz w:val="24"/>
        </w:rPr>
        <w:t>Bou</w:t>
      </w:r>
      <w:r>
        <w:rPr>
          <w:sz w:val="24"/>
        </w:rPr>
        <w:t>zidi</w:t>
      </w:r>
      <w:r>
        <w:rPr>
          <w:spacing w:val="-3"/>
          <w:sz w:val="24"/>
        </w:rPr>
        <w:t> </w:t>
      </w:r>
      <w:r>
        <w:rPr>
          <w:sz w:val="24"/>
        </w:rPr>
        <w:t>N</w:t>
      </w:r>
      <w:r>
        <w:rPr>
          <w:spacing w:val="-4"/>
          <w:sz w:val="24"/>
        </w:rPr>
        <w:t> </w:t>
      </w:r>
      <w:r>
        <w:rPr>
          <w:sz w:val="24"/>
        </w:rPr>
        <w:t>et</w:t>
      </w:r>
      <w:r>
        <w:rPr>
          <w:spacing w:val="-3"/>
          <w:sz w:val="24"/>
        </w:rPr>
        <w:t> </w:t>
      </w:r>
      <w:r>
        <w:rPr>
          <w:sz w:val="24"/>
        </w:rPr>
        <w:t>al.</w:t>
      </w:r>
      <w:r>
        <w:rPr>
          <w:spacing w:val="-3"/>
          <w:sz w:val="24"/>
        </w:rPr>
        <w:t> </w:t>
      </w:r>
      <w:r>
        <w:rPr>
          <w:sz w:val="24"/>
        </w:rPr>
        <w:t>Effects</w:t>
      </w:r>
      <w:r>
        <w:rPr>
          <w:spacing w:val="-3"/>
          <w:sz w:val="24"/>
        </w:rPr>
        <w:t> </w:t>
      </w:r>
      <w:r>
        <w:rPr>
          <w:sz w:val="24"/>
        </w:rPr>
        <w:t>of</w:t>
      </w:r>
      <w:r>
        <w:rPr>
          <w:spacing w:val="-4"/>
          <w:sz w:val="24"/>
        </w:rPr>
        <w:t> </w:t>
      </w:r>
      <w:r>
        <w:rPr>
          <w:sz w:val="24"/>
        </w:rPr>
        <w:t>omega-3</w:t>
      </w:r>
      <w:r>
        <w:rPr>
          <w:spacing w:val="-3"/>
          <w:sz w:val="24"/>
        </w:rPr>
        <w:t> </w:t>
      </w:r>
      <w:r>
        <w:rPr>
          <w:sz w:val="24"/>
        </w:rPr>
        <w:t>polyunsaturated</w:t>
      </w:r>
      <w:r>
        <w:rPr>
          <w:spacing w:val="-3"/>
          <w:sz w:val="24"/>
        </w:rPr>
        <w:t> </w:t>
      </w:r>
      <w:r>
        <w:rPr>
          <w:sz w:val="24"/>
        </w:rPr>
        <w:t>fatty-acid</w:t>
      </w:r>
      <w:r>
        <w:rPr>
          <w:spacing w:val="-3"/>
          <w:sz w:val="24"/>
        </w:rPr>
        <w:t> </w:t>
      </w:r>
      <w:r>
        <w:rPr>
          <w:sz w:val="24"/>
        </w:rPr>
        <w:t>supplementation</w:t>
      </w:r>
      <w:r>
        <w:rPr>
          <w:spacing w:val="-3"/>
          <w:sz w:val="24"/>
        </w:rPr>
        <w:t> </w:t>
      </w:r>
      <w:r>
        <w:rPr>
          <w:sz w:val="24"/>
        </w:rPr>
        <w:t>on redox status in chronic renal failure patients with dyslipidemia // Journal of renal nutrition. 2010. Vol. 20. №. 5. P. 321–328.</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r>
        <w:rPr>
          <w:sz w:val="24"/>
        </w:rPr>
        <w:t>Svensson M et al. The effect of n-3 fatty acids on plasma lipids and lipoproteins and blood pressure in patients with CRF // American journal of kidney diseases. 2004. Vol. 44. №. 1. P. 77–83</w:t>
      </w:r>
    </w:p>
    <w:p>
      <w:pPr>
        <w:pStyle w:val="ListParagraph"/>
        <w:numPr>
          <w:ilvl w:val="0"/>
          <w:numId w:val="25"/>
        </w:numPr>
        <w:tabs>
          <w:tab w:pos="2677" w:val="left" w:leader="none"/>
          <w:tab w:pos="2678" w:val="left" w:leader="none"/>
        </w:tabs>
        <w:spacing w:line="240" w:lineRule="auto" w:before="0" w:after="0"/>
        <w:ind w:left="2677" w:right="0" w:hanging="1057"/>
        <w:jc w:val="both"/>
        <w:rPr>
          <w:sz w:val="24"/>
        </w:rPr>
      </w:pPr>
      <w:bookmarkStart w:name="_bookmark209" w:id="258"/>
      <w:bookmarkEnd w:id="258"/>
      <w:r>
        <w:rPr>
          <w:sz w:val="24"/>
        </w:rPr>
        <w:t>L</w:t>
      </w:r>
      <w:r>
        <w:rPr>
          <w:sz w:val="24"/>
        </w:rPr>
        <w:t>i</w:t>
      </w:r>
      <w:r>
        <w:rPr>
          <w:spacing w:val="59"/>
          <w:w w:val="150"/>
          <w:sz w:val="24"/>
        </w:rPr>
        <w:t> </w:t>
      </w:r>
      <w:r>
        <w:rPr>
          <w:sz w:val="24"/>
        </w:rPr>
        <w:t>WL</w:t>
      </w:r>
      <w:r>
        <w:rPr>
          <w:spacing w:val="61"/>
          <w:w w:val="150"/>
          <w:sz w:val="24"/>
        </w:rPr>
        <w:t> </w:t>
      </w:r>
      <w:r>
        <w:rPr>
          <w:sz w:val="24"/>
        </w:rPr>
        <w:t>et</w:t>
      </w:r>
      <w:r>
        <w:rPr>
          <w:spacing w:val="59"/>
          <w:w w:val="150"/>
          <w:sz w:val="24"/>
        </w:rPr>
        <w:t> </w:t>
      </w:r>
      <w:r>
        <w:rPr>
          <w:sz w:val="24"/>
        </w:rPr>
        <w:t>al.</w:t>
      </w:r>
      <w:r>
        <w:rPr>
          <w:spacing w:val="62"/>
          <w:w w:val="150"/>
          <w:sz w:val="24"/>
        </w:rPr>
        <w:t> </w:t>
      </w:r>
      <w:r>
        <w:rPr>
          <w:sz w:val="24"/>
        </w:rPr>
        <w:t>Dietary</w:t>
      </w:r>
      <w:r>
        <w:rPr>
          <w:spacing w:val="61"/>
          <w:w w:val="150"/>
          <w:sz w:val="24"/>
        </w:rPr>
        <w:t> </w:t>
      </w:r>
      <w:r>
        <w:rPr>
          <w:sz w:val="24"/>
        </w:rPr>
        <w:t>Omega-3</w:t>
      </w:r>
      <w:r>
        <w:rPr>
          <w:spacing w:val="61"/>
          <w:w w:val="150"/>
          <w:sz w:val="24"/>
        </w:rPr>
        <w:t> </w:t>
      </w:r>
      <w:r>
        <w:rPr>
          <w:sz w:val="24"/>
        </w:rPr>
        <w:t>Fatty</w:t>
      </w:r>
      <w:r>
        <w:rPr>
          <w:spacing w:val="59"/>
          <w:w w:val="150"/>
          <w:sz w:val="24"/>
        </w:rPr>
        <w:t> </w:t>
      </w:r>
      <w:r>
        <w:rPr>
          <w:sz w:val="24"/>
        </w:rPr>
        <w:t>Acid</w:t>
      </w:r>
      <w:r>
        <w:rPr>
          <w:spacing w:val="61"/>
          <w:w w:val="150"/>
          <w:sz w:val="24"/>
        </w:rPr>
        <w:t> </w:t>
      </w:r>
      <w:r>
        <w:rPr>
          <w:sz w:val="24"/>
        </w:rPr>
        <w:t>Intake</w:t>
      </w:r>
      <w:r>
        <w:rPr>
          <w:spacing w:val="61"/>
          <w:w w:val="150"/>
          <w:sz w:val="24"/>
        </w:rPr>
        <w:t> </w:t>
      </w:r>
      <w:r>
        <w:rPr>
          <w:sz w:val="24"/>
        </w:rPr>
        <w:t>and</w:t>
      </w:r>
      <w:r>
        <w:rPr>
          <w:spacing w:val="61"/>
          <w:w w:val="150"/>
          <w:sz w:val="24"/>
        </w:rPr>
        <w:t> </w:t>
      </w:r>
      <w:r>
        <w:rPr>
          <w:sz w:val="24"/>
        </w:rPr>
        <w:t>Mortality</w:t>
      </w:r>
      <w:r>
        <w:rPr>
          <w:spacing w:val="59"/>
          <w:w w:val="150"/>
          <w:sz w:val="24"/>
        </w:rPr>
        <w:t> </w:t>
      </w:r>
      <w:r>
        <w:rPr>
          <w:sz w:val="24"/>
        </w:rPr>
        <w:t>in</w:t>
      </w:r>
      <w:r>
        <w:rPr>
          <w:spacing w:val="60"/>
          <w:w w:val="150"/>
          <w:sz w:val="24"/>
        </w:rPr>
        <w:t> </w:t>
      </w:r>
      <w:r>
        <w:rPr>
          <w:spacing w:val="-5"/>
          <w:sz w:val="24"/>
        </w:rPr>
        <w:t>CKD</w:t>
      </w:r>
    </w:p>
    <w:p>
      <w:pPr>
        <w:pStyle w:val="BodyText"/>
        <w:spacing w:before="137"/>
        <w:jc w:val="both"/>
      </w:pPr>
      <w:r>
        <w:rPr/>
        <w:t>Population:</w:t>
      </w:r>
      <w:r>
        <w:rPr>
          <w:spacing w:val="10"/>
        </w:rPr>
        <w:t> </w:t>
      </w:r>
      <w:r>
        <w:rPr/>
        <w:t>A</w:t>
      </w:r>
      <w:r>
        <w:rPr>
          <w:spacing w:val="10"/>
        </w:rPr>
        <w:t> </w:t>
      </w:r>
      <w:r>
        <w:rPr/>
        <w:t>1999–2014</w:t>
      </w:r>
      <w:r>
        <w:rPr>
          <w:spacing w:val="11"/>
        </w:rPr>
        <w:t> </w:t>
      </w:r>
      <w:r>
        <w:rPr/>
        <w:t>NHANES</w:t>
      </w:r>
      <w:r>
        <w:rPr>
          <w:spacing w:val="14"/>
        </w:rPr>
        <w:t> </w:t>
      </w:r>
      <w:r>
        <w:rPr/>
        <w:t>Analysis</w:t>
      </w:r>
      <w:r>
        <w:rPr>
          <w:spacing w:val="11"/>
        </w:rPr>
        <w:t> </w:t>
      </w:r>
      <w:r>
        <w:rPr/>
        <w:t>//</w:t>
      </w:r>
      <w:r>
        <w:rPr>
          <w:spacing w:val="12"/>
        </w:rPr>
        <w:t> </w:t>
      </w:r>
      <w:r>
        <w:rPr/>
        <w:t>American</w:t>
      </w:r>
      <w:r>
        <w:rPr>
          <w:spacing w:val="13"/>
        </w:rPr>
        <w:t> </w:t>
      </w:r>
      <w:r>
        <w:rPr/>
        <w:t>Journal</w:t>
      </w:r>
      <w:r>
        <w:rPr>
          <w:spacing w:val="11"/>
        </w:rPr>
        <w:t> </w:t>
      </w:r>
      <w:r>
        <w:rPr/>
        <w:t>of</w:t>
      </w:r>
      <w:r>
        <w:rPr>
          <w:spacing w:val="10"/>
        </w:rPr>
        <w:t> </w:t>
      </w:r>
      <w:r>
        <w:rPr/>
        <w:t>Nephrology.</w:t>
      </w:r>
      <w:r>
        <w:rPr>
          <w:spacing w:val="11"/>
        </w:rPr>
        <w:t> </w:t>
      </w:r>
      <w:r>
        <w:rPr>
          <w:spacing w:val="-2"/>
        </w:rPr>
        <w:t>2021.</w:t>
      </w:r>
    </w:p>
    <w:p>
      <w:pPr>
        <w:pStyle w:val="BodyText"/>
        <w:spacing w:before="139"/>
        <w:jc w:val="both"/>
      </w:pPr>
      <w:r>
        <w:rPr/>
        <w:t>P. </w:t>
      </w:r>
      <w:r>
        <w:rPr>
          <w:spacing w:val="-4"/>
        </w:rPr>
        <w:t>1–10</w:t>
      </w:r>
    </w:p>
    <w:p>
      <w:pPr>
        <w:pStyle w:val="ListParagraph"/>
        <w:numPr>
          <w:ilvl w:val="0"/>
          <w:numId w:val="25"/>
        </w:numPr>
        <w:tabs>
          <w:tab w:pos="2677" w:val="left" w:leader="none"/>
          <w:tab w:pos="2678" w:val="left" w:leader="none"/>
        </w:tabs>
        <w:spacing w:line="360" w:lineRule="auto" w:before="137" w:after="0"/>
        <w:ind w:left="1981" w:right="567" w:hanging="360"/>
        <w:jc w:val="both"/>
        <w:rPr>
          <w:sz w:val="24"/>
        </w:rPr>
      </w:pPr>
      <w:bookmarkStart w:name="_bookmark210" w:id="259"/>
      <w:bookmarkEnd w:id="259"/>
      <w:r>
        <w:rPr>
          <w:sz w:val="24"/>
        </w:rPr>
        <w:t>N</w:t>
      </w:r>
      <w:r>
        <w:rPr>
          <w:sz w:val="24"/>
        </w:rPr>
        <w:t>avarese EP, Kowalewski M, Andreotti F, van Wely M, Camaro C,</w:t>
      </w:r>
      <w:r>
        <w:rPr>
          <w:spacing w:val="40"/>
          <w:sz w:val="24"/>
        </w:rPr>
        <w:t> </w:t>
      </w:r>
      <w:r>
        <w:rPr>
          <w:sz w:val="24"/>
        </w:rPr>
        <w:t>Kolodziejczak M, Gorny B, Wirianta J, Kubica J, Kelm M, de Boer MJ, Suryapranata H. Meta-analysis of time-related benefits of statin therapy in patients with acute coronary syndrome undergoing percutaneous coronary intervention. Am J Cardiol </w:t>
      </w:r>
      <w:r>
        <w:rPr>
          <w:spacing w:val="-2"/>
          <w:sz w:val="24"/>
        </w:rPr>
        <w:t>2014;113:1753_1764.</w:t>
      </w:r>
    </w:p>
    <w:p>
      <w:pPr>
        <w:pStyle w:val="ListParagraph"/>
        <w:numPr>
          <w:ilvl w:val="0"/>
          <w:numId w:val="25"/>
        </w:numPr>
        <w:tabs>
          <w:tab w:pos="2677" w:val="left" w:leader="none"/>
          <w:tab w:pos="2678" w:val="left" w:leader="none"/>
        </w:tabs>
        <w:spacing w:line="360" w:lineRule="auto" w:before="1" w:after="0"/>
        <w:ind w:left="1981" w:right="606" w:hanging="360"/>
        <w:jc w:val="left"/>
        <w:rPr>
          <w:sz w:val="24"/>
        </w:rPr>
      </w:pPr>
      <w:bookmarkStart w:name="_bookmark211" w:id="260"/>
      <w:bookmarkEnd w:id="260"/>
      <w:r>
        <w:rPr>
          <w:sz w:val="24"/>
        </w:rPr>
        <w:t>A</w:t>
      </w:r>
      <w:r>
        <w:rPr>
          <w:sz w:val="24"/>
        </w:rPr>
        <w:t>nthonisen</w:t>
      </w:r>
      <w:r>
        <w:rPr>
          <w:spacing w:val="-4"/>
          <w:sz w:val="24"/>
        </w:rPr>
        <w:t> </w:t>
      </w:r>
      <w:r>
        <w:rPr>
          <w:sz w:val="24"/>
        </w:rPr>
        <w:t>NR</w:t>
      </w:r>
      <w:r>
        <w:rPr>
          <w:spacing w:val="-4"/>
          <w:sz w:val="24"/>
        </w:rPr>
        <w:t> </w:t>
      </w:r>
      <w:r>
        <w:rPr>
          <w:sz w:val="24"/>
        </w:rPr>
        <w:t>et</w:t>
      </w:r>
      <w:r>
        <w:rPr>
          <w:spacing w:val="-4"/>
          <w:sz w:val="24"/>
        </w:rPr>
        <w:t> </w:t>
      </w:r>
      <w:r>
        <w:rPr>
          <w:sz w:val="24"/>
        </w:rPr>
        <w:t>al.</w:t>
      </w:r>
      <w:r>
        <w:rPr>
          <w:spacing w:val="-4"/>
          <w:sz w:val="24"/>
        </w:rPr>
        <w:t> </w:t>
      </w:r>
      <w:r>
        <w:rPr>
          <w:sz w:val="24"/>
        </w:rPr>
        <w:t>The</w:t>
      </w:r>
      <w:r>
        <w:rPr>
          <w:spacing w:val="-5"/>
          <w:sz w:val="24"/>
        </w:rPr>
        <w:t> </w:t>
      </w:r>
      <w:r>
        <w:rPr>
          <w:sz w:val="24"/>
        </w:rPr>
        <w:t>effects</w:t>
      </w:r>
      <w:r>
        <w:rPr>
          <w:spacing w:val="-4"/>
          <w:sz w:val="24"/>
        </w:rPr>
        <w:t> </w:t>
      </w:r>
      <w:r>
        <w:rPr>
          <w:sz w:val="24"/>
        </w:rPr>
        <w:t>of</w:t>
      </w:r>
      <w:r>
        <w:rPr>
          <w:spacing w:val="-3"/>
          <w:sz w:val="24"/>
        </w:rPr>
        <w:t> </w:t>
      </w:r>
      <w:r>
        <w:rPr>
          <w:sz w:val="24"/>
        </w:rPr>
        <w:t>a</w:t>
      </w:r>
      <w:r>
        <w:rPr>
          <w:spacing w:val="-5"/>
          <w:sz w:val="24"/>
        </w:rPr>
        <w:t> </w:t>
      </w:r>
      <w:r>
        <w:rPr>
          <w:sz w:val="24"/>
        </w:rPr>
        <w:t>smoking</w:t>
      </w:r>
      <w:r>
        <w:rPr>
          <w:spacing w:val="-4"/>
          <w:sz w:val="24"/>
        </w:rPr>
        <w:t> </w:t>
      </w:r>
      <w:r>
        <w:rPr>
          <w:sz w:val="24"/>
        </w:rPr>
        <w:t>cessation</w:t>
      </w:r>
      <w:r>
        <w:rPr>
          <w:spacing w:val="-4"/>
          <w:sz w:val="24"/>
        </w:rPr>
        <w:t> </w:t>
      </w:r>
      <w:r>
        <w:rPr>
          <w:sz w:val="24"/>
        </w:rPr>
        <w:t>intervention</w:t>
      </w:r>
      <w:r>
        <w:rPr>
          <w:spacing w:val="-4"/>
          <w:sz w:val="24"/>
        </w:rPr>
        <w:t> </w:t>
      </w:r>
      <w:r>
        <w:rPr>
          <w:sz w:val="24"/>
        </w:rPr>
        <w:t>on</w:t>
      </w:r>
      <w:r>
        <w:rPr>
          <w:spacing w:val="-4"/>
          <w:sz w:val="24"/>
        </w:rPr>
        <w:t> </w:t>
      </w:r>
      <w:r>
        <w:rPr>
          <w:sz w:val="24"/>
        </w:rPr>
        <w:t>14.5-year mortality: a randomized clinical trial //</w:t>
      </w:r>
      <w:r>
        <w:rPr>
          <w:spacing w:val="40"/>
          <w:sz w:val="24"/>
        </w:rPr>
        <w:t> </w:t>
      </w:r>
      <w:r>
        <w:rPr>
          <w:sz w:val="24"/>
        </w:rPr>
        <w:t>Ann Intern Med. 2005. Vol. 142. № 4. P. 233– </w:t>
      </w:r>
      <w:r>
        <w:rPr>
          <w:spacing w:val="-4"/>
          <w:sz w:val="24"/>
        </w:rPr>
        <w:t>239.</w:t>
      </w:r>
    </w:p>
    <w:p>
      <w:pPr>
        <w:pStyle w:val="ListParagraph"/>
        <w:numPr>
          <w:ilvl w:val="0"/>
          <w:numId w:val="25"/>
        </w:numPr>
        <w:tabs>
          <w:tab w:pos="2677" w:val="left" w:leader="none"/>
          <w:tab w:pos="2678" w:val="left" w:leader="none"/>
        </w:tabs>
        <w:spacing w:line="360" w:lineRule="auto" w:before="0" w:after="0"/>
        <w:ind w:left="1981" w:right="1001" w:hanging="360"/>
        <w:jc w:val="left"/>
        <w:rPr>
          <w:sz w:val="24"/>
        </w:rPr>
      </w:pPr>
      <w:bookmarkStart w:name="_bookmark212" w:id="261"/>
      <w:bookmarkEnd w:id="261"/>
      <w:r>
        <w:rPr>
          <w:sz w:val="24"/>
        </w:rPr>
        <w:t>H</w:t>
      </w:r>
      <w:r>
        <w:rPr>
          <w:sz w:val="24"/>
        </w:rPr>
        <w:t>ughes</w:t>
      </w:r>
      <w:r>
        <w:rPr>
          <w:spacing w:val="-3"/>
          <w:sz w:val="24"/>
        </w:rPr>
        <w:t> </w:t>
      </w:r>
      <w:r>
        <w:rPr>
          <w:sz w:val="24"/>
        </w:rPr>
        <w:t>JR</w:t>
      </w:r>
      <w:r>
        <w:rPr>
          <w:spacing w:val="-3"/>
          <w:sz w:val="24"/>
        </w:rPr>
        <w:t> </w:t>
      </w:r>
      <w:r>
        <w:rPr>
          <w:sz w:val="24"/>
        </w:rPr>
        <w:t>et</w:t>
      </w:r>
      <w:r>
        <w:rPr>
          <w:spacing w:val="-3"/>
          <w:sz w:val="24"/>
        </w:rPr>
        <w:t> </w:t>
      </w:r>
      <w:r>
        <w:rPr>
          <w:sz w:val="24"/>
        </w:rPr>
        <w:t>al.</w:t>
      </w:r>
      <w:r>
        <w:rPr>
          <w:spacing w:val="-3"/>
          <w:sz w:val="24"/>
        </w:rPr>
        <w:t> </w:t>
      </w:r>
      <w:r>
        <w:rPr>
          <w:sz w:val="24"/>
        </w:rPr>
        <w:t>Antidepressants</w:t>
      </w:r>
      <w:r>
        <w:rPr>
          <w:spacing w:val="-3"/>
          <w:sz w:val="24"/>
        </w:rPr>
        <w:t> </w:t>
      </w:r>
      <w:r>
        <w:rPr>
          <w:sz w:val="24"/>
        </w:rPr>
        <w:t>for</w:t>
      </w:r>
      <w:r>
        <w:rPr>
          <w:spacing w:val="-4"/>
          <w:sz w:val="24"/>
        </w:rPr>
        <w:t> </w:t>
      </w:r>
      <w:r>
        <w:rPr>
          <w:sz w:val="24"/>
        </w:rPr>
        <w:t>smoking</w:t>
      </w:r>
      <w:r>
        <w:rPr>
          <w:spacing w:val="-3"/>
          <w:sz w:val="24"/>
        </w:rPr>
        <w:t> </w:t>
      </w:r>
      <w:r>
        <w:rPr>
          <w:sz w:val="24"/>
        </w:rPr>
        <w:t>cessation</w:t>
      </w:r>
      <w:r>
        <w:rPr>
          <w:spacing w:val="-3"/>
          <w:sz w:val="24"/>
        </w:rPr>
        <w:t> </w:t>
      </w:r>
      <w:r>
        <w:rPr>
          <w:sz w:val="24"/>
        </w:rPr>
        <w:t>//</w:t>
      </w:r>
      <w:r>
        <w:rPr>
          <w:spacing w:val="40"/>
          <w:sz w:val="24"/>
        </w:rPr>
        <w:t> </w:t>
      </w:r>
      <w:r>
        <w:rPr>
          <w:sz w:val="24"/>
        </w:rPr>
        <w:t>Cochrane</w:t>
      </w:r>
      <w:r>
        <w:rPr>
          <w:spacing w:val="-4"/>
          <w:sz w:val="24"/>
        </w:rPr>
        <w:t> </w:t>
      </w:r>
      <w:r>
        <w:rPr>
          <w:sz w:val="24"/>
        </w:rPr>
        <w:t>Database Syst Rev. 2007. № 1. P. CD000031.</w:t>
      </w:r>
    </w:p>
    <w:p>
      <w:pPr>
        <w:pStyle w:val="ListParagraph"/>
        <w:numPr>
          <w:ilvl w:val="0"/>
          <w:numId w:val="25"/>
        </w:numPr>
        <w:tabs>
          <w:tab w:pos="2677" w:val="left" w:leader="none"/>
          <w:tab w:pos="2678" w:val="left" w:leader="none"/>
        </w:tabs>
        <w:spacing w:line="360" w:lineRule="auto" w:before="0" w:after="0"/>
        <w:ind w:left="1981" w:right="611" w:hanging="360"/>
        <w:jc w:val="left"/>
        <w:rPr>
          <w:sz w:val="24"/>
        </w:rPr>
      </w:pPr>
      <w:bookmarkStart w:name="_bookmark213" w:id="262"/>
      <w:bookmarkEnd w:id="262"/>
      <w:r>
        <w:rPr>
          <w:sz w:val="24"/>
        </w:rPr>
        <w:t>L</w:t>
      </w:r>
      <w:r>
        <w:rPr>
          <w:sz w:val="24"/>
        </w:rPr>
        <w:t>indson N et al. Different doses, durations and modes of delivery of nicotine replacement</w:t>
      </w:r>
      <w:r>
        <w:rPr>
          <w:spacing w:val="-3"/>
          <w:sz w:val="24"/>
        </w:rPr>
        <w:t> </w:t>
      </w:r>
      <w:r>
        <w:rPr>
          <w:sz w:val="24"/>
        </w:rPr>
        <w:t>therapy</w:t>
      </w:r>
      <w:r>
        <w:rPr>
          <w:spacing w:val="-1"/>
          <w:sz w:val="24"/>
        </w:rPr>
        <w:t> </w:t>
      </w:r>
      <w:r>
        <w:rPr>
          <w:sz w:val="24"/>
        </w:rPr>
        <w:t>for</w:t>
      </w:r>
      <w:r>
        <w:rPr>
          <w:spacing w:val="-4"/>
          <w:sz w:val="24"/>
        </w:rPr>
        <w:t> </w:t>
      </w:r>
      <w:r>
        <w:rPr>
          <w:sz w:val="24"/>
        </w:rPr>
        <w:t>smoking</w:t>
      </w:r>
      <w:r>
        <w:rPr>
          <w:spacing w:val="-3"/>
          <w:sz w:val="24"/>
        </w:rPr>
        <w:t> </w:t>
      </w:r>
      <w:r>
        <w:rPr>
          <w:sz w:val="24"/>
        </w:rPr>
        <w:t>cessation</w:t>
      </w:r>
      <w:r>
        <w:rPr>
          <w:spacing w:val="-3"/>
          <w:sz w:val="24"/>
        </w:rPr>
        <w:t> </w:t>
      </w:r>
      <w:r>
        <w:rPr>
          <w:sz w:val="24"/>
        </w:rPr>
        <w:t>//</w:t>
      </w:r>
      <w:r>
        <w:rPr>
          <w:spacing w:val="40"/>
          <w:sz w:val="24"/>
        </w:rPr>
        <w:t> </w:t>
      </w:r>
      <w:r>
        <w:rPr>
          <w:sz w:val="24"/>
        </w:rPr>
        <w:t>Cochrane</w:t>
      </w:r>
      <w:r>
        <w:rPr>
          <w:spacing w:val="-4"/>
          <w:sz w:val="24"/>
        </w:rPr>
        <w:t> </w:t>
      </w:r>
      <w:r>
        <w:rPr>
          <w:sz w:val="24"/>
        </w:rPr>
        <w:t>Database</w:t>
      </w:r>
      <w:r>
        <w:rPr>
          <w:spacing w:val="-4"/>
          <w:sz w:val="24"/>
        </w:rPr>
        <w:t> </w:t>
      </w:r>
      <w:r>
        <w:rPr>
          <w:sz w:val="24"/>
        </w:rPr>
        <w:t>Syst</w:t>
      </w:r>
      <w:r>
        <w:rPr>
          <w:spacing w:val="-3"/>
          <w:sz w:val="24"/>
        </w:rPr>
        <w:t> </w:t>
      </w:r>
      <w:r>
        <w:rPr>
          <w:sz w:val="24"/>
        </w:rPr>
        <w:t>Rev.</w:t>
      </w:r>
      <w:r>
        <w:rPr>
          <w:spacing w:val="-3"/>
          <w:sz w:val="24"/>
        </w:rPr>
        <w:t> </w:t>
      </w:r>
      <w:r>
        <w:rPr>
          <w:sz w:val="24"/>
        </w:rPr>
        <w:t>2019.</w:t>
      </w:r>
      <w:r>
        <w:rPr>
          <w:spacing w:val="-3"/>
          <w:sz w:val="24"/>
        </w:rPr>
        <w:t> </w:t>
      </w:r>
      <w:r>
        <w:rPr>
          <w:sz w:val="24"/>
        </w:rPr>
        <w:t>Vol.</w:t>
      </w:r>
      <w:r>
        <w:rPr>
          <w:spacing w:val="-3"/>
          <w:sz w:val="24"/>
        </w:rPr>
        <w:t> </w:t>
      </w:r>
      <w:r>
        <w:rPr>
          <w:sz w:val="24"/>
        </w:rPr>
        <w:t>4.</w:t>
      </w:r>
    </w:p>
    <w:p>
      <w:pPr>
        <w:pStyle w:val="BodyText"/>
      </w:pPr>
      <w:r>
        <w:rPr/>
        <w:t>№</w:t>
      </w:r>
      <w:r>
        <w:rPr>
          <w:spacing w:val="-1"/>
        </w:rPr>
        <w:t> </w:t>
      </w:r>
      <w:r>
        <w:rPr/>
        <w:t>4. P. </w:t>
      </w:r>
      <w:r>
        <w:rPr>
          <w:spacing w:val="-2"/>
        </w:rPr>
        <w:t>CD013308.</w:t>
      </w:r>
    </w:p>
    <w:p>
      <w:pPr>
        <w:pStyle w:val="ListParagraph"/>
        <w:numPr>
          <w:ilvl w:val="0"/>
          <w:numId w:val="25"/>
        </w:numPr>
        <w:tabs>
          <w:tab w:pos="2677" w:val="left" w:leader="none"/>
          <w:tab w:pos="2678" w:val="left" w:leader="none"/>
        </w:tabs>
        <w:spacing w:line="240" w:lineRule="auto" w:before="139" w:after="0"/>
        <w:ind w:left="2677" w:right="0" w:hanging="1057"/>
        <w:jc w:val="both"/>
        <w:rPr>
          <w:sz w:val="24"/>
        </w:rPr>
      </w:pPr>
      <w:bookmarkStart w:name="_bookmark214" w:id="263"/>
      <w:bookmarkEnd w:id="263"/>
      <w:r>
        <w:rPr>
          <w:sz w:val="24"/>
        </w:rPr>
        <w:t>H</w:t>
      </w:r>
      <w:r>
        <w:rPr>
          <w:sz w:val="24"/>
        </w:rPr>
        <w:t>u</w:t>
      </w:r>
      <w:r>
        <w:rPr>
          <w:spacing w:val="-4"/>
          <w:sz w:val="24"/>
        </w:rPr>
        <w:t> </w:t>
      </w:r>
      <w:r>
        <w:rPr>
          <w:sz w:val="24"/>
        </w:rPr>
        <w:t>Y</w:t>
      </w:r>
      <w:r>
        <w:rPr>
          <w:spacing w:val="-2"/>
          <w:sz w:val="24"/>
        </w:rPr>
        <w:t> </w:t>
      </w:r>
      <w:r>
        <w:rPr>
          <w:sz w:val="24"/>
        </w:rPr>
        <w:t>et</w:t>
      </w:r>
      <w:r>
        <w:rPr>
          <w:spacing w:val="-1"/>
          <w:sz w:val="24"/>
        </w:rPr>
        <w:t> </w:t>
      </w:r>
      <w:r>
        <w:rPr>
          <w:sz w:val="24"/>
        </w:rPr>
        <w:t>al.</w:t>
      </w:r>
      <w:r>
        <w:rPr>
          <w:spacing w:val="-1"/>
          <w:sz w:val="24"/>
        </w:rPr>
        <w:t> </w:t>
      </w:r>
      <w:r>
        <w:rPr>
          <w:sz w:val="24"/>
        </w:rPr>
        <w:t>Smoking</w:t>
      </w:r>
      <w:r>
        <w:rPr>
          <w:spacing w:val="-2"/>
          <w:sz w:val="24"/>
        </w:rPr>
        <w:t> </w:t>
      </w:r>
      <w:r>
        <w:rPr>
          <w:sz w:val="24"/>
        </w:rPr>
        <w:t>Cessation,</w:t>
      </w:r>
      <w:r>
        <w:rPr>
          <w:spacing w:val="-1"/>
          <w:sz w:val="24"/>
        </w:rPr>
        <w:t> </w:t>
      </w:r>
      <w:r>
        <w:rPr>
          <w:sz w:val="24"/>
        </w:rPr>
        <w:t>Weight</w:t>
      </w:r>
      <w:r>
        <w:rPr>
          <w:spacing w:val="-1"/>
          <w:sz w:val="24"/>
        </w:rPr>
        <w:t> </w:t>
      </w:r>
      <w:r>
        <w:rPr>
          <w:sz w:val="24"/>
        </w:rPr>
        <w:t>Change,</w:t>
      </w:r>
      <w:r>
        <w:rPr>
          <w:spacing w:val="1"/>
          <w:sz w:val="24"/>
        </w:rPr>
        <w:t> </w:t>
      </w:r>
      <w:r>
        <w:rPr>
          <w:sz w:val="24"/>
        </w:rPr>
        <w:t>Type</w:t>
      </w:r>
      <w:r>
        <w:rPr>
          <w:spacing w:val="-3"/>
          <w:sz w:val="24"/>
        </w:rPr>
        <w:t> </w:t>
      </w:r>
      <w:r>
        <w:rPr>
          <w:sz w:val="24"/>
        </w:rPr>
        <w:t>2</w:t>
      </w:r>
      <w:r>
        <w:rPr>
          <w:spacing w:val="-1"/>
          <w:sz w:val="24"/>
        </w:rPr>
        <w:t> </w:t>
      </w:r>
      <w:r>
        <w:rPr>
          <w:sz w:val="24"/>
        </w:rPr>
        <w:t>Diabetes,</w:t>
      </w:r>
      <w:r>
        <w:rPr>
          <w:spacing w:val="1"/>
          <w:sz w:val="24"/>
        </w:rPr>
        <w:t> </w:t>
      </w:r>
      <w:r>
        <w:rPr>
          <w:sz w:val="24"/>
        </w:rPr>
        <w:t>and</w:t>
      </w:r>
      <w:r>
        <w:rPr>
          <w:spacing w:val="-1"/>
          <w:sz w:val="24"/>
        </w:rPr>
        <w:t> </w:t>
      </w:r>
      <w:r>
        <w:rPr>
          <w:spacing w:val="-2"/>
          <w:sz w:val="24"/>
        </w:rPr>
        <w:t>Mortality.</w:t>
      </w:r>
    </w:p>
    <w:p>
      <w:pPr>
        <w:pStyle w:val="BodyText"/>
        <w:spacing w:before="136"/>
        <w:jc w:val="both"/>
      </w:pPr>
      <w:r>
        <w:rPr/>
        <w:t>//</w:t>
      </w:r>
      <w:r>
        <w:rPr>
          <w:spacing w:val="-3"/>
        </w:rPr>
        <w:t> </w:t>
      </w:r>
      <w:r>
        <w:rPr/>
        <w:t>N</w:t>
      </w:r>
      <w:r>
        <w:rPr>
          <w:spacing w:val="-1"/>
        </w:rPr>
        <w:t> </w:t>
      </w:r>
      <w:r>
        <w:rPr/>
        <w:t>Engl</w:t>
      </w:r>
      <w:r>
        <w:rPr>
          <w:spacing w:val="-1"/>
        </w:rPr>
        <w:t> </w:t>
      </w:r>
      <w:r>
        <w:rPr/>
        <w:t>J Med. 2018.</w:t>
      </w:r>
      <w:r>
        <w:rPr>
          <w:spacing w:val="-1"/>
        </w:rPr>
        <w:t> </w:t>
      </w:r>
      <w:r>
        <w:rPr/>
        <w:t>Vol. 379. №</w:t>
      </w:r>
      <w:r>
        <w:rPr>
          <w:spacing w:val="-2"/>
        </w:rPr>
        <w:t> </w:t>
      </w:r>
      <w:r>
        <w:rPr/>
        <w:t>7. P. </w:t>
      </w:r>
      <w:r>
        <w:rPr>
          <w:spacing w:val="-2"/>
        </w:rPr>
        <w:t>623–632.</w:t>
      </w:r>
    </w:p>
    <w:p>
      <w:pPr>
        <w:spacing w:after="0"/>
        <w:jc w:val="both"/>
        <w:sectPr>
          <w:pgSz w:w="11910" w:h="16840"/>
          <w:pgMar w:header="0" w:footer="710" w:top="1040" w:bottom="900" w:left="440" w:right="280"/>
        </w:sectPr>
      </w:pPr>
    </w:p>
    <w:p>
      <w:pPr>
        <w:pStyle w:val="ListParagraph"/>
        <w:numPr>
          <w:ilvl w:val="0"/>
          <w:numId w:val="25"/>
        </w:numPr>
        <w:tabs>
          <w:tab w:pos="2677" w:val="left" w:leader="none"/>
          <w:tab w:pos="2678" w:val="left" w:leader="none"/>
        </w:tabs>
        <w:spacing w:line="360" w:lineRule="auto" w:before="73" w:after="0"/>
        <w:ind w:left="1981" w:right="1478" w:hanging="360"/>
        <w:jc w:val="left"/>
        <w:rPr>
          <w:sz w:val="24"/>
        </w:rPr>
      </w:pPr>
      <w:bookmarkStart w:name="_bookmark215" w:id="264"/>
      <w:bookmarkEnd w:id="264"/>
      <w:r>
        <w:rPr>
          <w:sz w:val="24"/>
        </w:rPr>
        <w:t>K</w:t>
      </w:r>
      <w:r>
        <w:rPr>
          <w:sz w:val="24"/>
        </w:rPr>
        <w:t>avousi M et al. Electronic cigarettes and health with special focus on cardiovascular</w:t>
      </w:r>
      <w:r>
        <w:rPr>
          <w:spacing w:val="-5"/>
          <w:sz w:val="24"/>
        </w:rPr>
        <w:t> </w:t>
      </w:r>
      <w:r>
        <w:rPr>
          <w:sz w:val="24"/>
        </w:rPr>
        <w:t>effects:</w:t>
      </w:r>
      <w:r>
        <w:rPr>
          <w:spacing w:val="-4"/>
          <w:sz w:val="24"/>
        </w:rPr>
        <w:t> </w:t>
      </w:r>
      <w:r>
        <w:rPr>
          <w:sz w:val="24"/>
        </w:rPr>
        <w:t>position</w:t>
      </w:r>
      <w:r>
        <w:rPr>
          <w:spacing w:val="-4"/>
          <w:sz w:val="24"/>
        </w:rPr>
        <w:t> </w:t>
      </w:r>
      <w:r>
        <w:rPr>
          <w:sz w:val="24"/>
        </w:rPr>
        <w:t>paper</w:t>
      </w:r>
      <w:r>
        <w:rPr>
          <w:spacing w:val="-5"/>
          <w:sz w:val="24"/>
        </w:rPr>
        <w:t> </w:t>
      </w:r>
      <w:r>
        <w:rPr>
          <w:sz w:val="24"/>
        </w:rPr>
        <w:t>of</w:t>
      </w:r>
      <w:r>
        <w:rPr>
          <w:spacing w:val="-5"/>
          <w:sz w:val="24"/>
        </w:rPr>
        <w:t> </w:t>
      </w:r>
      <w:r>
        <w:rPr>
          <w:sz w:val="24"/>
        </w:rPr>
        <w:t>the</w:t>
      </w:r>
      <w:r>
        <w:rPr>
          <w:spacing w:val="-5"/>
          <w:sz w:val="24"/>
        </w:rPr>
        <w:t> </w:t>
      </w:r>
      <w:r>
        <w:rPr>
          <w:sz w:val="24"/>
        </w:rPr>
        <w:t>European</w:t>
      </w:r>
      <w:r>
        <w:rPr>
          <w:spacing w:val="-4"/>
          <w:sz w:val="24"/>
        </w:rPr>
        <w:t> </w:t>
      </w:r>
      <w:r>
        <w:rPr>
          <w:sz w:val="24"/>
        </w:rPr>
        <w:t>Association</w:t>
      </w:r>
      <w:r>
        <w:rPr>
          <w:spacing w:val="-4"/>
          <w:sz w:val="24"/>
        </w:rPr>
        <w:t> </w:t>
      </w:r>
      <w:r>
        <w:rPr>
          <w:sz w:val="24"/>
        </w:rPr>
        <w:t>of</w:t>
      </w:r>
      <w:r>
        <w:rPr>
          <w:spacing w:val="-5"/>
          <w:sz w:val="24"/>
        </w:rPr>
        <w:t> </w:t>
      </w:r>
      <w:r>
        <w:rPr>
          <w:sz w:val="24"/>
        </w:rPr>
        <w:t>Preventive Cardiology (EAPC) // Eur J Prev Cardiol. 2020. 2047487320941993.</w:t>
      </w:r>
    </w:p>
    <w:p>
      <w:pPr>
        <w:pStyle w:val="ListParagraph"/>
        <w:numPr>
          <w:ilvl w:val="0"/>
          <w:numId w:val="25"/>
        </w:numPr>
        <w:tabs>
          <w:tab w:pos="2677" w:val="left" w:leader="none"/>
          <w:tab w:pos="2678" w:val="left" w:leader="none"/>
        </w:tabs>
        <w:spacing w:line="360" w:lineRule="auto" w:before="2" w:after="0"/>
        <w:ind w:left="1981" w:right="673" w:hanging="360"/>
        <w:jc w:val="left"/>
        <w:rPr>
          <w:sz w:val="24"/>
        </w:rPr>
      </w:pPr>
      <w:bookmarkStart w:name="_bookmark216" w:id="265"/>
      <w:bookmarkEnd w:id="265"/>
      <w:r>
        <w:rPr>
          <w:sz w:val="24"/>
        </w:rPr>
        <w:t>Po</w:t>
      </w:r>
      <w:r>
        <w:rPr>
          <w:sz w:val="24"/>
        </w:rPr>
        <w:t>well</w:t>
      </w:r>
      <w:r>
        <w:rPr>
          <w:spacing w:val="-3"/>
          <w:sz w:val="24"/>
        </w:rPr>
        <w:t> </w:t>
      </w:r>
      <w:r>
        <w:rPr>
          <w:sz w:val="24"/>
        </w:rPr>
        <w:t>K.</w:t>
      </w:r>
      <w:r>
        <w:rPr>
          <w:spacing w:val="-3"/>
          <w:sz w:val="24"/>
        </w:rPr>
        <w:t> </w:t>
      </w:r>
      <w:r>
        <w:rPr>
          <w:sz w:val="24"/>
        </w:rPr>
        <w:t>E.</w:t>
      </w:r>
      <w:r>
        <w:rPr>
          <w:spacing w:val="-3"/>
          <w:sz w:val="24"/>
        </w:rPr>
        <w:t> </w:t>
      </w:r>
      <w:r>
        <w:rPr>
          <w:sz w:val="24"/>
        </w:rPr>
        <w:t>et</w:t>
      </w:r>
      <w:r>
        <w:rPr>
          <w:spacing w:val="-3"/>
          <w:sz w:val="24"/>
        </w:rPr>
        <w:t> </w:t>
      </w:r>
      <w:r>
        <w:rPr>
          <w:sz w:val="24"/>
        </w:rPr>
        <w:t>al.</w:t>
      </w:r>
      <w:r>
        <w:rPr>
          <w:spacing w:val="-3"/>
          <w:sz w:val="24"/>
        </w:rPr>
        <w:t> </w:t>
      </w:r>
      <w:r>
        <w:rPr>
          <w:sz w:val="24"/>
        </w:rPr>
        <w:t>The</w:t>
      </w:r>
      <w:r>
        <w:rPr>
          <w:spacing w:val="-4"/>
          <w:sz w:val="24"/>
        </w:rPr>
        <w:t> </w:t>
      </w:r>
      <w:r>
        <w:rPr>
          <w:sz w:val="24"/>
        </w:rPr>
        <w:t>Scientific</w:t>
      </w:r>
      <w:r>
        <w:rPr>
          <w:spacing w:val="-4"/>
          <w:sz w:val="24"/>
        </w:rPr>
        <w:t> </w:t>
      </w:r>
      <w:r>
        <w:rPr>
          <w:sz w:val="24"/>
        </w:rPr>
        <w:t>Foundation</w:t>
      </w:r>
      <w:r>
        <w:rPr>
          <w:spacing w:val="-3"/>
          <w:sz w:val="24"/>
        </w:rPr>
        <w:t> </w:t>
      </w:r>
      <w:r>
        <w:rPr>
          <w:sz w:val="24"/>
        </w:rPr>
        <w:t>for</w:t>
      </w:r>
      <w:r>
        <w:rPr>
          <w:spacing w:val="-4"/>
          <w:sz w:val="24"/>
        </w:rPr>
        <w:t> </w:t>
      </w:r>
      <w:r>
        <w:rPr>
          <w:sz w:val="24"/>
        </w:rPr>
        <w:t>the</w:t>
      </w:r>
      <w:r>
        <w:rPr>
          <w:spacing w:val="-4"/>
          <w:sz w:val="24"/>
        </w:rPr>
        <w:t> </w:t>
      </w:r>
      <w:r>
        <w:rPr>
          <w:sz w:val="24"/>
        </w:rPr>
        <w:t>Physical</w:t>
      </w:r>
      <w:r>
        <w:rPr>
          <w:spacing w:val="-3"/>
          <w:sz w:val="24"/>
        </w:rPr>
        <w:t> </w:t>
      </w:r>
      <w:r>
        <w:rPr>
          <w:sz w:val="24"/>
        </w:rPr>
        <w:t>Activity</w:t>
      </w:r>
      <w:r>
        <w:rPr>
          <w:spacing w:val="-3"/>
          <w:sz w:val="24"/>
        </w:rPr>
        <w:t> </w:t>
      </w:r>
      <w:r>
        <w:rPr>
          <w:sz w:val="24"/>
        </w:rPr>
        <w:t>Guidelines for Americans, 2nd Edition // J Phys Act Health. 2018. P. 1–11.</w:t>
      </w:r>
    </w:p>
    <w:p>
      <w:pPr>
        <w:pStyle w:val="ListParagraph"/>
        <w:numPr>
          <w:ilvl w:val="0"/>
          <w:numId w:val="25"/>
        </w:numPr>
        <w:tabs>
          <w:tab w:pos="2677" w:val="left" w:leader="none"/>
          <w:tab w:pos="2678" w:val="left" w:leader="none"/>
        </w:tabs>
        <w:spacing w:line="360" w:lineRule="auto" w:before="0" w:after="0"/>
        <w:ind w:left="1981" w:right="626" w:hanging="360"/>
        <w:jc w:val="both"/>
        <w:rPr>
          <w:sz w:val="24"/>
        </w:rPr>
      </w:pPr>
      <w:bookmarkStart w:name="_bookmark217" w:id="266"/>
      <w:bookmarkEnd w:id="266"/>
      <w:r>
        <w:rPr>
          <w:sz w:val="24"/>
        </w:rPr>
        <w:t>H</w:t>
      </w:r>
      <w:r>
        <w:rPr>
          <w:sz w:val="24"/>
        </w:rPr>
        <w:t>upin</w:t>
      </w:r>
      <w:r>
        <w:rPr>
          <w:spacing w:val="-1"/>
          <w:sz w:val="24"/>
        </w:rPr>
        <w:t> </w:t>
      </w:r>
      <w:r>
        <w:rPr>
          <w:sz w:val="24"/>
        </w:rPr>
        <w:t>D</w:t>
      </w:r>
      <w:r>
        <w:rPr>
          <w:spacing w:val="-2"/>
          <w:sz w:val="24"/>
        </w:rPr>
        <w:t> </w:t>
      </w:r>
      <w:r>
        <w:rPr>
          <w:sz w:val="24"/>
        </w:rPr>
        <w:t>et</w:t>
      </w:r>
      <w:r>
        <w:rPr>
          <w:spacing w:val="-1"/>
          <w:sz w:val="24"/>
        </w:rPr>
        <w:t> </w:t>
      </w:r>
      <w:r>
        <w:rPr>
          <w:sz w:val="24"/>
        </w:rPr>
        <w:t>al.</w:t>
      </w:r>
      <w:r>
        <w:rPr>
          <w:spacing w:val="-1"/>
          <w:sz w:val="24"/>
        </w:rPr>
        <w:t> </w:t>
      </w:r>
      <w:r>
        <w:rPr>
          <w:sz w:val="24"/>
        </w:rPr>
        <w:t>Even</w:t>
      </w:r>
      <w:r>
        <w:rPr>
          <w:spacing w:val="-1"/>
          <w:sz w:val="24"/>
        </w:rPr>
        <w:t> </w:t>
      </w:r>
      <w:r>
        <w:rPr>
          <w:sz w:val="24"/>
        </w:rPr>
        <w:t>a</w:t>
      </w:r>
      <w:r>
        <w:rPr>
          <w:spacing w:val="-2"/>
          <w:sz w:val="24"/>
        </w:rPr>
        <w:t> </w:t>
      </w:r>
      <w:r>
        <w:rPr>
          <w:sz w:val="24"/>
        </w:rPr>
        <w:t>low-dose</w:t>
      </w:r>
      <w:r>
        <w:rPr>
          <w:spacing w:val="-2"/>
          <w:sz w:val="24"/>
        </w:rPr>
        <w:t> </w:t>
      </w:r>
      <w:r>
        <w:rPr>
          <w:sz w:val="24"/>
        </w:rPr>
        <w:t>of</w:t>
      </w:r>
      <w:r>
        <w:rPr>
          <w:spacing w:val="-2"/>
          <w:sz w:val="24"/>
        </w:rPr>
        <w:t> </w:t>
      </w:r>
      <w:r>
        <w:rPr>
          <w:sz w:val="24"/>
        </w:rPr>
        <w:t>moderate-to-vigorous</w:t>
      </w:r>
      <w:r>
        <w:rPr>
          <w:spacing w:val="-1"/>
          <w:sz w:val="24"/>
        </w:rPr>
        <w:t> </w:t>
      </w:r>
      <w:r>
        <w:rPr>
          <w:sz w:val="24"/>
        </w:rPr>
        <w:t>physical</w:t>
      </w:r>
      <w:r>
        <w:rPr>
          <w:spacing w:val="-1"/>
          <w:sz w:val="24"/>
        </w:rPr>
        <w:t> </w:t>
      </w:r>
      <w:r>
        <w:rPr>
          <w:sz w:val="24"/>
        </w:rPr>
        <w:t>activity</w:t>
      </w:r>
      <w:r>
        <w:rPr>
          <w:spacing w:val="-1"/>
          <w:sz w:val="24"/>
        </w:rPr>
        <w:t> </w:t>
      </w:r>
      <w:r>
        <w:rPr>
          <w:sz w:val="24"/>
        </w:rPr>
        <w:t>reduces mortality</w:t>
      </w:r>
      <w:r>
        <w:rPr>
          <w:spacing w:val="-3"/>
          <w:sz w:val="24"/>
        </w:rPr>
        <w:t> </w:t>
      </w:r>
      <w:r>
        <w:rPr>
          <w:sz w:val="24"/>
        </w:rPr>
        <w:t>by</w:t>
      </w:r>
      <w:r>
        <w:rPr>
          <w:spacing w:val="-3"/>
          <w:sz w:val="24"/>
        </w:rPr>
        <w:t> </w:t>
      </w:r>
      <w:r>
        <w:rPr>
          <w:sz w:val="24"/>
        </w:rPr>
        <w:t>22%</w:t>
      </w:r>
      <w:r>
        <w:rPr>
          <w:spacing w:val="-4"/>
          <w:sz w:val="24"/>
        </w:rPr>
        <w:t> </w:t>
      </w:r>
      <w:r>
        <w:rPr>
          <w:sz w:val="24"/>
        </w:rPr>
        <w:t>in</w:t>
      </w:r>
      <w:r>
        <w:rPr>
          <w:spacing w:val="-3"/>
          <w:sz w:val="24"/>
        </w:rPr>
        <w:t> </w:t>
      </w:r>
      <w:r>
        <w:rPr>
          <w:sz w:val="24"/>
        </w:rPr>
        <w:t>adults</w:t>
      </w:r>
      <w:r>
        <w:rPr>
          <w:spacing w:val="-3"/>
          <w:sz w:val="24"/>
        </w:rPr>
        <w:t> </w:t>
      </w:r>
      <w:r>
        <w:rPr>
          <w:sz w:val="24"/>
        </w:rPr>
        <w:t>aged</w:t>
      </w:r>
      <w:r>
        <w:rPr>
          <w:spacing w:val="-3"/>
          <w:sz w:val="24"/>
        </w:rPr>
        <w:t> </w:t>
      </w:r>
      <w:r>
        <w:rPr>
          <w:sz w:val="24"/>
        </w:rPr>
        <w:t>&gt;/=60</w:t>
      </w:r>
      <w:r>
        <w:rPr>
          <w:spacing w:val="-3"/>
          <w:sz w:val="24"/>
        </w:rPr>
        <w:t> </w:t>
      </w:r>
      <w:r>
        <w:rPr>
          <w:sz w:val="24"/>
        </w:rPr>
        <w:t>years:</w:t>
      </w:r>
      <w:r>
        <w:rPr>
          <w:spacing w:val="-3"/>
          <w:sz w:val="24"/>
        </w:rPr>
        <w:t> </w:t>
      </w:r>
      <w:r>
        <w:rPr>
          <w:sz w:val="24"/>
        </w:rPr>
        <w:t>a</w:t>
      </w:r>
      <w:r>
        <w:rPr>
          <w:spacing w:val="-4"/>
          <w:sz w:val="24"/>
        </w:rPr>
        <w:t> </w:t>
      </w:r>
      <w:r>
        <w:rPr>
          <w:sz w:val="24"/>
        </w:rPr>
        <w:t>systematic</w:t>
      </w:r>
      <w:r>
        <w:rPr>
          <w:spacing w:val="-4"/>
          <w:sz w:val="24"/>
        </w:rPr>
        <w:t> </w:t>
      </w:r>
      <w:r>
        <w:rPr>
          <w:sz w:val="24"/>
        </w:rPr>
        <w:t>review</w:t>
      </w:r>
      <w:r>
        <w:rPr>
          <w:spacing w:val="-2"/>
          <w:sz w:val="24"/>
        </w:rPr>
        <w:t> </w:t>
      </w:r>
      <w:r>
        <w:rPr>
          <w:sz w:val="24"/>
        </w:rPr>
        <w:t>and</w:t>
      </w:r>
      <w:r>
        <w:rPr>
          <w:spacing w:val="-3"/>
          <w:sz w:val="24"/>
        </w:rPr>
        <w:t> </w:t>
      </w:r>
      <w:r>
        <w:rPr>
          <w:sz w:val="24"/>
        </w:rPr>
        <w:t>meta-analysis</w:t>
      </w:r>
      <w:r>
        <w:rPr>
          <w:spacing w:val="-3"/>
          <w:sz w:val="24"/>
        </w:rPr>
        <w:t> </w:t>
      </w:r>
      <w:r>
        <w:rPr>
          <w:sz w:val="24"/>
        </w:rPr>
        <w:t>//</w:t>
      </w:r>
      <w:r>
        <w:rPr>
          <w:spacing w:val="-3"/>
          <w:sz w:val="24"/>
        </w:rPr>
        <w:t> </w:t>
      </w:r>
      <w:r>
        <w:rPr>
          <w:sz w:val="24"/>
        </w:rPr>
        <w:t>Br J Sports Med. 2015. Vol. 49. № 19. P. 1262–1267.</w:t>
      </w:r>
    </w:p>
    <w:p>
      <w:pPr>
        <w:pStyle w:val="ListParagraph"/>
        <w:numPr>
          <w:ilvl w:val="0"/>
          <w:numId w:val="25"/>
        </w:numPr>
        <w:tabs>
          <w:tab w:pos="2677" w:val="left" w:leader="none"/>
          <w:tab w:pos="2678" w:val="left" w:leader="none"/>
        </w:tabs>
        <w:spacing w:line="360" w:lineRule="auto" w:before="0" w:after="0"/>
        <w:ind w:left="1981" w:right="891" w:hanging="360"/>
        <w:jc w:val="both"/>
        <w:rPr>
          <w:sz w:val="24"/>
        </w:rPr>
      </w:pPr>
      <w:bookmarkStart w:name="_bookmark218" w:id="267"/>
      <w:bookmarkEnd w:id="267"/>
      <w:r>
        <w:rPr>
          <w:sz w:val="24"/>
        </w:rPr>
        <w:t>S</w:t>
      </w:r>
      <w:r>
        <w:rPr>
          <w:sz w:val="24"/>
        </w:rPr>
        <w:t>acks FM et. al. American Heart Association. Dietary Fats and Cardiovascular Disease:</w:t>
      </w:r>
      <w:r>
        <w:rPr>
          <w:spacing w:val="-4"/>
          <w:sz w:val="24"/>
        </w:rPr>
        <w:t> </w:t>
      </w:r>
      <w:r>
        <w:rPr>
          <w:sz w:val="24"/>
        </w:rPr>
        <w:t>A</w:t>
      </w:r>
      <w:r>
        <w:rPr>
          <w:spacing w:val="-5"/>
          <w:sz w:val="24"/>
        </w:rPr>
        <w:t> </w:t>
      </w:r>
      <w:r>
        <w:rPr>
          <w:sz w:val="24"/>
        </w:rPr>
        <w:t>Presidential</w:t>
      </w:r>
      <w:r>
        <w:rPr>
          <w:spacing w:val="-2"/>
          <w:sz w:val="24"/>
        </w:rPr>
        <w:t> </w:t>
      </w:r>
      <w:r>
        <w:rPr>
          <w:sz w:val="24"/>
        </w:rPr>
        <w:t>Advisory</w:t>
      </w:r>
      <w:r>
        <w:rPr>
          <w:spacing w:val="-4"/>
          <w:sz w:val="24"/>
        </w:rPr>
        <w:t> </w:t>
      </w:r>
      <w:r>
        <w:rPr>
          <w:sz w:val="24"/>
        </w:rPr>
        <w:t>From</w:t>
      </w:r>
      <w:r>
        <w:rPr>
          <w:spacing w:val="-4"/>
          <w:sz w:val="24"/>
        </w:rPr>
        <w:t> </w:t>
      </w:r>
      <w:r>
        <w:rPr>
          <w:sz w:val="24"/>
        </w:rPr>
        <w:t>the</w:t>
      </w:r>
      <w:r>
        <w:rPr>
          <w:spacing w:val="-5"/>
          <w:sz w:val="24"/>
        </w:rPr>
        <w:t> </w:t>
      </w:r>
      <w:r>
        <w:rPr>
          <w:sz w:val="24"/>
        </w:rPr>
        <w:t>American</w:t>
      </w:r>
      <w:r>
        <w:rPr>
          <w:spacing w:val="-4"/>
          <w:sz w:val="24"/>
        </w:rPr>
        <w:t> </w:t>
      </w:r>
      <w:r>
        <w:rPr>
          <w:sz w:val="24"/>
        </w:rPr>
        <w:t>Heart</w:t>
      </w:r>
      <w:r>
        <w:rPr>
          <w:spacing w:val="-4"/>
          <w:sz w:val="24"/>
        </w:rPr>
        <w:t> </w:t>
      </w:r>
      <w:r>
        <w:rPr>
          <w:sz w:val="24"/>
        </w:rPr>
        <w:t>Association</w:t>
      </w:r>
      <w:r>
        <w:rPr>
          <w:spacing w:val="-4"/>
          <w:sz w:val="24"/>
        </w:rPr>
        <w:t> </w:t>
      </w:r>
      <w:r>
        <w:rPr>
          <w:sz w:val="24"/>
        </w:rPr>
        <w:t>//</w:t>
      </w:r>
      <w:r>
        <w:rPr>
          <w:spacing w:val="-4"/>
          <w:sz w:val="24"/>
        </w:rPr>
        <w:t> </w:t>
      </w:r>
      <w:r>
        <w:rPr>
          <w:sz w:val="24"/>
        </w:rPr>
        <w:t>Circulation. 2017. Vol. 136. № 10. P. e1e23.</w:t>
      </w:r>
    </w:p>
    <w:p>
      <w:pPr>
        <w:pStyle w:val="ListParagraph"/>
        <w:numPr>
          <w:ilvl w:val="0"/>
          <w:numId w:val="25"/>
        </w:numPr>
        <w:tabs>
          <w:tab w:pos="2677" w:val="left" w:leader="none"/>
          <w:tab w:pos="2678" w:val="left" w:leader="none"/>
        </w:tabs>
        <w:spacing w:line="360" w:lineRule="auto" w:before="0" w:after="0"/>
        <w:ind w:left="1981" w:right="690" w:hanging="360"/>
        <w:jc w:val="left"/>
        <w:rPr>
          <w:sz w:val="24"/>
        </w:rPr>
      </w:pPr>
      <w:bookmarkStart w:name="_bookmark219" w:id="268"/>
      <w:bookmarkEnd w:id="268"/>
      <w:r>
        <w:rPr>
          <w:sz w:val="24"/>
        </w:rPr>
        <w:t>H</w:t>
      </w:r>
      <w:r>
        <w:rPr>
          <w:sz w:val="24"/>
        </w:rPr>
        <w:t>e</w:t>
      </w:r>
      <w:r>
        <w:rPr>
          <w:spacing w:val="-5"/>
          <w:sz w:val="24"/>
        </w:rPr>
        <w:t> </w:t>
      </w:r>
      <w:r>
        <w:rPr>
          <w:sz w:val="24"/>
        </w:rPr>
        <w:t>FJ</w:t>
      </w:r>
      <w:r>
        <w:rPr>
          <w:spacing w:val="-2"/>
          <w:sz w:val="24"/>
        </w:rPr>
        <w:t> </w:t>
      </w:r>
      <w:r>
        <w:rPr>
          <w:sz w:val="24"/>
        </w:rPr>
        <w:t>et.</w:t>
      </w:r>
      <w:r>
        <w:rPr>
          <w:spacing w:val="-4"/>
          <w:sz w:val="24"/>
        </w:rPr>
        <w:t> </w:t>
      </w:r>
      <w:r>
        <w:rPr>
          <w:sz w:val="24"/>
        </w:rPr>
        <w:t>al.</w:t>
      </w:r>
      <w:r>
        <w:rPr>
          <w:spacing w:val="-4"/>
          <w:sz w:val="24"/>
        </w:rPr>
        <w:t> </w:t>
      </w:r>
      <w:r>
        <w:rPr>
          <w:sz w:val="24"/>
        </w:rPr>
        <w:t>Salt</w:t>
      </w:r>
      <w:r>
        <w:rPr>
          <w:spacing w:val="-4"/>
          <w:sz w:val="24"/>
        </w:rPr>
        <w:t> </w:t>
      </w:r>
      <w:r>
        <w:rPr>
          <w:sz w:val="24"/>
        </w:rPr>
        <w:t>Reduction</w:t>
      </w:r>
      <w:r>
        <w:rPr>
          <w:spacing w:val="-4"/>
          <w:sz w:val="24"/>
        </w:rPr>
        <w:t> </w:t>
      </w:r>
      <w:r>
        <w:rPr>
          <w:sz w:val="24"/>
        </w:rPr>
        <w:t>to</w:t>
      </w:r>
      <w:r>
        <w:rPr>
          <w:spacing w:val="-4"/>
          <w:sz w:val="24"/>
        </w:rPr>
        <w:t> </w:t>
      </w:r>
      <w:r>
        <w:rPr>
          <w:sz w:val="24"/>
        </w:rPr>
        <w:t>Prevent</w:t>
      </w:r>
      <w:r>
        <w:rPr>
          <w:spacing w:val="-4"/>
          <w:sz w:val="24"/>
        </w:rPr>
        <w:t> </w:t>
      </w:r>
      <w:r>
        <w:rPr>
          <w:sz w:val="24"/>
        </w:rPr>
        <w:t>Hypertension</w:t>
      </w:r>
      <w:r>
        <w:rPr>
          <w:spacing w:val="-4"/>
          <w:sz w:val="24"/>
        </w:rPr>
        <w:t> </w:t>
      </w:r>
      <w:r>
        <w:rPr>
          <w:sz w:val="24"/>
        </w:rPr>
        <w:t>and</w:t>
      </w:r>
      <w:r>
        <w:rPr>
          <w:spacing w:val="-4"/>
          <w:sz w:val="24"/>
        </w:rPr>
        <w:t> </w:t>
      </w:r>
      <w:r>
        <w:rPr>
          <w:sz w:val="24"/>
        </w:rPr>
        <w:t>Cardiovascular</w:t>
      </w:r>
      <w:r>
        <w:rPr>
          <w:spacing w:val="-5"/>
          <w:sz w:val="24"/>
        </w:rPr>
        <w:t> </w:t>
      </w:r>
      <w:r>
        <w:rPr>
          <w:sz w:val="24"/>
        </w:rPr>
        <w:t>Disease: JACC State-of-the-Art Review // J Am Coll Cardiol. 2020. Vol. 75. № 6. P. 632–647.</w:t>
      </w:r>
    </w:p>
    <w:p>
      <w:pPr>
        <w:pStyle w:val="ListParagraph"/>
        <w:numPr>
          <w:ilvl w:val="0"/>
          <w:numId w:val="25"/>
        </w:numPr>
        <w:tabs>
          <w:tab w:pos="2677" w:val="left" w:leader="none"/>
          <w:tab w:pos="2678" w:val="left" w:leader="none"/>
        </w:tabs>
        <w:spacing w:line="360" w:lineRule="auto" w:before="0" w:after="0"/>
        <w:ind w:left="1981" w:right="1236" w:hanging="360"/>
        <w:jc w:val="left"/>
        <w:rPr>
          <w:sz w:val="24"/>
        </w:rPr>
      </w:pPr>
      <w:bookmarkStart w:name="_bookmark220" w:id="269"/>
      <w:bookmarkEnd w:id="269"/>
      <w:r>
        <w:rPr>
          <w:sz w:val="24"/>
        </w:rPr>
        <w:t>W</w:t>
      </w:r>
      <w:r>
        <w:rPr>
          <w:sz w:val="24"/>
        </w:rPr>
        <w:t>orld Health Organization. A healthy diet sustainably produced. </w:t>
      </w:r>
      <w:r>
        <w:rPr>
          <w:spacing w:val="-2"/>
          <w:sz w:val="24"/>
        </w:rPr>
        <w:t>https://apps.who.int/iris/bitstream/handle/10665/278948/WHO-NMH-NHD-18.12- </w:t>
      </w:r>
      <w:r>
        <w:rPr>
          <w:sz w:val="24"/>
        </w:rPr>
        <w:t>eng.pdf? ua=1 (21 July 2020)</w:t>
      </w:r>
    </w:p>
    <w:p>
      <w:pPr>
        <w:pStyle w:val="ListParagraph"/>
        <w:numPr>
          <w:ilvl w:val="0"/>
          <w:numId w:val="25"/>
        </w:numPr>
        <w:tabs>
          <w:tab w:pos="2677" w:val="left" w:leader="none"/>
          <w:tab w:pos="2678" w:val="left" w:leader="none"/>
        </w:tabs>
        <w:spacing w:line="360" w:lineRule="auto" w:before="0" w:after="0"/>
        <w:ind w:left="1981" w:right="818" w:hanging="360"/>
        <w:jc w:val="left"/>
        <w:rPr>
          <w:sz w:val="24"/>
        </w:rPr>
      </w:pPr>
      <w:bookmarkStart w:name="_bookmark221" w:id="270"/>
      <w:bookmarkEnd w:id="270"/>
      <w:r>
        <w:rPr>
          <w:sz w:val="24"/>
        </w:rPr>
        <w:t>Z</w:t>
      </w:r>
      <w:r>
        <w:rPr>
          <w:sz w:val="24"/>
        </w:rPr>
        <w:t>hong VW et. al. Associations of Processed Meat, Unprocessed Red Meat, Poultry,</w:t>
      </w:r>
      <w:r>
        <w:rPr>
          <w:spacing w:val="-3"/>
          <w:sz w:val="24"/>
        </w:rPr>
        <w:t> </w:t>
      </w:r>
      <w:r>
        <w:rPr>
          <w:sz w:val="24"/>
        </w:rPr>
        <w:t>or</w:t>
      </w:r>
      <w:r>
        <w:rPr>
          <w:spacing w:val="-4"/>
          <w:sz w:val="24"/>
        </w:rPr>
        <w:t> </w:t>
      </w:r>
      <w:r>
        <w:rPr>
          <w:sz w:val="24"/>
        </w:rPr>
        <w:t>Fish</w:t>
      </w:r>
      <w:r>
        <w:rPr>
          <w:spacing w:val="-3"/>
          <w:sz w:val="24"/>
        </w:rPr>
        <w:t> </w:t>
      </w:r>
      <w:r>
        <w:rPr>
          <w:sz w:val="24"/>
        </w:rPr>
        <w:t>Intake</w:t>
      </w:r>
      <w:r>
        <w:rPr>
          <w:spacing w:val="-4"/>
          <w:sz w:val="24"/>
        </w:rPr>
        <w:t> </w:t>
      </w:r>
      <w:r>
        <w:rPr>
          <w:sz w:val="24"/>
        </w:rPr>
        <w:t>With</w:t>
      </w:r>
      <w:r>
        <w:rPr>
          <w:spacing w:val="-3"/>
          <w:sz w:val="24"/>
        </w:rPr>
        <w:t> </w:t>
      </w:r>
      <w:r>
        <w:rPr>
          <w:sz w:val="24"/>
        </w:rPr>
        <w:t>Incident</w:t>
      </w:r>
      <w:r>
        <w:rPr>
          <w:spacing w:val="-3"/>
          <w:sz w:val="24"/>
        </w:rPr>
        <w:t> </w:t>
      </w:r>
      <w:r>
        <w:rPr>
          <w:sz w:val="24"/>
        </w:rPr>
        <w:t>Cardiovascular</w:t>
      </w:r>
      <w:r>
        <w:rPr>
          <w:spacing w:val="-4"/>
          <w:sz w:val="24"/>
        </w:rPr>
        <w:t> </w:t>
      </w:r>
      <w:r>
        <w:rPr>
          <w:sz w:val="24"/>
        </w:rPr>
        <w:t>Disease</w:t>
      </w:r>
      <w:r>
        <w:rPr>
          <w:spacing w:val="-4"/>
          <w:sz w:val="24"/>
        </w:rPr>
        <w:t> </w:t>
      </w:r>
      <w:r>
        <w:rPr>
          <w:sz w:val="24"/>
        </w:rPr>
        <w:t>and</w:t>
      </w:r>
      <w:r>
        <w:rPr>
          <w:spacing w:val="-3"/>
          <w:sz w:val="24"/>
        </w:rPr>
        <w:t> </w:t>
      </w:r>
      <w:r>
        <w:rPr>
          <w:sz w:val="24"/>
        </w:rPr>
        <w:t>AllCause</w:t>
      </w:r>
      <w:r>
        <w:rPr>
          <w:spacing w:val="-2"/>
          <w:sz w:val="24"/>
        </w:rPr>
        <w:t> </w:t>
      </w:r>
      <w:r>
        <w:rPr>
          <w:sz w:val="24"/>
        </w:rPr>
        <w:t>Mortality</w:t>
      </w:r>
      <w:r>
        <w:rPr>
          <w:spacing w:val="-3"/>
          <w:sz w:val="24"/>
        </w:rPr>
        <w:t> </w:t>
      </w:r>
      <w:r>
        <w:rPr>
          <w:sz w:val="24"/>
        </w:rPr>
        <w:t>// JAMA Intern Med. 2020. Vol. 180. № 6. P.503–512.</w:t>
      </w:r>
    </w:p>
    <w:p>
      <w:pPr>
        <w:pStyle w:val="ListParagraph"/>
        <w:numPr>
          <w:ilvl w:val="0"/>
          <w:numId w:val="25"/>
        </w:numPr>
        <w:tabs>
          <w:tab w:pos="2677" w:val="left" w:leader="none"/>
          <w:tab w:pos="2678" w:val="left" w:leader="none"/>
        </w:tabs>
        <w:spacing w:line="360" w:lineRule="auto" w:before="0" w:after="0"/>
        <w:ind w:left="1981" w:right="1143" w:hanging="360"/>
        <w:jc w:val="left"/>
        <w:rPr>
          <w:sz w:val="24"/>
        </w:rPr>
      </w:pPr>
      <w:bookmarkStart w:name="_bookmark222" w:id="271"/>
      <w:bookmarkEnd w:id="271"/>
      <w:r>
        <w:rPr>
          <w:sz w:val="24"/>
        </w:rPr>
        <w:t>W</w:t>
      </w:r>
      <w:r>
        <w:rPr>
          <w:sz w:val="24"/>
        </w:rPr>
        <w:t>orld</w:t>
      </w:r>
      <w:r>
        <w:rPr>
          <w:spacing w:val="-4"/>
          <w:sz w:val="24"/>
        </w:rPr>
        <w:t> </w:t>
      </w:r>
      <w:r>
        <w:rPr>
          <w:sz w:val="24"/>
        </w:rPr>
        <w:t>Health</w:t>
      </w:r>
      <w:r>
        <w:rPr>
          <w:spacing w:val="-4"/>
          <w:sz w:val="24"/>
        </w:rPr>
        <w:t> </w:t>
      </w:r>
      <w:r>
        <w:rPr>
          <w:sz w:val="24"/>
        </w:rPr>
        <w:t>Organization.</w:t>
      </w:r>
      <w:r>
        <w:rPr>
          <w:spacing w:val="-4"/>
          <w:sz w:val="24"/>
        </w:rPr>
        <w:t> </w:t>
      </w:r>
      <w:r>
        <w:rPr>
          <w:sz w:val="24"/>
        </w:rPr>
        <w:t>Guideline:</w:t>
      </w:r>
      <w:r>
        <w:rPr>
          <w:spacing w:val="-4"/>
          <w:sz w:val="24"/>
        </w:rPr>
        <w:t> </w:t>
      </w:r>
      <w:r>
        <w:rPr>
          <w:sz w:val="24"/>
        </w:rPr>
        <w:t>sugars</w:t>
      </w:r>
      <w:r>
        <w:rPr>
          <w:spacing w:val="-4"/>
          <w:sz w:val="24"/>
        </w:rPr>
        <w:t> </w:t>
      </w:r>
      <w:r>
        <w:rPr>
          <w:sz w:val="24"/>
        </w:rPr>
        <w:t>intake</w:t>
      </w:r>
      <w:r>
        <w:rPr>
          <w:spacing w:val="-5"/>
          <w:sz w:val="24"/>
        </w:rPr>
        <w:t> </w:t>
      </w:r>
      <w:r>
        <w:rPr>
          <w:sz w:val="24"/>
        </w:rPr>
        <w:t>for</w:t>
      </w:r>
      <w:r>
        <w:rPr>
          <w:spacing w:val="-3"/>
          <w:sz w:val="24"/>
        </w:rPr>
        <w:t> </w:t>
      </w:r>
      <w:r>
        <w:rPr>
          <w:sz w:val="24"/>
        </w:rPr>
        <w:t>adults</w:t>
      </w:r>
      <w:r>
        <w:rPr>
          <w:spacing w:val="-4"/>
          <w:sz w:val="24"/>
        </w:rPr>
        <w:t> </w:t>
      </w:r>
      <w:r>
        <w:rPr>
          <w:sz w:val="24"/>
        </w:rPr>
        <w:t>and</w:t>
      </w:r>
      <w:r>
        <w:rPr>
          <w:spacing w:val="-4"/>
          <w:sz w:val="24"/>
        </w:rPr>
        <w:t> </w:t>
      </w:r>
      <w:r>
        <w:rPr>
          <w:sz w:val="24"/>
        </w:rPr>
        <w:t>children. https://</w:t>
      </w:r>
      <w:hyperlink r:id="rId7">
        <w:r>
          <w:rPr>
            <w:sz w:val="24"/>
          </w:rPr>
          <w:t>www.who.int/publications/i/item/9789241549028</w:t>
        </w:r>
      </w:hyperlink>
      <w:r>
        <w:rPr>
          <w:sz w:val="24"/>
        </w:rPr>
        <w:t> (21 July 2020).</w:t>
      </w:r>
    </w:p>
    <w:p>
      <w:pPr>
        <w:pStyle w:val="ListParagraph"/>
        <w:numPr>
          <w:ilvl w:val="0"/>
          <w:numId w:val="25"/>
        </w:numPr>
        <w:tabs>
          <w:tab w:pos="2677" w:val="left" w:leader="none"/>
          <w:tab w:pos="2678" w:val="left" w:leader="none"/>
        </w:tabs>
        <w:spacing w:line="360" w:lineRule="auto" w:before="0" w:after="0"/>
        <w:ind w:left="1981" w:right="774" w:hanging="360"/>
        <w:jc w:val="left"/>
        <w:rPr>
          <w:sz w:val="24"/>
        </w:rPr>
      </w:pPr>
      <w:bookmarkStart w:name="_bookmark223" w:id="272"/>
      <w:bookmarkEnd w:id="272"/>
      <w:r>
        <w:rPr>
          <w:sz w:val="24"/>
        </w:rPr>
        <w:t>W</w:t>
      </w:r>
      <w:r>
        <w:rPr>
          <w:sz w:val="24"/>
        </w:rPr>
        <w:t>ood</w:t>
      </w:r>
      <w:r>
        <w:rPr>
          <w:spacing w:val="-5"/>
          <w:sz w:val="24"/>
        </w:rPr>
        <w:t> </w:t>
      </w:r>
      <w:r>
        <w:rPr>
          <w:sz w:val="24"/>
        </w:rPr>
        <w:t>AM</w:t>
      </w:r>
      <w:r>
        <w:rPr>
          <w:spacing w:val="-5"/>
          <w:sz w:val="24"/>
        </w:rPr>
        <w:t> </w:t>
      </w:r>
      <w:r>
        <w:rPr>
          <w:sz w:val="24"/>
        </w:rPr>
        <w:t>et.</w:t>
      </w:r>
      <w:r>
        <w:rPr>
          <w:spacing w:val="-5"/>
          <w:sz w:val="24"/>
        </w:rPr>
        <w:t> </w:t>
      </w:r>
      <w:r>
        <w:rPr>
          <w:sz w:val="24"/>
        </w:rPr>
        <w:t>al.</w:t>
      </w:r>
      <w:r>
        <w:rPr>
          <w:spacing w:val="-5"/>
          <w:sz w:val="24"/>
        </w:rPr>
        <w:t> </w:t>
      </w:r>
      <w:r>
        <w:rPr>
          <w:sz w:val="24"/>
        </w:rPr>
        <w:t>Emerging</w:t>
      </w:r>
      <w:r>
        <w:rPr>
          <w:spacing w:val="-5"/>
          <w:sz w:val="24"/>
        </w:rPr>
        <w:t> </w:t>
      </w:r>
      <w:r>
        <w:rPr>
          <w:sz w:val="24"/>
        </w:rPr>
        <w:t>Risk</w:t>
      </w:r>
      <w:r>
        <w:rPr>
          <w:spacing w:val="-5"/>
          <w:sz w:val="24"/>
        </w:rPr>
        <w:t> </w:t>
      </w:r>
      <w:r>
        <w:rPr>
          <w:sz w:val="24"/>
        </w:rPr>
        <w:t>Factors</w:t>
      </w:r>
      <w:r>
        <w:rPr>
          <w:spacing w:val="-5"/>
          <w:sz w:val="24"/>
        </w:rPr>
        <w:t> </w:t>
      </w:r>
      <w:r>
        <w:rPr>
          <w:sz w:val="24"/>
        </w:rPr>
        <w:t>Collaboration/EPIC-CVD/UK</w:t>
      </w:r>
      <w:r>
        <w:rPr>
          <w:spacing w:val="-6"/>
          <w:sz w:val="24"/>
        </w:rPr>
        <w:t> </w:t>
      </w:r>
      <w:r>
        <w:rPr>
          <w:sz w:val="24"/>
        </w:rPr>
        <w:t>Biobank Alcohol Study Group. Risk thresholds for alcohol consumption: combined analysis of individual-participant data for 599 912 current drinkers in 83 prospective studies // Lancet. 2018. Vol. 391. № 10129. P. 1513–1523.</w:t>
      </w:r>
    </w:p>
    <w:p>
      <w:pPr>
        <w:pStyle w:val="ListParagraph"/>
        <w:numPr>
          <w:ilvl w:val="0"/>
          <w:numId w:val="25"/>
        </w:numPr>
        <w:tabs>
          <w:tab w:pos="2677" w:val="left" w:leader="none"/>
          <w:tab w:pos="2678" w:val="left" w:leader="none"/>
        </w:tabs>
        <w:spacing w:line="360" w:lineRule="auto" w:before="0" w:after="0"/>
        <w:ind w:left="1981" w:right="627" w:hanging="360"/>
        <w:jc w:val="left"/>
        <w:rPr>
          <w:sz w:val="24"/>
        </w:rPr>
      </w:pPr>
      <w:bookmarkStart w:name="_bookmark224" w:id="273"/>
      <w:bookmarkEnd w:id="273"/>
      <w:r>
        <w:rPr>
          <w:sz w:val="24"/>
        </w:rPr>
        <w:t>W</w:t>
      </w:r>
      <w:r>
        <w:rPr>
          <w:sz w:val="24"/>
        </w:rPr>
        <w:t>ing RR et. al. Association of Weight Loss Maintenance and Weight Regain on 4-Year</w:t>
      </w:r>
      <w:r>
        <w:rPr>
          <w:spacing w:val="-4"/>
          <w:sz w:val="24"/>
        </w:rPr>
        <w:t> </w:t>
      </w:r>
      <w:r>
        <w:rPr>
          <w:sz w:val="24"/>
        </w:rPr>
        <w:t>Changes</w:t>
      </w:r>
      <w:r>
        <w:rPr>
          <w:spacing w:val="-3"/>
          <w:sz w:val="24"/>
        </w:rPr>
        <w:t> </w:t>
      </w:r>
      <w:r>
        <w:rPr>
          <w:sz w:val="24"/>
        </w:rPr>
        <w:t>in</w:t>
      </w:r>
      <w:r>
        <w:rPr>
          <w:spacing w:val="-3"/>
          <w:sz w:val="24"/>
        </w:rPr>
        <w:t> </w:t>
      </w:r>
      <w:r>
        <w:rPr>
          <w:sz w:val="24"/>
        </w:rPr>
        <w:t>CVD</w:t>
      </w:r>
      <w:r>
        <w:rPr>
          <w:spacing w:val="-2"/>
          <w:sz w:val="24"/>
        </w:rPr>
        <w:t> </w:t>
      </w:r>
      <w:r>
        <w:rPr>
          <w:sz w:val="24"/>
        </w:rPr>
        <w:t>Risk</w:t>
      </w:r>
      <w:r>
        <w:rPr>
          <w:spacing w:val="-3"/>
          <w:sz w:val="24"/>
        </w:rPr>
        <w:t> </w:t>
      </w:r>
      <w:r>
        <w:rPr>
          <w:sz w:val="24"/>
        </w:rPr>
        <w:t>Factors:</w:t>
      </w:r>
      <w:r>
        <w:rPr>
          <w:spacing w:val="-3"/>
          <w:sz w:val="24"/>
        </w:rPr>
        <w:t> </w:t>
      </w:r>
      <w:r>
        <w:rPr>
          <w:sz w:val="24"/>
        </w:rPr>
        <w:t>the</w:t>
      </w:r>
      <w:r>
        <w:rPr>
          <w:spacing w:val="-4"/>
          <w:sz w:val="24"/>
        </w:rPr>
        <w:t> </w:t>
      </w:r>
      <w:r>
        <w:rPr>
          <w:sz w:val="24"/>
        </w:rPr>
        <w:t>Action</w:t>
      </w:r>
      <w:r>
        <w:rPr>
          <w:spacing w:val="-1"/>
          <w:sz w:val="24"/>
        </w:rPr>
        <w:t> </w:t>
      </w:r>
      <w:r>
        <w:rPr>
          <w:sz w:val="24"/>
        </w:rPr>
        <w:t>for</w:t>
      </w:r>
      <w:r>
        <w:rPr>
          <w:spacing w:val="-4"/>
          <w:sz w:val="24"/>
        </w:rPr>
        <w:t> </w:t>
      </w:r>
      <w:r>
        <w:rPr>
          <w:sz w:val="24"/>
        </w:rPr>
        <w:t>Health</w:t>
      </w:r>
      <w:r>
        <w:rPr>
          <w:spacing w:val="-3"/>
          <w:sz w:val="24"/>
        </w:rPr>
        <w:t> </w:t>
      </w:r>
      <w:r>
        <w:rPr>
          <w:sz w:val="24"/>
        </w:rPr>
        <w:t>in</w:t>
      </w:r>
      <w:r>
        <w:rPr>
          <w:spacing w:val="-3"/>
          <w:sz w:val="24"/>
        </w:rPr>
        <w:t> </w:t>
      </w:r>
      <w:r>
        <w:rPr>
          <w:sz w:val="24"/>
        </w:rPr>
        <w:t>Diabetes</w:t>
      </w:r>
      <w:r>
        <w:rPr>
          <w:spacing w:val="-3"/>
          <w:sz w:val="24"/>
        </w:rPr>
        <w:t> </w:t>
      </w:r>
      <w:r>
        <w:rPr>
          <w:sz w:val="24"/>
        </w:rPr>
        <w:t>(Look</w:t>
      </w:r>
      <w:r>
        <w:rPr>
          <w:spacing w:val="-3"/>
          <w:sz w:val="24"/>
        </w:rPr>
        <w:t> </w:t>
      </w:r>
      <w:r>
        <w:rPr>
          <w:sz w:val="24"/>
        </w:rPr>
        <w:t>AHEAD) Clinical Trial //</w:t>
      </w:r>
      <w:r>
        <w:rPr>
          <w:spacing w:val="40"/>
          <w:sz w:val="24"/>
        </w:rPr>
        <w:t> </w:t>
      </w:r>
      <w:r>
        <w:rPr>
          <w:sz w:val="24"/>
        </w:rPr>
        <w:t>Diabetes Care. 2016. Vol. 39 № 12. P. 1345–1355.</w:t>
      </w:r>
    </w:p>
    <w:p>
      <w:pPr>
        <w:pStyle w:val="ListParagraph"/>
        <w:numPr>
          <w:ilvl w:val="0"/>
          <w:numId w:val="25"/>
        </w:numPr>
        <w:tabs>
          <w:tab w:pos="2677" w:val="left" w:leader="none"/>
          <w:tab w:pos="2678" w:val="left" w:leader="none"/>
        </w:tabs>
        <w:spacing w:line="360" w:lineRule="auto" w:before="0" w:after="0"/>
        <w:ind w:left="1981" w:right="1088" w:hanging="360"/>
        <w:jc w:val="left"/>
        <w:rPr>
          <w:sz w:val="24"/>
        </w:rPr>
      </w:pPr>
      <w:bookmarkStart w:name="_bookmark225" w:id="274"/>
      <w:bookmarkEnd w:id="274"/>
      <w:r>
        <w:rPr>
          <w:sz w:val="24"/>
        </w:rPr>
        <w:t>C</w:t>
      </w:r>
      <w:r>
        <w:rPr>
          <w:sz w:val="24"/>
        </w:rPr>
        <w:t>ardoso L et. al. Short- and long-term mortality after bariatric surgery: A systematic</w:t>
      </w:r>
      <w:r>
        <w:rPr>
          <w:spacing w:val="-4"/>
          <w:sz w:val="24"/>
        </w:rPr>
        <w:t> </w:t>
      </w:r>
      <w:r>
        <w:rPr>
          <w:sz w:val="24"/>
        </w:rPr>
        <w:t>review</w:t>
      </w:r>
      <w:r>
        <w:rPr>
          <w:spacing w:val="-2"/>
          <w:sz w:val="24"/>
        </w:rPr>
        <w:t> </w:t>
      </w:r>
      <w:r>
        <w:rPr>
          <w:sz w:val="24"/>
        </w:rPr>
        <w:t>and</w:t>
      </w:r>
      <w:r>
        <w:rPr>
          <w:spacing w:val="-3"/>
          <w:sz w:val="24"/>
        </w:rPr>
        <w:t> </w:t>
      </w:r>
      <w:r>
        <w:rPr>
          <w:sz w:val="24"/>
        </w:rPr>
        <w:t>meta-analysis</w:t>
      </w:r>
      <w:r>
        <w:rPr>
          <w:spacing w:val="-3"/>
          <w:sz w:val="24"/>
        </w:rPr>
        <w:t> </w:t>
      </w:r>
      <w:r>
        <w:rPr>
          <w:sz w:val="24"/>
        </w:rPr>
        <w:t>//</w:t>
      </w:r>
      <w:r>
        <w:rPr>
          <w:spacing w:val="-3"/>
          <w:sz w:val="24"/>
        </w:rPr>
        <w:t> </w:t>
      </w:r>
      <w:r>
        <w:rPr>
          <w:sz w:val="24"/>
        </w:rPr>
        <w:t>Diabetes</w:t>
      </w:r>
      <w:r>
        <w:rPr>
          <w:spacing w:val="-1"/>
          <w:sz w:val="24"/>
        </w:rPr>
        <w:t> </w:t>
      </w:r>
      <w:r>
        <w:rPr>
          <w:sz w:val="24"/>
        </w:rPr>
        <w:t>Obes</w:t>
      </w:r>
      <w:r>
        <w:rPr>
          <w:spacing w:val="-3"/>
          <w:sz w:val="24"/>
        </w:rPr>
        <w:t> </w:t>
      </w:r>
      <w:r>
        <w:rPr>
          <w:sz w:val="24"/>
        </w:rPr>
        <w:t>Metab.</w:t>
      </w:r>
      <w:r>
        <w:rPr>
          <w:spacing w:val="-3"/>
          <w:sz w:val="24"/>
        </w:rPr>
        <w:t> </w:t>
      </w:r>
      <w:r>
        <w:rPr>
          <w:sz w:val="24"/>
        </w:rPr>
        <w:t>2017.</w:t>
      </w:r>
      <w:r>
        <w:rPr>
          <w:spacing w:val="-3"/>
          <w:sz w:val="24"/>
        </w:rPr>
        <w:t> </w:t>
      </w:r>
      <w:r>
        <w:rPr>
          <w:sz w:val="24"/>
        </w:rPr>
        <w:t>Vol.</w:t>
      </w:r>
      <w:r>
        <w:rPr>
          <w:spacing w:val="-1"/>
          <w:sz w:val="24"/>
        </w:rPr>
        <w:t> </w:t>
      </w:r>
      <w:r>
        <w:rPr>
          <w:sz w:val="24"/>
        </w:rPr>
        <w:t>19.</w:t>
      </w:r>
      <w:r>
        <w:rPr>
          <w:spacing w:val="-3"/>
          <w:sz w:val="24"/>
        </w:rPr>
        <w:t> </w:t>
      </w:r>
      <w:r>
        <w:rPr>
          <w:sz w:val="24"/>
        </w:rPr>
        <w:t>№</w:t>
      </w:r>
      <w:r>
        <w:rPr>
          <w:spacing w:val="-4"/>
          <w:sz w:val="24"/>
        </w:rPr>
        <w:t> </w:t>
      </w:r>
      <w:r>
        <w:rPr>
          <w:sz w:val="24"/>
        </w:rPr>
        <w:t>9.</w:t>
      </w:r>
      <w:r>
        <w:rPr>
          <w:spacing w:val="-3"/>
          <w:sz w:val="24"/>
        </w:rPr>
        <w:t> </w:t>
      </w:r>
      <w:r>
        <w:rPr>
          <w:sz w:val="24"/>
        </w:rPr>
        <w:t>P. </w:t>
      </w:r>
      <w:r>
        <w:rPr>
          <w:spacing w:val="-2"/>
          <w:sz w:val="24"/>
        </w:rPr>
        <w:t>1223–1232.</w:t>
      </w:r>
    </w:p>
    <w:p>
      <w:pPr>
        <w:pStyle w:val="ListParagraph"/>
        <w:numPr>
          <w:ilvl w:val="0"/>
          <w:numId w:val="25"/>
        </w:numPr>
        <w:tabs>
          <w:tab w:pos="2677" w:val="left" w:leader="none"/>
          <w:tab w:pos="2678" w:val="left" w:leader="none"/>
        </w:tabs>
        <w:spacing w:line="360" w:lineRule="auto" w:before="1" w:after="0"/>
        <w:ind w:left="1981" w:right="716" w:hanging="360"/>
        <w:jc w:val="left"/>
        <w:rPr>
          <w:sz w:val="24"/>
        </w:rPr>
      </w:pPr>
      <w:bookmarkStart w:name="_bookmark226" w:id="275"/>
      <w:bookmarkEnd w:id="275"/>
      <w:r>
        <w:rPr>
          <w:sz w:val="24"/>
        </w:rPr>
        <w:t>S</w:t>
      </w:r>
      <w:r>
        <w:rPr>
          <w:sz w:val="24"/>
        </w:rPr>
        <w:t>attar N. et. al. HbA1c in type 2 diabetes diagnostic criteria: addressing the right questions</w:t>
      </w:r>
      <w:r>
        <w:rPr>
          <w:spacing w:val="-3"/>
          <w:sz w:val="24"/>
        </w:rPr>
        <w:t> </w:t>
      </w:r>
      <w:r>
        <w:rPr>
          <w:sz w:val="24"/>
        </w:rPr>
        <w:t>to</w:t>
      </w:r>
      <w:r>
        <w:rPr>
          <w:spacing w:val="-3"/>
          <w:sz w:val="24"/>
        </w:rPr>
        <w:t> </w:t>
      </w:r>
      <w:r>
        <w:rPr>
          <w:sz w:val="24"/>
        </w:rPr>
        <w:t>move</w:t>
      </w:r>
      <w:r>
        <w:rPr>
          <w:spacing w:val="-4"/>
          <w:sz w:val="24"/>
        </w:rPr>
        <w:t> </w:t>
      </w:r>
      <w:r>
        <w:rPr>
          <w:sz w:val="24"/>
        </w:rPr>
        <w:t>the</w:t>
      </w:r>
      <w:r>
        <w:rPr>
          <w:spacing w:val="-4"/>
          <w:sz w:val="24"/>
        </w:rPr>
        <w:t> </w:t>
      </w:r>
      <w:r>
        <w:rPr>
          <w:sz w:val="24"/>
        </w:rPr>
        <w:t>field</w:t>
      </w:r>
      <w:r>
        <w:rPr>
          <w:spacing w:val="-3"/>
          <w:sz w:val="24"/>
        </w:rPr>
        <w:t> </w:t>
      </w:r>
      <w:r>
        <w:rPr>
          <w:sz w:val="24"/>
        </w:rPr>
        <w:t>forwards</w:t>
      </w:r>
      <w:r>
        <w:rPr>
          <w:spacing w:val="-3"/>
          <w:sz w:val="24"/>
        </w:rPr>
        <w:t> </w:t>
      </w:r>
      <w:r>
        <w:rPr>
          <w:sz w:val="24"/>
        </w:rPr>
        <w:t>//</w:t>
      </w:r>
      <w:r>
        <w:rPr>
          <w:spacing w:val="-3"/>
          <w:sz w:val="24"/>
        </w:rPr>
        <w:t> </w:t>
      </w:r>
      <w:r>
        <w:rPr>
          <w:sz w:val="24"/>
        </w:rPr>
        <w:t>Diabetologia.</w:t>
      </w:r>
      <w:r>
        <w:rPr>
          <w:spacing w:val="-3"/>
          <w:sz w:val="24"/>
        </w:rPr>
        <w:t> </w:t>
      </w:r>
      <w:r>
        <w:rPr>
          <w:sz w:val="24"/>
        </w:rPr>
        <w:t>2012.</w:t>
      </w:r>
      <w:r>
        <w:rPr>
          <w:spacing w:val="-3"/>
          <w:sz w:val="24"/>
        </w:rPr>
        <w:t> </w:t>
      </w:r>
      <w:r>
        <w:rPr>
          <w:sz w:val="24"/>
        </w:rPr>
        <w:t>Vol.</w:t>
      </w:r>
      <w:r>
        <w:rPr>
          <w:spacing w:val="-3"/>
          <w:sz w:val="24"/>
        </w:rPr>
        <w:t> </w:t>
      </w:r>
      <w:r>
        <w:rPr>
          <w:sz w:val="24"/>
        </w:rPr>
        <w:t>55.</w:t>
      </w:r>
      <w:r>
        <w:rPr>
          <w:spacing w:val="-3"/>
          <w:sz w:val="24"/>
        </w:rPr>
        <w:t> </w:t>
      </w:r>
      <w:r>
        <w:rPr>
          <w:sz w:val="24"/>
        </w:rPr>
        <w:t>№</w:t>
      </w:r>
      <w:r>
        <w:rPr>
          <w:spacing w:val="-4"/>
          <w:sz w:val="24"/>
        </w:rPr>
        <w:t> </w:t>
      </w:r>
      <w:r>
        <w:rPr>
          <w:sz w:val="24"/>
        </w:rPr>
        <w:t>6.</w:t>
      </w:r>
      <w:r>
        <w:rPr>
          <w:spacing w:val="-3"/>
          <w:sz w:val="24"/>
        </w:rPr>
        <w:t> </w:t>
      </w:r>
      <w:r>
        <w:rPr>
          <w:sz w:val="24"/>
        </w:rPr>
        <w:t>P.</w:t>
      </w:r>
      <w:r>
        <w:rPr>
          <w:spacing w:val="-3"/>
          <w:sz w:val="24"/>
        </w:rPr>
        <w:t> </w:t>
      </w:r>
      <w:r>
        <w:rPr>
          <w:sz w:val="24"/>
        </w:rPr>
        <w:t>1564–1567.</w:t>
      </w:r>
    </w:p>
    <w:p>
      <w:pPr>
        <w:spacing w:after="0" w:line="360" w:lineRule="auto"/>
        <w:jc w:val="left"/>
        <w:rPr>
          <w:sz w:val="24"/>
        </w:rPr>
        <w:sectPr>
          <w:pgSz w:w="11910" w:h="16840"/>
          <w:pgMar w:header="0" w:footer="710" w:top="1040" w:bottom="900" w:left="440" w:right="280"/>
        </w:sectPr>
      </w:pPr>
    </w:p>
    <w:p>
      <w:pPr>
        <w:pStyle w:val="ListParagraph"/>
        <w:numPr>
          <w:ilvl w:val="0"/>
          <w:numId w:val="25"/>
        </w:numPr>
        <w:tabs>
          <w:tab w:pos="2677" w:val="left" w:leader="none"/>
          <w:tab w:pos="2678" w:val="left" w:leader="none"/>
        </w:tabs>
        <w:spacing w:line="360" w:lineRule="auto" w:before="73" w:after="0"/>
        <w:ind w:left="1981" w:right="881" w:hanging="360"/>
        <w:jc w:val="both"/>
        <w:rPr>
          <w:sz w:val="24"/>
        </w:rPr>
      </w:pPr>
      <w:bookmarkStart w:name="_bookmark227" w:id="276"/>
      <w:bookmarkEnd w:id="276"/>
      <w:r>
        <w:rPr>
          <w:sz w:val="24"/>
        </w:rPr>
        <w:t>A</w:t>
      </w:r>
      <w:r>
        <w:rPr>
          <w:sz w:val="24"/>
        </w:rPr>
        <w:t>DVANCE Collaborative Group et. al. Intensive blood glucose control and vascular</w:t>
      </w:r>
      <w:r>
        <w:rPr>
          <w:spacing w:val="-3"/>
          <w:sz w:val="24"/>
        </w:rPr>
        <w:t> </w:t>
      </w:r>
      <w:r>
        <w:rPr>
          <w:sz w:val="24"/>
        </w:rPr>
        <w:t>outcomes</w:t>
      </w:r>
      <w:r>
        <w:rPr>
          <w:spacing w:val="-3"/>
          <w:sz w:val="24"/>
        </w:rPr>
        <w:t> </w:t>
      </w:r>
      <w:r>
        <w:rPr>
          <w:sz w:val="24"/>
        </w:rPr>
        <w:t>in</w:t>
      </w:r>
      <w:r>
        <w:rPr>
          <w:spacing w:val="-3"/>
          <w:sz w:val="24"/>
        </w:rPr>
        <w:t> </w:t>
      </w:r>
      <w:r>
        <w:rPr>
          <w:sz w:val="24"/>
        </w:rPr>
        <w:t>patients</w:t>
      </w:r>
      <w:r>
        <w:rPr>
          <w:spacing w:val="-3"/>
          <w:sz w:val="24"/>
        </w:rPr>
        <w:t> </w:t>
      </w:r>
      <w:r>
        <w:rPr>
          <w:sz w:val="24"/>
        </w:rPr>
        <w:t>with</w:t>
      </w:r>
      <w:r>
        <w:rPr>
          <w:spacing w:val="-3"/>
          <w:sz w:val="24"/>
        </w:rPr>
        <w:t> </w:t>
      </w:r>
      <w:r>
        <w:rPr>
          <w:sz w:val="24"/>
        </w:rPr>
        <w:t>type</w:t>
      </w:r>
      <w:r>
        <w:rPr>
          <w:spacing w:val="-3"/>
          <w:sz w:val="24"/>
        </w:rPr>
        <w:t> </w:t>
      </w:r>
      <w:r>
        <w:rPr>
          <w:sz w:val="24"/>
        </w:rPr>
        <w:t>2</w:t>
      </w:r>
      <w:r>
        <w:rPr>
          <w:spacing w:val="-3"/>
          <w:sz w:val="24"/>
        </w:rPr>
        <w:t> </w:t>
      </w:r>
      <w:r>
        <w:rPr>
          <w:sz w:val="24"/>
        </w:rPr>
        <w:t>diabetes</w:t>
      </w:r>
      <w:r>
        <w:rPr>
          <w:spacing w:val="-1"/>
          <w:sz w:val="24"/>
        </w:rPr>
        <w:t> </w:t>
      </w:r>
      <w:r>
        <w:rPr>
          <w:sz w:val="24"/>
        </w:rPr>
        <w:t>//</w:t>
      </w:r>
      <w:r>
        <w:rPr>
          <w:spacing w:val="-3"/>
          <w:sz w:val="24"/>
        </w:rPr>
        <w:t> </w:t>
      </w:r>
      <w:r>
        <w:rPr>
          <w:sz w:val="24"/>
        </w:rPr>
        <w:t>N</w:t>
      </w:r>
      <w:r>
        <w:rPr>
          <w:spacing w:val="-3"/>
          <w:sz w:val="24"/>
        </w:rPr>
        <w:t> </w:t>
      </w:r>
      <w:r>
        <w:rPr>
          <w:sz w:val="24"/>
        </w:rPr>
        <w:t>Engl</w:t>
      </w:r>
      <w:r>
        <w:rPr>
          <w:spacing w:val="-3"/>
          <w:sz w:val="24"/>
        </w:rPr>
        <w:t> </w:t>
      </w:r>
      <w:r>
        <w:rPr>
          <w:sz w:val="24"/>
        </w:rPr>
        <w:t>J</w:t>
      </w:r>
      <w:r>
        <w:rPr>
          <w:spacing w:val="-3"/>
          <w:sz w:val="24"/>
        </w:rPr>
        <w:t> </w:t>
      </w:r>
      <w:r>
        <w:rPr>
          <w:sz w:val="24"/>
        </w:rPr>
        <w:t>Med.</w:t>
      </w:r>
      <w:r>
        <w:rPr>
          <w:spacing w:val="-3"/>
          <w:sz w:val="24"/>
        </w:rPr>
        <w:t> </w:t>
      </w:r>
      <w:r>
        <w:rPr>
          <w:sz w:val="24"/>
        </w:rPr>
        <w:t>2008.</w:t>
      </w:r>
      <w:r>
        <w:rPr>
          <w:spacing w:val="-3"/>
          <w:sz w:val="24"/>
        </w:rPr>
        <w:t> </w:t>
      </w:r>
      <w:r>
        <w:rPr>
          <w:sz w:val="24"/>
        </w:rPr>
        <w:t>Vol.</w:t>
      </w:r>
      <w:r>
        <w:rPr>
          <w:spacing w:val="-3"/>
          <w:sz w:val="24"/>
        </w:rPr>
        <w:t> </w:t>
      </w:r>
      <w:r>
        <w:rPr>
          <w:sz w:val="24"/>
        </w:rPr>
        <w:t>358.</w:t>
      </w:r>
      <w:r>
        <w:rPr>
          <w:spacing w:val="-3"/>
          <w:sz w:val="24"/>
        </w:rPr>
        <w:t> </w:t>
      </w:r>
      <w:r>
        <w:rPr>
          <w:sz w:val="24"/>
        </w:rPr>
        <w:t>№</w:t>
      </w:r>
    </w:p>
    <w:p>
      <w:pPr>
        <w:pStyle w:val="BodyText"/>
        <w:jc w:val="both"/>
      </w:pPr>
      <w:r>
        <w:rPr/>
        <w:t>24. P. </w:t>
      </w:r>
      <w:r>
        <w:rPr>
          <w:spacing w:val="-2"/>
        </w:rPr>
        <w:t>2560–2572.</w:t>
      </w:r>
    </w:p>
    <w:p>
      <w:pPr>
        <w:pStyle w:val="ListParagraph"/>
        <w:numPr>
          <w:ilvl w:val="0"/>
          <w:numId w:val="25"/>
        </w:numPr>
        <w:tabs>
          <w:tab w:pos="2677" w:val="left" w:leader="none"/>
          <w:tab w:pos="2678" w:val="left" w:leader="none"/>
        </w:tabs>
        <w:spacing w:line="360" w:lineRule="auto" w:before="140" w:after="0"/>
        <w:ind w:left="1981" w:right="636" w:hanging="360"/>
        <w:jc w:val="both"/>
        <w:rPr>
          <w:sz w:val="24"/>
        </w:rPr>
      </w:pPr>
      <w:bookmarkStart w:name="_bookmark228" w:id="277"/>
      <w:bookmarkEnd w:id="277"/>
      <w:r>
        <w:rPr>
          <w:sz w:val="24"/>
        </w:rPr>
        <w:t>E</w:t>
      </w:r>
      <w:r>
        <w:rPr>
          <w:sz w:val="24"/>
        </w:rPr>
        <w:t>ttehad</w:t>
      </w:r>
      <w:r>
        <w:rPr>
          <w:spacing w:val="-3"/>
          <w:sz w:val="24"/>
        </w:rPr>
        <w:t> </w:t>
      </w:r>
      <w:r>
        <w:rPr>
          <w:sz w:val="24"/>
        </w:rPr>
        <w:t>D</w:t>
      </w:r>
      <w:r>
        <w:rPr>
          <w:spacing w:val="-4"/>
          <w:sz w:val="24"/>
        </w:rPr>
        <w:t> </w:t>
      </w:r>
      <w:r>
        <w:rPr>
          <w:sz w:val="24"/>
        </w:rPr>
        <w:t>et.</w:t>
      </w:r>
      <w:r>
        <w:rPr>
          <w:spacing w:val="-3"/>
          <w:sz w:val="24"/>
        </w:rPr>
        <w:t> </w:t>
      </w:r>
      <w:r>
        <w:rPr>
          <w:sz w:val="24"/>
        </w:rPr>
        <w:t>al.</w:t>
      </w:r>
      <w:r>
        <w:rPr>
          <w:spacing w:val="-3"/>
          <w:sz w:val="24"/>
        </w:rPr>
        <w:t> </w:t>
      </w:r>
      <w:r>
        <w:rPr>
          <w:sz w:val="24"/>
        </w:rPr>
        <w:t>Blood</w:t>
      </w:r>
      <w:r>
        <w:rPr>
          <w:spacing w:val="-3"/>
          <w:sz w:val="24"/>
        </w:rPr>
        <w:t> </w:t>
      </w:r>
      <w:r>
        <w:rPr>
          <w:sz w:val="24"/>
        </w:rPr>
        <w:t>pressure</w:t>
      </w:r>
      <w:r>
        <w:rPr>
          <w:spacing w:val="-4"/>
          <w:sz w:val="24"/>
        </w:rPr>
        <w:t> </w:t>
      </w:r>
      <w:r>
        <w:rPr>
          <w:sz w:val="24"/>
        </w:rPr>
        <w:t>lowering</w:t>
      </w:r>
      <w:r>
        <w:rPr>
          <w:spacing w:val="-3"/>
          <w:sz w:val="24"/>
        </w:rPr>
        <w:t> </w:t>
      </w:r>
      <w:r>
        <w:rPr>
          <w:sz w:val="24"/>
        </w:rPr>
        <w:t>for</w:t>
      </w:r>
      <w:r>
        <w:rPr>
          <w:spacing w:val="-4"/>
          <w:sz w:val="24"/>
        </w:rPr>
        <w:t> </w:t>
      </w:r>
      <w:r>
        <w:rPr>
          <w:sz w:val="24"/>
        </w:rPr>
        <w:t>prevention</w:t>
      </w:r>
      <w:r>
        <w:rPr>
          <w:spacing w:val="-3"/>
          <w:sz w:val="24"/>
        </w:rPr>
        <w:t> </w:t>
      </w:r>
      <w:r>
        <w:rPr>
          <w:sz w:val="24"/>
        </w:rPr>
        <w:t>of</w:t>
      </w:r>
      <w:r>
        <w:rPr>
          <w:spacing w:val="-4"/>
          <w:sz w:val="24"/>
        </w:rPr>
        <w:t> </w:t>
      </w:r>
      <w:r>
        <w:rPr>
          <w:sz w:val="24"/>
        </w:rPr>
        <w:t>cardiovascular</w:t>
      </w:r>
      <w:r>
        <w:rPr>
          <w:spacing w:val="-2"/>
          <w:sz w:val="24"/>
        </w:rPr>
        <w:t> </w:t>
      </w:r>
      <w:r>
        <w:rPr>
          <w:sz w:val="24"/>
        </w:rPr>
        <w:t>disease and death: a systematic review and meta-analysis // Lancet. 2016. Vol. 387. № 10022. P. </w:t>
      </w:r>
      <w:r>
        <w:rPr>
          <w:spacing w:val="-2"/>
          <w:sz w:val="24"/>
        </w:rPr>
        <w:t>957–967.</w:t>
      </w:r>
    </w:p>
    <w:p>
      <w:pPr>
        <w:pStyle w:val="ListParagraph"/>
        <w:numPr>
          <w:ilvl w:val="0"/>
          <w:numId w:val="25"/>
        </w:numPr>
        <w:tabs>
          <w:tab w:pos="2677" w:val="left" w:leader="none"/>
          <w:tab w:pos="2678" w:val="left" w:leader="none"/>
        </w:tabs>
        <w:spacing w:line="275" w:lineRule="exact" w:before="0" w:after="0"/>
        <w:ind w:left="2677" w:right="0" w:hanging="1057"/>
        <w:jc w:val="both"/>
        <w:rPr>
          <w:sz w:val="24"/>
        </w:rPr>
      </w:pPr>
      <w:bookmarkStart w:name="_bookmark229" w:id="278"/>
      <w:bookmarkEnd w:id="278"/>
      <w:r>
        <w:rPr>
          <w:sz w:val="24"/>
        </w:rPr>
        <w:t>SPR</w:t>
      </w:r>
      <w:r>
        <w:rPr>
          <w:sz w:val="24"/>
        </w:rPr>
        <w:t>INT</w:t>
      </w:r>
      <w:r>
        <w:rPr>
          <w:spacing w:val="-5"/>
          <w:sz w:val="24"/>
        </w:rPr>
        <w:t> </w:t>
      </w:r>
      <w:r>
        <w:rPr>
          <w:sz w:val="24"/>
        </w:rPr>
        <w:t>Research</w:t>
      </w:r>
      <w:r>
        <w:rPr>
          <w:spacing w:val="-2"/>
          <w:sz w:val="24"/>
        </w:rPr>
        <w:t> </w:t>
      </w:r>
      <w:r>
        <w:rPr>
          <w:sz w:val="24"/>
        </w:rPr>
        <w:t>Group et.</w:t>
      </w:r>
      <w:r>
        <w:rPr>
          <w:spacing w:val="-1"/>
          <w:sz w:val="24"/>
        </w:rPr>
        <w:t> </w:t>
      </w:r>
      <w:r>
        <w:rPr>
          <w:sz w:val="24"/>
        </w:rPr>
        <w:t>al.</w:t>
      </w:r>
      <w:r>
        <w:rPr>
          <w:spacing w:val="-2"/>
          <w:sz w:val="24"/>
        </w:rPr>
        <w:t> </w:t>
      </w:r>
      <w:r>
        <w:rPr>
          <w:sz w:val="24"/>
        </w:rPr>
        <w:t>A</w:t>
      </w:r>
      <w:r>
        <w:rPr>
          <w:spacing w:val="-3"/>
          <w:sz w:val="24"/>
        </w:rPr>
        <w:t> </w:t>
      </w:r>
      <w:r>
        <w:rPr>
          <w:sz w:val="24"/>
        </w:rPr>
        <w:t>Randomized</w:t>
      </w:r>
      <w:r>
        <w:rPr>
          <w:spacing w:val="-2"/>
          <w:sz w:val="24"/>
        </w:rPr>
        <w:t> </w:t>
      </w:r>
      <w:r>
        <w:rPr>
          <w:sz w:val="24"/>
        </w:rPr>
        <w:t>Trial</w:t>
      </w:r>
      <w:r>
        <w:rPr>
          <w:spacing w:val="-1"/>
          <w:sz w:val="24"/>
        </w:rPr>
        <w:t> </w:t>
      </w:r>
      <w:r>
        <w:rPr>
          <w:sz w:val="24"/>
        </w:rPr>
        <w:t>of</w:t>
      </w:r>
      <w:r>
        <w:rPr>
          <w:spacing w:val="-1"/>
          <w:sz w:val="24"/>
        </w:rPr>
        <w:t> </w:t>
      </w:r>
      <w:r>
        <w:rPr>
          <w:sz w:val="24"/>
        </w:rPr>
        <w:t>Intensive</w:t>
      </w:r>
      <w:r>
        <w:rPr>
          <w:spacing w:val="-3"/>
          <w:sz w:val="24"/>
        </w:rPr>
        <w:t> </w:t>
      </w:r>
      <w:r>
        <w:rPr>
          <w:sz w:val="24"/>
        </w:rPr>
        <w:t>versus</w:t>
      </w:r>
      <w:r>
        <w:rPr>
          <w:spacing w:val="-1"/>
          <w:sz w:val="24"/>
        </w:rPr>
        <w:t> </w:t>
      </w:r>
      <w:r>
        <w:rPr>
          <w:spacing w:val="-2"/>
          <w:sz w:val="24"/>
        </w:rPr>
        <w:t>Standard</w:t>
      </w:r>
    </w:p>
    <w:p>
      <w:pPr>
        <w:pStyle w:val="BodyText"/>
        <w:spacing w:before="139"/>
      </w:pPr>
      <w:r>
        <w:rPr/>
        <w:t>Blood-Pressure</w:t>
      </w:r>
      <w:r>
        <w:rPr>
          <w:spacing w:val="-4"/>
        </w:rPr>
        <w:t> </w:t>
      </w:r>
      <w:r>
        <w:rPr/>
        <w:t>Control</w:t>
      </w:r>
      <w:r>
        <w:rPr>
          <w:spacing w:val="-1"/>
        </w:rPr>
        <w:t> </w:t>
      </w:r>
      <w:r>
        <w:rPr/>
        <w:t>// N</w:t>
      </w:r>
      <w:r>
        <w:rPr>
          <w:spacing w:val="-2"/>
        </w:rPr>
        <w:t> </w:t>
      </w:r>
      <w:r>
        <w:rPr/>
        <w:t>Engl</w:t>
      </w:r>
      <w:r>
        <w:rPr>
          <w:spacing w:val="-1"/>
        </w:rPr>
        <w:t> </w:t>
      </w:r>
      <w:r>
        <w:rPr/>
        <w:t>J Med.</w:t>
      </w:r>
      <w:r>
        <w:rPr>
          <w:spacing w:val="-1"/>
        </w:rPr>
        <w:t> </w:t>
      </w:r>
      <w:r>
        <w:rPr/>
        <w:t>2015. Vol.</w:t>
      </w:r>
      <w:r>
        <w:rPr>
          <w:spacing w:val="-1"/>
        </w:rPr>
        <w:t> </w:t>
      </w:r>
      <w:r>
        <w:rPr/>
        <w:t>373.</w:t>
      </w:r>
      <w:r>
        <w:rPr>
          <w:spacing w:val="-1"/>
        </w:rPr>
        <w:t> </w:t>
      </w:r>
      <w:r>
        <w:rPr/>
        <w:t>№</w:t>
      </w:r>
      <w:r>
        <w:rPr>
          <w:spacing w:val="-1"/>
        </w:rPr>
        <w:t> </w:t>
      </w:r>
      <w:r>
        <w:rPr/>
        <w:t>22.</w:t>
      </w:r>
      <w:r>
        <w:rPr>
          <w:spacing w:val="-1"/>
        </w:rPr>
        <w:t> </w:t>
      </w:r>
      <w:r>
        <w:rPr/>
        <w:t>P. </w:t>
      </w:r>
      <w:r>
        <w:rPr>
          <w:spacing w:val="-2"/>
        </w:rPr>
        <w:t>2103–2116.</w:t>
      </w:r>
    </w:p>
    <w:p>
      <w:pPr>
        <w:pStyle w:val="ListParagraph"/>
        <w:numPr>
          <w:ilvl w:val="0"/>
          <w:numId w:val="25"/>
        </w:numPr>
        <w:tabs>
          <w:tab w:pos="2677" w:val="left" w:leader="none"/>
          <w:tab w:pos="2678" w:val="left" w:leader="none"/>
        </w:tabs>
        <w:spacing w:line="360" w:lineRule="auto" w:before="137" w:after="0"/>
        <w:ind w:left="1981" w:right="733" w:hanging="360"/>
        <w:jc w:val="left"/>
        <w:rPr>
          <w:sz w:val="24"/>
        </w:rPr>
      </w:pPr>
      <w:bookmarkStart w:name="_bookmark230" w:id="279"/>
      <w:bookmarkEnd w:id="279"/>
      <w:r>
        <w:rPr>
          <w:sz w:val="24"/>
        </w:rPr>
        <w:t>W</w:t>
      </w:r>
      <w:r>
        <w:rPr>
          <w:sz w:val="24"/>
        </w:rPr>
        <w:t>illiamson JD et. al. Intensive vs Standard Blood Pressure Control and Cardiovascular</w:t>
      </w:r>
      <w:r>
        <w:rPr>
          <w:spacing w:val="-3"/>
          <w:sz w:val="24"/>
        </w:rPr>
        <w:t> </w:t>
      </w:r>
      <w:r>
        <w:rPr>
          <w:sz w:val="24"/>
        </w:rPr>
        <w:t>Disease</w:t>
      </w:r>
      <w:r>
        <w:rPr>
          <w:spacing w:val="-3"/>
          <w:sz w:val="24"/>
        </w:rPr>
        <w:t> </w:t>
      </w:r>
      <w:r>
        <w:rPr>
          <w:sz w:val="24"/>
        </w:rPr>
        <w:t>Outcomes</w:t>
      </w:r>
      <w:r>
        <w:rPr>
          <w:spacing w:val="-4"/>
          <w:sz w:val="24"/>
        </w:rPr>
        <w:t> </w:t>
      </w:r>
      <w:r>
        <w:rPr>
          <w:sz w:val="24"/>
        </w:rPr>
        <w:t>in</w:t>
      </w:r>
      <w:r>
        <w:rPr>
          <w:spacing w:val="-4"/>
          <w:sz w:val="24"/>
        </w:rPr>
        <w:t> </w:t>
      </w:r>
      <w:r>
        <w:rPr>
          <w:sz w:val="24"/>
        </w:rPr>
        <w:t>Adults</w:t>
      </w:r>
      <w:r>
        <w:rPr>
          <w:spacing w:val="-4"/>
          <w:sz w:val="24"/>
        </w:rPr>
        <w:t> </w:t>
      </w:r>
      <w:r>
        <w:rPr>
          <w:sz w:val="24"/>
        </w:rPr>
        <w:t>Aged</w:t>
      </w:r>
      <w:r>
        <w:rPr>
          <w:spacing w:val="-4"/>
          <w:sz w:val="24"/>
        </w:rPr>
        <w:t> </w:t>
      </w:r>
      <w:r>
        <w:rPr>
          <w:sz w:val="24"/>
        </w:rPr>
        <w:t>&gt;/=75</w:t>
      </w:r>
      <w:r>
        <w:rPr>
          <w:spacing w:val="-4"/>
          <w:sz w:val="24"/>
        </w:rPr>
        <w:t> </w:t>
      </w:r>
      <w:r>
        <w:rPr>
          <w:sz w:val="24"/>
        </w:rPr>
        <w:t>Years:</w:t>
      </w:r>
      <w:r>
        <w:rPr>
          <w:spacing w:val="-4"/>
          <w:sz w:val="24"/>
        </w:rPr>
        <w:t> </w:t>
      </w:r>
      <w:r>
        <w:rPr>
          <w:sz w:val="24"/>
        </w:rPr>
        <w:t>A</w:t>
      </w:r>
      <w:r>
        <w:rPr>
          <w:spacing w:val="-5"/>
          <w:sz w:val="24"/>
        </w:rPr>
        <w:t> </w:t>
      </w:r>
      <w:r>
        <w:rPr>
          <w:sz w:val="24"/>
        </w:rPr>
        <w:t>Randomized</w:t>
      </w:r>
      <w:r>
        <w:rPr>
          <w:spacing w:val="-4"/>
          <w:sz w:val="24"/>
        </w:rPr>
        <w:t> </w:t>
      </w:r>
      <w:r>
        <w:rPr>
          <w:sz w:val="24"/>
        </w:rPr>
        <w:t>Clinical Trial // JAMA. 2016. Vol. 315. № 24. P. 2673–2682.</w:t>
      </w:r>
    </w:p>
    <w:p>
      <w:pPr>
        <w:pStyle w:val="ListParagraph"/>
        <w:numPr>
          <w:ilvl w:val="0"/>
          <w:numId w:val="25"/>
        </w:numPr>
        <w:tabs>
          <w:tab w:pos="2677" w:val="left" w:leader="none"/>
          <w:tab w:pos="2678" w:val="left" w:leader="none"/>
        </w:tabs>
        <w:spacing w:line="360" w:lineRule="auto" w:before="1" w:after="0"/>
        <w:ind w:left="1981" w:right="577" w:hanging="360"/>
        <w:jc w:val="left"/>
        <w:rPr>
          <w:sz w:val="24"/>
        </w:rPr>
      </w:pPr>
      <w:bookmarkStart w:name="_bookmark231" w:id="280"/>
      <w:bookmarkEnd w:id="280"/>
      <w:r>
        <w:rPr>
          <w:sz w:val="24"/>
        </w:rPr>
        <w:t>T</w:t>
      </w:r>
      <w:r>
        <w:rPr>
          <w:sz w:val="24"/>
        </w:rPr>
        <w:t>homopoulos</w:t>
      </w:r>
      <w:r>
        <w:rPr>
          <w:spacing w:val="-3"/>
          <w:sz w:val="24"/>
        </w:rPr>
        <w:t> </w:t>
      </w:r>
      <w:r>
        <w:rPr>
          <w:sz w:val="24"/>
        </w:rPr>
        <w:t>C</w:t>
      </w:r>
      <w:r>
        <w:rPr>
          <w:spacing w:val="-3"/>
          <w:sz w:val="24"/>
        </w:rPr>
        <w:t> </w:t>
      </w:r>
      <w:r>
        <w:rPr>
          <w:sz w:val="24"/>
        </w:rPr>
        <w:t>et.</w:t>
      </w:r>
      <w:r>
        <w:rPr>
          <w:spacing w:val="-3"/>
          <w:sz w:val="24"/>
        </w:rPr>
        <w:t> </w:t>
      </w:r>
      <w:r>
        <w:rPr>
          <w:sz w:val="24"/>
        </w:rPr>
        <w:t>al.</w:t>
      </w:r>
      <w:r>
        <w:rPr>
          <w:spacing w:val="-3"/>
          <w:sz w:val="24"/>
        </w:rPr>
        <w:t> </w:t>
      </w:r>
      <w:r>
        <w:rPr>
          <w:sz w:val="24"/>
        </w:rPr>
        <w:t>Effects</w:t>
      </w:r>
      <w:r>
        <w:rPr>
          <w:spacing w:val="-3"/>
          <w:sz w:val="24"/>
        </w:rPr>
        <w:t> </w:t>
      </w:r>
      <w:r>
        <w:rPr>
          <w:sz w:val="24"/>
        </w:rPr>
        <w:t>of</w:t>
      </w:r>
      <w:r>
        <w:rPr>
          <w:spacing w:val="-4"/>
          <w:sz w:val="24"/>
        </w:rPr>
        <w:t> </w:t>
      </w:r>
      <w:r>
        <w:rPr>
          <w:sz w:val="24"/>
        </w:rPr>
        <w:t>blood</w:t>
      </w:r>
      <w:r>
        <w:rPr>
          <w:spacing w:val="-3"/>
          <w:sz w:val="24"/>
        </w:rPr>
        <w:t> </w:t>
      </w:r>
      <w:r>
        <w:rPr>
          <w:sz w:val="24"/>
        </w:rPr>
        <w:t>pressure</w:t>
      </w:r>
      <w:r>
        <w:rPr>
          <w:spacing w:val="-4"/>
          <w:sz w:val="24"/>
        </w:rPr>
        <w:t> </w:t>
      </w:r>
      <w:r>
        <w:rPr>
          <w:sz w:val="24"/>
        </w:rPr>
        <w:t>lowering</w:t>
      </w:r>
      <w:r>
        <w:rPr>
          <w:spacing w:val="-3"/>
          <w:sz w:val="24"/>
        </w:rPr>
        <w:t> </w:t>
      </w:r>
      <w:r>
        <w:rPr>
          <w:sz w:val="24"/>
        </w:rPr>
        <w:t>on</w:t>
      </w:r>
      <w:r>
        <w:rPr>
          <w:spacing w:val="-3"/>
          <w:sz w:val="24"/>
        </w:rPr>
        <w:t> </w:t>
      </w:r>
      <w:r>
        <w:rPr>
          <w:sz w:val="24"/>
        </w:rPr>
        <w:t>outcome</w:t>
      </w:r>
      <w:r>
        <w:rPr>
          <w:spacing w:val="-4"/>
          <w:sz w:val="24"/>
        </w:rPr>
        <w:t> </w:t>
      </w:r>
      <w:r>
        <w:rPr>
          <w:sz w:val="24"/>
        </w:rPr>
        <w:t>incidence</w:t>
      </w:r>
      <w:r>
        <w:rPr>
          <w:spacing w:val="-4"/>
          <w:sz w:val="24"/>
        </w:rPr>
        <w:t> </w:t>
      </w:r>
      <w:r>
        <w:rPr>
          <w:sz w:val="24"/>
        </w:rPr>
        <w:t>in hypertension: 7. Effects of more vs. less intensive blood pressure lowering and different achieved blood pressure levels — updated overview and meta-analyses of randomized trials // J Hypertens. 2016. Vol. 34. № 4. P. 613–622.</w:t>
      </w:r>
    </w:p>
    <w:p>
      <w:pPr>
        <w:pStyle w:val="ListParagraph"/>
        <w:numPr>
          <w:ilvl w:val="0"/>
          <w:numId w:val="25"/>
        </w:numPr>
        <w:tabs>
          <w:tab w:pos="2677" w:val="left" w:leader="none"/>
          <w:tab w:pos="2678" w:val="left" w:leader="none"/>
        </w:tabs>
        <w:spacing w:line="360" w:lineRule="auto" w:before="0" w:after="0"/>
        <w:ind w:left="1981" w:right="603" w:hanging="360"/>
        <w:jc w:val="left"/>
        <w:rPr>
          <w:sz w:val="24"/>
        </w:rPr>
      </w:pPr>
      <w:bookmarkStart w:name="_bookmark232" w:id="281"/>
      <w:bookmarkEnd w:id="281"/>
      <w:r>
        <w:rPr>
          <w:sz w:val="24"/>
        </w:rPr>
        <w:t>A</w:t>
      </w:r>
      <w:r>
        <w:rPr>
          <w:sz w:val="24"/>
        </w:rPr>
        <w:t>ntithrombotic Trialists’ (ATT) Collaboration et. al. Aspirin in the primary and secondary prevention of vascular disease: collaborative meta-analysis of individual participant</w:t>
      </w:r>
      <w:r>
        <w:rPr>
          <w:spacing w:val="-3"/>
          <w:sz w:val="24"/>
        </w:rPr>
        <w:t> </w:t>
      </w:r>
      <w:r>
        <w:rPr>
          <w:sz w:val="24"/>
        </w:rPr>
        <w:t>data</w:t>
      </w:r>
      <w:r>
        <w:rPr>
          <w:spacing w:val="-4"/>
          <w:sz w:val="24"/>
        </w:rPr>
        <w:t> </w:t>
      </w:r>
      <w:r>
        <w:rPr>
          <w:sz w:val="24"/>
        </w:rPr>
        <w:t>from</w:t>
      </w:r>
      <w:r>
        <w:rPr>
          <w:spacing w:val="-3"/>
          <w:sz w:val="24"/>
        </w:rPr>
        <w:t> </w:t>
      </w:r>
      <w:r>
        <w:rPr>
          <w:sz w:val="24"/>
        </w:rPr>
        <w:t>randomised</w:t>
      </w:r>
      <w:r>
        <w:rPr>
          <w:spacing w:val="-3"/>
          <w:sz w:val="24"/>
        </w:rPr>
        <w:t> </w:t>
      </w:r>
      <w:r>
        <w:rPr>
          <w:sz w:val="24"/>
        </w:rPr>
        <w:t>trials</w:t>
      </w:r>
      <w:r>
        <w:rPr>
          <w:spacing w:val="-3"/>
          <w:sz w:val="24"/>
        </w:rPr>
        <w:t> </w:t>
      </w:r>
      <w:r>
        <w:rPr>
          <w:sz w:val="24"/>
        </w:rPr>
        <w:t>//</w:t>
      </w:r>
      <w:r>
        <w:rPr>
          <w:spacing w:val="-3"/>
          <w:sz w:val="24"/>
        </w:rPr>
        <w:t> </w:t>
      </w:r>
      <w:r>
        <w:rPr>
          <w:sz w:val="24"/>
        </w:rPr>
        <w:t>Lancet.</w:t>
      </w:r>
      <w:r>
        <w:rPr>
          <w:spacing w:val="-3"/>
          <w:sz w:val="24"/>
        </w:rPr>
        <w:t> </w:t>
      </w:r>
      <w:r>
        <w:rPr>
          <w:sz w:val="24"/>
        </w:rPr>
        <w:t>2009.</w:t>
      </w:r>
      <w:r>
        <w:rPr>
          <w:spacing w:val="-3"/>
          <w:sz w:val="24"/>
        </w:rPr>
        <w:t> </w:t>
      </w:r>
      <w:r>
        <w:rPr>
          <w:sz w:val="24"/>
        </w:rPr>
        <w:t>Vol.</w:t>
      </w:r>
      <w:r>
        <w:rPr>
          <w:spacing w:val="-3"/>
          <w:sz w:val="24"/>
        </w:rPr>
        <w:t> </w:t>
      </w:r>
      <w:r>
        <w:rPr>
          <w:sz w:val="24"/>
        </w:rPr>
        <w:t>373.</w:t>
      </w:r>
      <w:r>
        <w:rPr>
          <w:spacing w:val="-3"/>
          <w:sz w:val="24"/>
        </w:rPr>
        <w:t> </w:t>
      </w:r>
      <w:r>
        <w:rPr>
          <w:sz w:val="24"/>
        </w:rPr>
        <w:t>№</w:t>
      </w:r>
      <w:r>
        <w:rPr>
          <w:spacing w:val="-4"/>
          <w:sz w:val="24"/>
        </w:rPr>
        <w:t> </w:t>
      </w:r>
      <w:r>
        <w:rPr>
          <w:sz w:val="24"/>
        </w:rPr>
        <w:t>9678.</w:t>
      </w:r>
      <w:r>
        <w:rPr>
          <w:spacing w:val="-3"/>
          <w:sz w:val="24"/>
        </w:rPr>
        <w:t> </w:t>
      </w:r>
      <w:r>
        <w:rPr>
          <w:sz w:val="24"/>
        </w:rPr>
        <w:t>P.</w:t>
      </w:r>
      <w:r>
        <w:rPr>
          <w:spacing w:val="-3"/>
          <w:sz w:val="24"/>
        </w:rPr>
        <w:t> </w:t>
      </w:r>
      <w:r>
        <w:rPr>
          <w:sz w:val="24"/>
        </w:rPr>
        <w:t>1849–1860.</w:t>
      </w:r>
    </w:p>
    <w:p>
      <w:pPr>
        <w:pStyle w:val="ListParagraph"/>
        <w:numPr>
          <w:ilvl w:val="0"/>
          <w:numId w:val="25"/>
        </w:numPr>
        <w:tabs>
          <w:tab w:pos="2677" w:val="left" w:leader="none"/>
          <w:tab w:pos="2678" w:val="left" w:leader="none"/>
        </w:tabs>
        <w:spacing w:line="360" w:lineRule="auto" w:before="0" w:after="0"/>
        <w:ind w:left="1981" w:right="656" w:hanging="360"/>
        <w:jc w:val="left"/>
        <w:rPr>
          <w:sz w:val="24"/>
        </w:rPr>
      </w:pPr>
      <w:bookmarkStart w:name="_bookmark233" w:id="282"/>
      <w:bookmarkEnd w:id="282"/>
      <w:r>
        <w:rPr>
          <w:sz w:val="24"/>
        </w:rPr>
        <w:t>A</w:t>
      </w:r>
      <w:r>
        <w:rPr>
          <w:sz w:val="24"/>
        </w:rPr>
        <w:t>rmenian SH et. al. Cardiovascular Disease Among Survivors of Adult-Onset Cancer:</w:t>
      </w:r>
      <w:r>
        <w:rPr>
          <w:spacing w:val="-3"/>
          <w:sz w:val="24"/>
        </w:rPr>
        <w:t> </w:t>
      </w:r>
      <w:r>
        <w:rPr>
          <w:sz w:val="24"/>
        </w:rPr>
        <w:t>A</w:t>
      </w:r>
      <w:r>
        <w:rPr>
          <w:spacing w:val="-4"/>
          <w:sz w:val="24"/>
        </w:rPr>
        <w:t> </w:t>
      </w:r>
      <w:r>
        <w:rPr>
          <w:sz w:val="24"/>
        </w:rPr>
        <w:t>Community-Based</w:t>
      </w:r>
      <w:r>
        <w:rPr>
          <w:spacing w:val="-3"/>
          <w:sz w:val="24"/>
        </w:rPr>
        <w:t> </w:t>
      </w:r>
      <w:r>
        <w:rPr>
          <w:sz w:val="24"/>
        </w:rPr>
        <w:t>Retrospective</w:t>
      </w:r>
      <w:r>
        <w:rPr>
          <w:spacing w:val="-4"/>
          <w:sz w:val="24"/>
        </w:rPr>
        <w:t> </w:t>
      </w:r>
      <w:r>
        <w:rPr>
          <w:sz w:val="24"/>
        </w:rPr>
        <w:t>Cohort</w:t>
      </w:r>
      <w:r>
        <w:rPr>
          <w:spacing w:val="-3"/>
          <w:sz w:val="24"/>
        </w:rPr>
        <w:t> </w:t>
      </w:r>
      <w:r>
        <w:rPr>
          <w:sz w:val="24"/>
        </w:rPr>
        <w:t>Study</w:t>
      </w:r>
      <w:r>
        <w:rPr>
          <w:spacing w:val="-3"/>
          <w:sz w:val="24"/>
        </w:rPr>
        <w:t> </w:t>
      </w:r>
      <w:r>
        <w:rPr>
          <w:sz w:val="24"/>
        </w:rPr>
        <w:t>//</w:t>
      </w:r>
      <w:r>
        <w:rPr>
          <w:spacing w:val="-3"/>
          <w:sz w:val="24"/>
        </w:rPr>
        <w:t> </w:t>
      </w:r>
      <w:r>
        <w:rPr>
          <w:sz w:val="24"/>
        </w:rPr>
        <w:t>J</w:t>
      </w:r>
      <w:r>
        <w:rPr>
          <w:spacing w:val="-3"/>
          <w:sz w:val="24"/>
        </w:rPr>
        <w:t> </w:t>
      </w:r>
      <w:r>
        <w:rPr>
          <w:sz w:val="24"/>
        </w:rPr>
        <w:t>Clin</w:t>
      </w:r>
      <w:r>
        <w:rPr>
          <w:spacing w:val="-3"/>
          <w:sz w:val="24"/>
        </w:rPr>
        <w:t> </w:t>
      </w:r>
      <w:r>
        <w:rPr>
          <w:sz w:val="24"/>
        </w:rPr>
        <w:t>Oncol.</w:t>
      </w:r>
      <w:r>
        <w:rPr>
          <w:spacing w:val="-3"/>
          <w:sz w:val="24"/>
        </w:rPr>
        <w:t> </w:t>
      </w:r>
      <w:r>
        <w:rPr>
          <w:sz w:val="24"/>
        </w:rPr>
        <w:t>2016.</w:t>
      </w:r>
      <w:r>
        <w:rPr>
          <w:spacing w:val="-3"/>
          <w:sz w:val="24"/>
        </w:rPr>
        <w:t> </w:t>
      </w:r>
      <w:r>
        <w:rPr>
          <w:sz w:val="24"/>
        </w:rPr>
        <w:t>Vol.</w:t>
      </w:r>
      <w:r>
        <w:rPr>
          <w:spacing w:val="-3"/>
          <w:sz w:val="24"/>
        </w:rPr>
        <w:t> </w:t>
      </w:r>
      <w:r>
        <w:rPr>
          <w:sz w:val="24"/>
        </w:rPr>
        <w:t>34.</w:t>
      </w:r>
    </w:p>
    <w:p>
      <w:pPr>
        <w:pStyle w:val="BodyText"/>
      </w:pPr>
      <w:r>
        <w:rPr/>
        <w:t>№</w:t>
      </w:r>
      <w:r>
        <w:rPr>
          <w:spacing w:val="-1"/>
        </w:rPr>
        <w:t> </w:t>
      </w:r>
      <w:r>
        <w:rPr/>
        <w:t>10. P. </w:t>
      </w:r>
      <w:r>
        <w:rPr>
          <w:spacing w:val="-2"/>
        </w:rPr>
        <w:t>1122–1130.</w:t>
      </w:r>
    </w:p>
    <w:p>
      <w:pPr>
        <w:pStyle w:val="ListParagraph"/>
        <w:numPr>
          <w:ilvl w:val="0"/>
          <w:numId w:val="25"/>
        </w:numPr>
        <w:tabs>
          <w:tab w:pos="2677" w:val="left" w:leader="none"/>
          <w:tab w:pos="2678" w:val="left" w:leader="none"/>
        </w:tabs>
        <w:spacing w:line="360" w:lineRule="auto" w:before="138" w:after="0"/>
        <w:ind w:left="1981" w:right="888" w:hanging="360"/>
        <w:jc w:val="left"/>
        <w:rPr>
          <w:sz w:val="24"/>
        </w:rPr>
      </w:pPr>
      <w:bookmarkStart w:name="_bookmark234" w:id="283"/>
      <w:bookmarkEnd w:id="283"/>
      <w:r>
        <w:rPr>
          <w:sz w:val="24"/>
        </w:rPr>
        <w:t>Ch</w:t>
      </w:r>
      <w:r>
        <w:rPr>
          <w:sz w:val="24"/>
        </w:rPr>
        <w:t>en W et. al. Risk of cardiovascular comorbidity in patients with chronic obstructive</w:t>
      </w:r>
      <w:r>
        <w:rPr>
          <w:spacing w:val="-5"/>
          <w:sz w:val="24"/>
        </w:rPr>
        <w:t> </w:t>
      </w:r>
      <w:r>
        <w:rPr>
          <w:sz w:val="24"/>
        </w:rPr>
        <w:t>pulmonary</w:t>
      </w:r>
      <w:r>
        <w:rPr>
          <w:spacing w:val="-4"/>
          <w:sz w:val="24"/>
        </w:rPr>
        <w:t> </w:t>
      </w:r>
      <w:r>
        <w:rPr>
          <w:sz w:val="24"/>
        </w:rPr>
        <w:t>disease:</w:t>
      </w:r>
      <w:r>
        <w:rPr>
          <w:spacing w:val="-4"/>
          <w:sz w:val="24"/>
        </w:rPr>
        <w:t> </w:t>
      </w:r>
      <w:r>
        <w:rPr>
          <w:sz w:val="24"/>
        </w:rPr>
        <w:t>a</w:t>
      </w:r>
      <w:r>
        <w:rPr>
          <w:spacing w:val="-5"/>
          <w:sz w:val="24"/>
        </w:rPr>
        <w:t> </w:t>
      </w:r>
      <w:r>
        <w:rPr>
          <w:sz w:val="24"/>
        </w:rPr>
        <w:t>systematic</w:t>
      </w:r>
      <w:r>
        <w:rPr>
          <w:spacing w:val="-3"/>
          <w:sz w:val="24"/>
        </w:rPr>
        <w:t> </w:t>
      </w:r>
      <w:r>
        <w:rPr>
          <w:sz w:val="24"/>
        </w:rPr>
        <w:t>review</w:t>
      </w:r>
      <w:r>
        <w:rPr>
          <w:spacing w:val="-5"/>
          <w:sz w:val="24"/>
        </w:rPr>
        <w:t> </w:t>
      </w:r>
      <w:r>
        <w:rPr>
          <w:sz w:val="24"/>
        </w:rPr>
        <w:t>and</w:t>
      </w:r>
      <w:r>
        <w:rPr>
          <w:spacing w:val="-4"/>
          <w:sz w:val="24"/>
        </w:rPr>
        <w:t> </w:t>
      </w:r>
      <w:r>
        <w:rPr>
          <w:sz w:val="24"/>
        </w:rPr>
        <w:t>meta-analysis</w:t>
      </w:r>
      <w:r>
        <w:rPr>
          <w:spacing w:val="-4"/>
          <w:sz w:val="24"/>
        </w:rPr>
        <w:t> </w:t>
      </w:r>
      <w:r>
        <w:rPr>
          <w:sz w:val="24"/>
        </w:rPr>
        <w:t>//</w:t>
      </w:r>
      <w:r>
        <w:rPr>
          <w:spacing w:val="-4"/>
          <w:sz w:val="24"/>
        </w:rPr>
        <w:t> </w:t>
      </w:r>
      <w:r>
        <w:rPr>
          <w:sz w:val="24"/>
        </w:rPr>
        <w:t>Lancet</w:t>
      </w:r>
      <w:r>
        <w:rPr>
          <w:spacing w:val="-4"/>
          <w:sz w:val="24"/>
        </w:rPr>
        <w:t> </w:t>
      </w:r>
      <w:r>
        <w:rPr>
          <w:sz w:val="24"/>
        </w:rPr>
        <w:t>Respir Med. 2015. Vol. 3. № 8. P. 631–639.</w:t>
      </w:r>
    </w:p>
    <w:p>
      <w:pPr>
        <w:pStyle w:val="ListParagraph"/>
        <w:numPr>
          <w:ilvl w:val="0"/>
          <w:numId w:val="25"/>
        </w:numPr>
        <w:tabs>
          <w:tab w:pos="2677" w:val="left" w:leader="none"/>
          <w:tab w:pos="2678" w:val="left" w:leader="none"/>
        </w:tabs>
        <w:spacing w:line="360" w:lineRule="auto" w:before="0" w:after="0"/>
        <w:ind w:left="1981" w:right="1222" w:hanging="360"/>
        <w:jc w:val="both"/>
        <w:rPr>
          <w:sz w:val="24"/>
        </w:rPr>
      </w:pPr>
      <w:bookmarkStart w:name="_bookmark235" w:id="284"/>
      <w:bookmarkEnd w:id="284"/>
      <w:r>
        <w:rPr>
          <w:sz w:val="24"/>
        </w:rPr>
        <w:t>O</w:t>
      </w:r>
      <w:r>
        <w:rPr>
          <w:sz w:val="24"/>
        </w:rPr>
        <w:t>gdie</w:t>
      </w:r>
      <w:r>
        <w:rPr>
          <w:spacing w:val="-4"/>
          <w:sz w:val="24"/>
        </w:rPr>
        <w:t> </w:t>
      </w:r>
      <w:r>
        <w:rPr>
          <w:sz w:val="24"/>
        </w:rPr>
        <w:t>Aet.</w:t>
      </w:r>
      <w:r>
        <w:rPr>
          <w:spacing w:val="-3"/>
          <w:sz w:val="24"/>
        </w:rPr>
        <w:t> </w:t>
      </w:r>
      <w:r>
        <w:rPr>
          <w:sz w:val="24"/>
        </w:rPr>
        <w:t>al.</w:t>
      </w:r>
      <w:r>
        <w:rPr>
          <w:spacing w:val="-3"/>
          <w:sz w:val="24"/>
        </w:rPr>
        <w:t> </w:t>
      </w:r>
      <w:r>
        <w:rPr>
          <w:sz w:val="24"/>
        </w:rPr>
        <w:t>Risk</w:t>
      </w:r>
      <w:r>
        <w:rPr>
          <w:spacing w:val="-3"/>
          <w:sz w:val="24"/>
        </w:rPr>
        <w:t> </w:t>
      </w:r>
      <w:r>
        <w:rPr>
          <w:sz w:val="24"/>
        </w:rPr>
        <w:t>of</w:t>
      </w:r>
      <w:r>
        <w:rPr>
          <w:spacing w:val="-4"/>
          <w:sz w:val="24"/>
        </w:rPr>
        <w:t> </w:t>
      </w:r>
      <w:r>
        <w:rPr>
          <w:sz w:val="24"/>
        </w:rPr>
        <w:t>major</w:t>
      </w:r>
      <w:r>
        <w:rPr>
          <w:spacing w:val="-4"/>
          <w:sz w:val="24"/>
        </w:rPr>
        <w:t> </w:t>
      </w:r>
      <w:r>
        <w:rPr>
          <w:sz w:val="24"/>
        </w:rPr>
        <w:t>cardiovascular</w:t>
      </w:r>
      <w:r>
        <w:rPr>
          <w:spacing w:val="-4"/>
          <w:sz w:val="24"/>
        </w:rPr>
        <w:t> </w:t>
      </w:r>
      <w:r>
        <w:rPr>
          <w:sz w:val="24"/>
        </w:rPr>
        <w:t>events</w:t>
      </w:r>
      <w:r>
        <w:rPr>
          <w:spacing w:val="-3"/>
          <w:sz w:val="24"/>
        </w:rPr>
        <w:t> </w:t>
      </w:r>
      <w:r>
        <w:rPr>
          <w:sz w:val="24"/>
        </w:rPr>
        <w:t>in</w:t>
      </w:r>
      <w:r>
        <w:rPr>
          <w:spacing w:val="-3"/>
          <w:sz w:val="24"/>
        </w:rPr>
        <w:t> </w:t>
      </w:r>
      <w:r>
        <w:rPr>
          <w:sz w:val="24"/>
        </w:rPr>
        <w:t>patients</w:t>
      </w:r>
      <w:r>
        <w:rPr>
          <w:spacing w:val="-3"/>
          <w:sz w:val="24"/>
        </w:rPr>
        <w:t> </w:t>
      </w:r>
      <w:r>
        <w:rPr>
          <w:sz w:val="24"/>
        </w:rPr>
        <w:t>with</w:t>
      </w:r>
      <w:r>
        <w:rPr>
          <w:spacing w:val="-3"/>
          <w:sz w:val="24"/>
        </w:rPr>
        <w:t> </w:t>
      </w:r>
      <w:r>
        <w:rPr>
          <w:sz w:val="24"/>
        </w:rPr>
        <w:t>psoriatic arthritis, psoriasis and rheumatoid arthritis: a</w:t>
      </w:r>
      <w:r>
        <w:rPr>
          <w:spacing w:val="-1"/>
          <w:sz w:val="24"/>
        </w:rPr>
        <w:t> </w:t>
      </w:r>
      <w:r>
        <w:rPr>
          <w:sz w:val="24"/>
        </w:rPr>
        <w:t>population-based cohort study // Ann Rheum Dis. 2015. Vol. 74. № 2. P. 326–332.</w:t>
      </w:r>
    </w:p>
    <w:p>
      <w:pPr>
        <w:pStyle w:val="ListParagraph"/>
        <w:numPr>
          <w:ilvl w:val="0"/>
          <w:numId w:val="25"/>
        </w:numPr>
        <w:tabs>
          <w:tab w:pos="2677" w:val="left" w:leader="none"/>
          <w:tab w:pos="2678" w:val="left" w:leader="none"/>
        </w:tabs>
        <w:spacing w:line="360" w:lineRule="auto" w:before="0" w:after="0"/>
        <w:ind w:left="1981" w:right="1450" w:hanging="360"/>
        <w:jc w:val="left"/>
        <w:rPr>
          <w:sz w:val="24"/>
        </w:rPr>
      </w:pPr>
      <w:bookmarkStart w:name="_bookmark236" w:id="285"/>
      <w:bookmarkEnd w:id="285"/>
      <w:r>
        <w:rPr>
          <w:sz w:val="24"/>
        </w:rPr>
        <w:t>B</w:t>
      </w:r>
      <w:r>
        <w:rPr>
          <w:sz w:val="24"/>
        </w:rPr>
        <w:t>adran</w:t>
      </w:r>
      <w:r>
        <w:rPr>
          <w:spacing w:val="-4"/>
          <w:sz w:val="24"/>
        </w:rPr>
        <w:t> </w:t>
      </w:r>
      <w:r>
        <w:rPr>
          <w:sz w:val="24"/>
        </w:rPr>
        <w:t>M</w:t>
      </w:r>
      <w:r>
        <w:rPr>
          <w:spacing w:val="-4"/>
          <w:sz w:val="24"/>
        </w:rPr>
        <w:t> </w:t>
      </w:r>
      <w:r>
        <w:rPr>
          <w:sz w:val="24"/>
        </w:rPr>
        <w:t>et.</w:t>
      </w:r>
      <w:r>
        <w:rPr>
          <w:spacing w:val="-4"/>
          <w:sz w:val="24"/>
        </w:rPr>
        <w:t> </w:t>
      </w:r>
      <w:r>
        <w:rPr>
          <w:sz w:val="24"/>
        </w:rPr>
        <w:t>al.</w:t>
      </w:r>
      <w:r>
        <w:rPr>
          <w:spacing w:val="-4"/>
          <w:sz w:val="24"/>
        </w:rPr>
        <w:t> </w:t>
      </w:r>
      <w:r>
        <w:rPr>
          <w:sz w:val="24"/>
        </w:rPr>
        <w:t>Epidemiology</w:t>
      </w:r>
      <w:r>
        <w:rPr>
          <w:spacing w:val="-4"/>
          <w:sz w:val="24"/>
        </w:rPr>
        <w:t> </w:t>
      </w:r>
      <w:r>
        <w:rPr>
          <w:sz w:val="24"/>
        </w:rPr>
        <w:t>of</w:t>
      </w:r>
      <w:r>
        <w:rPr>
          <w:spacing w:val="-5"/>
          <w:sz w:val="24"/>
        </w:rPr>
        <w:t> </w:t>
      </w:r>
      <w:r>
        <w:rPr>
          <w:sz w:val="24"/>
        </w:rPr>
        <w:t>Sleep</w:t>
      </w:r>
      <w:r>
        <w:rPr>
          <w:spacing w:val="-4"/>
          <w:sz w:val="24"/>
        </w:rPr>
        <w:t> </w:t>
      </w:r>
      <w:r>
        <w:rPr>
          <w:sz w:val="24"/>
        </w:rPr>
        <w:t>Disturbances</w:t>
      </w:r>
      <w:r>
        <w:rPr>
          <w:spacing w:val="-4"/>
          <w:sz w:val="24"/>
        </w:rPr>
        <w:t> </w:t>
      </w:r>
      <w:r>
        <w:rPr>
          <w:sz w:val="24"/>
        </w:rPr>
        <w:t>and</w:t>
      </w:r>
      <w:r>
        <w:rPr>
          <w:spacing w:val="-4"/>
          <w:sz w:val="24"/>
        </w:rPr>
        <w:t> </w:t>
      </w:r>
      <w:r>
        <w:rPr>
          <w:sz w:val="24"/>
        </w:rPr>
        <w:t>Cardiovascular Consequences // Can J Cardiol. 2015. Vol. 31. № 7. P. 873–879.</w:t>
      </w:r>
    </w:p>
    <w:p>
      <w:pPr>
        <w:pStyle w:val="ListParagraph"/>
        <w:numPr>
          <w:ilvl w:val="0"/>
          <w:numId w:val="25"/>
        </w:numPr>
        <w:tabs>
          <w:tab w:pos="2677" w:val="left" w:leader="none"/>
          <w:tab w:pos="2678" w:val="left" w:leader="none"/>
        </w:tabs>
        <w:spacing w:line="360" w:lineRule="auto" w:before="1" w:after="0"/>
        <w:ind w:left="1981" w:right="1006" w:hanging="360"/>
        <w:jc w:val="left"/>
        <w:rPr>
          <w:sz w:val="24"/>
        </w:rPr>
      </w:pPr>
      <w:bookmarkStart w:name="_bookmark237" w:id="286"/>
      <w:bookmarkEnd w:id="286"/>
      <w:r>
        <w:rPr>
          <w:sz w:val="24"/>
        </w:rPr>
        <w:t>Z</w:t>
      </w:r>
      <w:r>
        <w:rPr>
          <w:sz w:val="24"/>
        </w:rPr>
        <w:t>hao B et. al. Does erectile dysfunction independently predict cardiovascular events?</w:t>
      </w:r>
      <w:r>
        <w:rPr>
          <w:spacing w:val="-1"/>
          <w:sz w:val="24"/>
        </w:rPr>
        <w:t> </w:t>
      </w:r>
      <w:r>
        <w:rPr>
          <w:sz w:val="24"/>
        </w:rPr>
        <w:t>It's</w:t>
      </w:r>
      <w:r>
        <w:rPr>
          <w:spacing w:val="-2"/>
          <w:sz w:val="24"/>
        </w:rPr>
        <w:t> </w:t>
      </w:r>
      <w:r>
        <w:rPr>
          <w:sz w:val="24"/>
        </w:rPr>
        <w:t>time</w:t>
      </w:r>
      <w:r>
        <w:rPr>
          <w:spacing w:val="-3"/>
          <w:sz w:val="24"/>
        </w:rPr>
        <w:t> </w:t>
      </w:r>
      <w:r>
        <w:rPr>
          <w:sz w:val="24"/>
        </w:rPr>
        <w:t>to</w:t>
      </w:r>
      <w:r>
        <w:rPr>
          <w:spacing w:val="-2"/>
          <w:sz w:val="24"/>
        </w:rPr>
        <w:t> </w:t>
      </w:r>
      <w:r>
        <w:rPr>
          <w:sz w:val="24"/>
        </w:rPr>
        <w:t>act</w:t>
      </w:r>
      <w:r>
        <w:rPr>
          <w:spacing w:val="-2"/>
          <w:sz w:val="24"/>
        </w:rPr>
        <w:t> </w:t>
      </w:r>
      <w:r>
        <w:rPr>
          <w:sz w:val="24"/>
        </w:rPr>
        <w:t>on the</w:t>
      </w:r>
      <w:r>
        <w:rPr>
          <w:spacing w:val="-3"/>
          <w:sz w:val="24"/>
        </w:rPr>
        <w:t> </w:t>
      </w:r>
      <w:r>
        <w:rPr>
          <w:sz w:val="24"/>
        </w:rPr>
        <w:t>evidence</w:t>
      </w:r>
      <w:r>
        <w:rPr>
          <w:spacing w:val="-3"/>
          <w:sz w:val="24"/>
        </w:rPr>
        <w:t> </w:t>
      </w:r>
      <w:r>
        <w:rPr>
          <w:sz w:val="24"/>
        </w:rPr>
        <w:t>//</w:t>
      </w:r>
      <w:r>
        <w:rPr>
          <w:spacing w:val="40"/>
          <w:sz w:val="24"/>
        </w:rPr>
        <w:t> </w:t>
      </w:r>
      <w:r>
        <w:rPr>
          <w:sz w:val="24"/>
        </w:rPr>
        <w:t>Eur</w:t>
      </w:r>
      <w:r>
        <w:rPr>
          <w:spacing w:val="-3"/>
          <w:sz w:val="24"/>
        </w:rPr>
        <w:t> </w:t>
      </w:r>
      <w:r>
        <w:rPr>
          <w:sz w:val="24"/>
        </w:rPr>
        <w:t>J</w:t>
      </w:r>
      <w:r>
        <w:rPr>
          <w:spacing w:val="-2"/>
          <w:sz w:val="24"/>
        </w:rPr>
        <w:t> </w:t>
      </w:r>
      <w:r>
        <w:rPr>
          <w:sz w:val="24"/>
        </w:rPr>
        <w:t>Prev</w:t>
      </w:r>
      <w:r>
        <w:rPr>
          <w:spacing w:val="-2"/>
          <w:sz w:val="24"/>
        </w:rPr>
        <w:t> </w:t>
      </w:r>
      <w:r>
        <w:rPr>
          <w:sz w:val="24"/>
        </w:rPr>
        <w:t>Cardiol.</w:t>
      </w:r>
      <w:r>
        <w:rPr>
          <w:spacing w:val="-2"/>
          <w:sz w:val="24"/>
        </w:rPr>
        <w:t> </w:t>
      </w:r>
      <w:r>
        <w:rPr>
          <w:sz w:val="24"/>
        </w:rPr>
        <w:t>2018.</w:t>
      </w:r>
      <w:r>
        <w:rPr>
          <w:spacing w:val="-2"/>
          <w:sz w:val="24"/>
        </w:rPr>
        <w:t> </w:t>
      </w:r>
      <w:r>
        <w:rPr>
          <w:sz w:val="24"/>
        </w:rPr>
        <w:t>Vol.</w:t>
      </w:r>
      <w:r>
        <w:rPr>
          <w:spacing w:val="-2"/>
          <w:sz w:val="24"/>
        </w:rPr>
        <w:t> </w:t>
      </w:r>
      <w:r>
        <w:rPr>
          <w:sz w:val="24"/>
        </w:rPr>
        <w:t>25.</w:t>
      </w:r>
      <w:r>
        <w:rPr>
          <w:spacing w:val="-2"/>
          <w:sz w:val="24"/>
        </w:rPr>
        <w:t> </w:t>
      </w:r>
      <w:r>
        <w:rPr>
          <w:sz w:val="24"/>
        </w:rPr>
        <w:t>№</w:t>
      </w:r>
      <w:r>
        <w:rPr>
          <w:spacing w:val="-3"/>
          <w:sz w:val="24"/>
        </w:rPr>
        <w:t> </w:t>
      </w:r>
      <w:r>
        <w:rPr>
          <w:sz w:val="24"/>
        </w:rPr>
        <w:t>12.</w:t>
      </w:r>
      <w:r>
        <w:rPr>
          <w:spacing w:val="-2"/>
          <w:sz w:val="24"/>
        </w:rPr>
        <w:t> </w:t>
      </w:r>
      <w:r>
        <w:rPr>
          <w:sz w:val="24"/>
        </w:rPr>
        <w:t>P. </w:t>
      </w:r>
      <w:r>
        <w:rPr>
          <w:spacing w:val="-2"/>
          <w:sz w:val="24"/>
        </w:rPr>
        <w:t>1307–1311.</w:t>
      </w:r>
    </w:p>
    <w:p>
      <w:pPr>
        <w:pStyle w:val="ListParagraph"/>
        <w:numPr>
          <w:ilvl w:val="0"/>
          <w:numId w:val="25"/>
        </w:numPr>
        <w:tabs>
          <w:tab w:pos="2677" w:val="left" w:leader="none"/>
          <w:tab w:pos="2678" w:val="left" w:leader="none"/>
        </w:tabs>
        <w:spacing w:line="360" w:lineRule="auto" w:before="0" w:after="0"/>
        <w:ind w:left="1981" w:right="765" w:hanging="360"/>
        <w:jc w:val="left"/>
        <w:rPr>
          <w:sz w:val="24"/>
        </w:rPr>
      </w:pPr>
      <w:bookmarkStart w:name="_bookmark238" w:id="287"/>
      <w:bookmarkEnd w:id="287"/>
      <w:r>
        <w:rPr>
          <w:sz w:val="24"/>
        </w:rPr>
        <w:t>V</w:t>
      </w:r>
      <w:r>
        <w:rPr>
          <w:sz w:val="24"/>
        </w:rPr>
        <w:t>isseren FLJ et al, ESC National Cardiac Societies; ESC Scientific Document Group.</w:t>
      </w:r>
      <w:r>
        <w:rPr>
          <w:spacing w:val="-3"/>
          <w:sz w:val="24"/>
        </w:rPr>
        <w:t> </w:t>
      </w:r>
      <w:r>
        <w:rPr>
          <w:sz w:val="24"/>
        </w:rPr>
        <w:t>2021</w:t>
      </w:r>
      <w:r>
        <w:rPr>
          <w:spacing w:val="-3"/>
          <w:sz w:val="24"/>
        </w:rPr>
        <w:t> </w:t>
      </w:r>
      <w:r>
        <w:rPr>
          <w:sz w:val="24"/>
        </w:rPr>
        <w:t>ESC</w:t>
      </w:r>
      <w:r>
        <w:rPr>
          <w:spacing w:val="-3"/>
          <w:sz w:val="24"/>
        </w:rPr>
        <w:t> </w:t>
      </w:r>
      <w:r>
        <w:rPr>
          <w:sz w:val="24"/>
        </w:rPr>
        <w:t>Guidelines</w:t>
      </w:r>
      <w:r>
        <w:rPr>
          <w:spacing w:val="-3"/>
          <w:sz w:val="24"/>
        </w:rPr>
        <w:t> </w:t>
      </w:r>
      <w:r>
        <w:rPr>
          <w:sz w:val="24"/>
        </w:rPr>
        <w:t>on</w:t>
      </w:r>
      <w:r>
        <w:rPr>
          <w:spacing w:val="-3"/>
          <w:sz w:val="24"/>
        </w:rPr>
        <w:t> </w:t>
      </w:r>
      <w:r>
        <w:rPr>
          <w:sz w:val="24"/>
        </w:rPr>
        <w:t>cardiovascular</w:t>
      </w:r>
      <w:r>
        <w:rPr>
          <w:spacing w:val="-4"/>
          <w:sz w:val="24"/>
        </w:rPr>
        <w:t> </w:t>
      </w:r>
      <w:r>
        <w:rPr>
          <w:sz w:val="24"/>
        </w:rPr>
        <w:t>disease</w:t>
      </w:r>
      <w:r>
        <w:rPr>
          <w:spacing w:val="-4"/>
          <w:sz w:val="24"/>
        </w:rPr>
        <w:t> </w:t>
      </w:r>
      <w:r>
        <w:rPr>
          <w:sz w:val="24"/>
        </w:rPr>
        <w:t>prevention</w:t>
      </w:r>
      <w:r>
        <w:rPr>
          <w:spacing w:val="-3"/>
          <w:sz w:val="24"/>
        </w:rPr>
        <w:t> </w:t>
      </w:r>
      <w:r>
        <w:rPr>
          <w:sz w:val="24"/>
        </w:rPr>
        <w:t>in</w:t>
      </w:r>
      <w:r>
        <w:rPr>
          <w:spacing w:val="-3"/>
          <w:sz w:val="24"/>
        </w:rPr>
        <w:t> </w:t>
      </w:r>
      <w:r>
        <w:rPr>
          <w:sz w:val="24"/>
        </w:rPr>
        <w:t>clinical</w:t>
      </w:r>
      <w:r>
        <w:rPr>
          <w:spacing w:val="-3"/>
          <w:sz w:val="24"/>
        </w:rPr>
        <w:t> </w:t>
      </w:r>
      <w:r>
        <w:rPr>
          <w:sz w:val="24"/>
        </w:rPr>
        <w:t>practice</w:t>
      </w:r>
      <w:r>
        <w:rPr>
          <w:spacing w:val="-4"/>
          <w:sz w:val="24"/>
        </w:rPr>
        <w:t> </w:t>
      </w:r>
      <w:r>
        <w:rPr>
          <w:sz w:val="24"/>
        </w:rPr>
        <w:t>// Eur Heart J. 2021. Vol. 42(34). P. 3227–3337</w:t>
      </w:r>
    </w:p>
    <w:p>
      <w:pPr>
        <w:spacing w:after="0" w:line="360" w:lineRule="auto"/>
        <w:jc w:val="left"/>
        <w:rPr>
          <w:sz w:val="24"/>
        </w:rPr>
        <w:sectPr>
          <w:pgSz w:w="11910" w:h="16840"/>
          <w:pgMar w:header="0" w:footer="710" w:top="1040" w:bottom="900" w:left="440" w:right="280"/>
        </w:sectPr>
      </w:pPr>
    </w:p>
    <w:p>
      <w:pPr>
        <w:pStyle w:val="ListParagraph"/>
        <w:numPr>
          <w:ilvl w:val="0"/>
          <w:numId w:val="25"/>
        </w:numPr>
        <w:tabs>
          <w:tab w:pos="2677" w:val="left" w:leader="none"/>
          <w:tab w:pos="2678" w:val="left" w:leader="none"/>
        </w:tabs>
        <w:spacing w:line="360" w:lineRule="auto" w:before="73" w:after="0"/>
        <w:ind w:left="1981" w:right="800" w:hanging="360"/>
        <w:jc w:val="both"/>
        <w:rPr>
          <w:sz w:val="24"/>
        </w:rPr>
      </w:pPr>
      <w:bookmarkStart w:name="_bookmark239" w:id="288"/>
      <w:bookmarkEnd w:id="288"/>
      <w:r>
        <w:rPr>
          <w:sz w:val="24"/>
        </w:rPr>
        <w:t>П</w:t>
      </w:r>
      <w:r>
        <w:rPr>
          <w:sz w:val="24"/>
        </w:rPr>
        <w:t>риказ</w:t>
      </w:r>
      <w:r>
        <w:rPr>
          <w:spacing w:val="-2"/>
          <w:sz w:val="24"/>
        </w:rPr>
        <w:t> </w:t>
      </w:r>
      <w:r>
        <w:rPr>
          <w:sz w:val="24"/>
        </w:rPr>
        <w:t>Министерства</w:t>
      </w:r>
      <w:r>
        <w:rPr>
          <w:spacing w:val="-4"/>
          <w:sz w:val="24"/>
        </w:rPr>
        <w:t> </w:t>
      </w:r>
      <w:r>
        <w:rPr>
          <w:sz w:val="24"/>
        </w:rPr>
        <w:t>здравоохранения</w:t>
      </w:r>
      <w:r>
        <w:rPr>
          <w:spacing w:val="-3"/>
          <w:sz w:val="24"/>
        </w:rPr>
        <w:t> </w:t>
      </w:r>
      <w:r>
        <w:rPr>
          <w:sz w:val="24"/>
        </w:rPr>
        <w:t>РФ</w:t>
      </w:r>
      <w:r>
        <w:rPr>
          <w:spacing w:val="-4"/>
          <w:sz w:val="24"/>
        </w:rPr>
        <w:t> </w:t>
      </w:r>
      <w:r>
        <w:rPr>
          <w:sz w:val="24"/>
        </w:rPr>
        <w:t>от</w:t>
      </w:r>
      <w:r>
        <w:rPr>
          <w:spacing w:val="-5"/>
          <w:sz w:val="24"/>
        </w:rPr>
        <w:t> </w:t>
      </w:r>
      <w:r>
        <w:rPr>
          <w:sz w:val="24"/>
        </w:rPr>
        <w:t>29</w:t>
      </w:r>
      <w:r>
        <w:rPr>
          <w:spacing w:val="-3"/>
          <w:sz w:val="24"/>
        </w:rPr>
        <w:t> </w:t>
      </w:r>
      <w:r>
        <w:rPr>
          <w:sz w:val="24"/>
        </w:rPr>
        <w:t>марта</w:t>
      </w:r>
      <w:r>
        <w:rPr>
          <w:spacing w:val="-4"/>
          <w:sz w:val="24"/>
        </w:rPr>
        <w:t> </w:t>
      </w:r>
      <w:r>
        <w:rPr>
          <w:sz w:val="24"/>
        </w:rPr>
        <w:t>2019</w:t>
      </w:r>
      <w:r>
        <w:rPr>
          <w:spacing w:val="-3"/>
          <w:sz w:val="24"/>
        </w:rPr>
        <w:t> </w:t>
      </w:r>
      <w:r>
        <w:rPr>
          <w:sz w:val="24"/>
        </w:rPr>
        <w:t>г.</w:t>
      </w:r>
      <w:r>
        <w:rPr>
          <w:spacing w:val="-4"/>
          <w:sz w:val="24"/>
        </w:rPr>
        <w:t> </w:t>
      </w:r>
      <w:r>
        <w:rPr>
          <w:sz w:val="24"/>
        </w:rPr>
        <w:t>N</w:t>
      </w:r>
      <w:r>
        <w:rPr>
          <w:spacing w:val="-4"/>
          <w:sz w:val="24"/>
        </w:rPr>
        <w:t> </w:t>
      </w:r>
      <w:r>
        <w:rPr>
          <w:sz w:val="24"/>
        </w:rPr>
        <w:t>173н «Об утверждении порядка проведения диспансерного наблюдения за взрослыми».</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40" w:id="289"/>
      <w:bookmarkEnd w:id="289"/>
      <w:r>
        <w:rPr>
          <w:sz w:val="24"/>
        </w:rPr>
        <w:t>A</w:t>
      </w:r>
      <w:r>
        <w:rPr>
          <w:sz w:val="24"/>
        </w:rPr>
        <w:t>marenco P, Kim JS, Labreuche J, Charles H, Abtan J, Béjot Y et al. A comparison of two LDL cholesterol targets after ischemic stroke. N Engl J Med. 2020;382(1):9. doi:10.1056/NEJMoa1910355</w:t>
      </w:r>
    </w:p>
    <w:p>
      <w:pPr>
        <w:pStyle w:val="ListParagraph"/>
        <w:numPr>
          <w:ilvl w:val="0"/>
          <w:numId w:val="25"/>
        </w:numPr>
        <w:tabs>
          <w:tab w:pos="2677" w:val="left" w:leader="none"/>
          <w:tab w:pos="2678" w:val="left" w:leader="none"/>
        </w:tabs>
        <w:spacing w:line="360" w:lineRule="auto" w:before="2" w:after="0"/>
        <w:ind w:left="1981" w:right="569" w:hanging="360"/>
        <w:jc w:val="both"/>
        <w:rPr>
          <w:sz w:val="24"/>
        </w:rPr>
      </w:pPr>
      <w:bookmarkStart w:name="_bookmark241" w:id="290"/>
      <w:bookmarkEnd w:id="290"/>
      <w:r>
        <w:rPr>
          <w:sz w:val="24"/>
        </w:rPr>
        <w:t>Chol</w:t>
      </w:r>
      <w:r>
        <w:rPr>
          <w:sz w:val="24"/>
        </w:rPr>
        <w:t>esterol Treatment Trialists Collaboration, Baigent C, Blackwell L, Emberson J, Holland LE, Reith C, Bhala N, Peto R, Barnes EH, Keech A, Simes J, Collins R. Efficacy and safety of more intensive lowering of LDL cholesterol: a metaanalysis of</w:t>
      </w:r>
      <w:r>
        <w:rPr>
          <w:spacing w:val="40"/>
          <w:sz w:val="24"/>
        </w:rPr>
        <w:t> </w:t>
      </w:r>
      <w:r>
        <w:rPr>
          <w:sz w:val="24"/>
        </w:rPr>
        <w:t>data from 170,000 participants in 26 randomised trials. Lancet 2010;376:16701681</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42" w:id="291"/>
      <w:bookmarkEnd w:id="291"/>
      <w:r>
        <w:rPr>
          <w:sz w:val="24"/>
        </w:rPr>
        <w:t>Chol</w:t>
      </w:r>
      <w:r>
        <w:rPr>
          <w:sz w:val="24"/>
        </w:rPr>
        <w:t>esterol</w:t>
      </w:r>
      <w:r>
        <w:rPr>
          <w:spacing w:val="-3"/>
          <w:sz w:val="24"/>
        </w:rPr>
        <w:t> </w:t>
      </w:r>
      <w:r>
        <w:rPr>
          <w:sz w:val="24"/>
        </w:rPr>
        <w:t>Treatment</w:t>
      </w:r>
      <w:r>
        <w:rPr>
          <w:spacing w:val="-3"/>
          <w:sz w:val="24"/>
        </w:rPr>
        <w:t> </w:t>
      </w:r>
      <w:r>
        <w:rPr>
          <w:sz w:val="24"/>
        </w:rPr>
        <w:t>Trialists</w:t>
      </w:r>
      <w:r>
        <w:rPr>
          <w:spacing w:val="-3"/>
          <w:sz w:val="24"/>
        </w:rPr>
        <w:t> </w:t>
      </w:r>
      <w:r>
        <w:rPr>
          <w:sz w:val="24"/>
        </w:rPr>
        <w:t>Collaboration,</w:t>
      </w:r>
      <w:r>
        <w:rPr>
          <w:spacing w:val="-3"/>
          <w:sz w:val="24"/>
        </w:rPr>
        <w:t> </w:t>
      </w:r>
      <w:r>
        <w:rPr>
          <w:sz w:val="24"/>
        </w:rPr>
        <w:t>Fulcher</w:t>
      </w:r>
      <w:r>
        <w:rPr>
          <w:spacing w:val="-3"/>
          <w:sz w:val="24"/>
        </w:rPr>
        <w:t> </w:t>
      </w:r>
      <w:r>
        <w:rPr>
          <w:sz w:val="24"/>
        </w:rPr>
        <w:t>J,</w:t>
      </w:r>
      <w:r>
        <w:rPr>
          <w:spacing w:val="-3"/>
          <w:sz w:val="24"/>
        </w:rPr>
        <w:t> </w:t>
      </w:r>
      <w:r>
        <w:rPr>
          <w:sz w:val="24"/>
        </w:rPr>
        <w:t>O’Connell</w:t>
      </w:r>
      <w:r>
        <w:rPr>
          <w:spacing w:val="-3"/>
          <w:sz w:val="24"/>
        </w:rPr>
        <w:t> </w:t>
      </w:r>
      <w:r>
        <w:rPr>
          <w:sz w:val="24"/>
        </w:rPr>
        <w:t>R,</w:t>
      </w:r>
      <w:r>
        <w:rPr>
          <w:spacing w:val="-3"/>
          <w:sz w:val="24"/>
        </w:rPr>
        <w:t> </w:t>
      </w:r>
      <w:r>
        <w:rPr>
          <w:sz w:val="24"/>
        </w:rPr>
        <w:t>Voysey</w:t>
      </w:r>
      <w:r>
        <w:rPr>
          <w:spacing w:val="-3"/>
          <w:sz w:val="24"/>
        </w:rPr>
        <w:t> </w:t>
      </w:r>
      <w:r>
        <w:rPr>
          <w:sz w:val="24"/>
        </w:rPr>
        <w:t>M, Emberson J, Blackwell L, Mihaylova B, Simes J, Collins R, Kirby A, Colhoun H, Braunwald E, La Rosa J, Pedersen TR, Tonkin A, Davis B, Sleight P, Franzosi MG, Baigent</w:t>
      </w:r>
      <w:r>
        <w:rPr>
          <w:spacing w:val="-2"/>
          <w:sz w:val="24"/>
        </w:rPr>
        <w:t> </w:t>
      </w:r>
      <w:r>
        <w:rPr>
          <w:sz w:val="24"/>
        </w:rPr>
        <w:t>C, Keech A. Efficacy and safety of LDL-lowering therapy among men and women: meta-analysis of individual data from 174,000 participants in 27 randomised </w:t>
      </w:r>
      <w:r>
        <w:rPr>
          <w:spacing w:val="-2"/>
          <w:sz w:val="24"/>
        </w:rPr>
        <w:t>trials.Lancet2015;385:13971405</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43" w:id="292"/>
      <w:bookmarkEnd w:id="292"/>
      <w:r>
        <w:rPr>
          <w:sz w:val="24"/>
        </w:rPr>
        <w:t>S</w:t>
      </w:r>
      <w:r>
        <w:rPr>
          <w:sz w:val="24"/>
        </w:rPr>
        <w:t>chwartz GG, Steg PG, Szarek M, Bhatt DL, Bittner VA, Diaz R, Edelberg JM, Goodman SG, Hanotin C, Harrington RA et al; ODYSSEY OUTCOMES Committees and Investigators. Alirocumab and cardiovascular outcomes after acute coronary syndrome. N Engl J Med.2018;379:2097–2107. doi:10.1056/NEJMoa1801174</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44" w:id="293"/>
      <w:bookmarkEnd w:id="293"/>
      <w:r>
        <w:rPr>
          <w:sz w:val="24"/>
        </w:rPr>
        <w:t>W</w:t>
      </w:r>
      <w:r>
        <w:rPr>
          <w:sz w:val="24"/>
        </w:rPr>
        <w:t>eng TC, Yang YH, Lin SJ, Tai SH. A systematic review and meta-analysis on the therapeutic equivalence of statins. J Clin Pharm Ther. 2010 Apr;35(2):139–51. doi:10.1111/j.1365-2710.2009.01085.x. PMID: 20456733</w:t>
      </w:r>
    </w:p>
    <w:p>
      <w:pPr>
        <w:pStyle w:val="ListParagraph"/>
        <w:numPr>
          <w:ilvl w:val="0"/>
          <w:numId w:val="25"/>
        </w:numPr>
        <w:tabs>
          <w:tab w:pos="2677" w:val="left" w:leader="none"/>
          <w:tab w:pos="2678" w:val="left" w:leader="none"/>
        </w:tabs>
        <w:spacing w:line="360" w:lineRule="auto" w:before="0" w:after="0"/>
        <w:ind w:left="1981" w:right="569" w:hanging="360"/>
        <w:jc w:val="both"/>
        <w:rPr>
          <w:sz w:val="24"/>
        </w:rPr>
      </w:pPr>
      <w:bookmarkStart w:name="_bookmark245" w:id="294"/>
      <w:bookmarkEnd w:id="294"/>
      <w:r>
        <w:rPr>
          <w:sz w:val="24"/>
        </w:rPr>
        <w:t>Collins</w:t>
      </w:r>
      <w:r>
        <w:rPr>
          <w:sz w:val="24"/>
        </w:rPr>
        <w:t> R, Reith C, Emberson J, et al. Interpretation of the evidence for the efficacy and safety of statin therapy. Lancet. 2016;388:2532-61</w:t>
      </w:r>
    </w:p>
    <w:p>
      <w:pPr>
        <w:pStyle w:val="ListParagraph"/>
        <w:numPr>
          <w:ilvl w:val="0"/>
          <w:numId w:val="25"/>
        </w:numPr>
        <w:tabs>
          <w:tab w:pos="2677" w:val="left" w:leader="none"/>
          <w:tab w:pos="2678" w:val="left" w:leader="none"/>
        </w:tabs>
        <w:spacing w:line="360" w:lineRule="auto" w:before="0" w:after="0"/>
        <w:ind w:left="1981" w:right="568" w:hanging="360"/>
        <w:jc w:val="both"/>
        <w:rPr>
          <w:sz w:val="24"/>
        </w:rPr>
      </w:pPr>
      <w:bookmarkStart w:name="_bookmark246" w:id="295"/>
      <w:bookmarkEnd w:id="295"/>
      <w:r>
        <w:rPr>
          <w:sz w:val="24"/>
        </w:rPr>
        <w:t>G</w:t>
      </w:r>
      <w:r>
        <w:rPr>
          <w:sz w:val="24"/>
        </w:rPr>
        <w:t>roup HPSC. Randomized trial of the effects of cholesterol-lowering with simvastatin on peripheral vascular and other major vascular outcomes in 20,536 people with</w:t>
      </w:r>
      <w:r>
        <w:rPr>
          <w:spacing w:val="-2"/>
          <w:sz w:val="24"/>
        </w:rPr>
        <w:t> </w:t>
      </w:r>
      <w:r>
        <w:rPr>
          <w:sz w:val="24"/>
        </w:rPr>
        <w:t>peripheral</w:t>
      </w:r>
      <w:r>
        <w:rPr>
          <w:spacing w:val="-2"/>
          <w:sz w:val="24"/>
        </w:rPr>
        <w:t> </w:t>
      </w:r>
      <w:r>
        <w:rPr>
          <w:sz w:val="24"/>
        </w:rPr>
        <w:t>arterial</w:t>
      </w:r>
      <w:r>
        <w:rPr>
          <w:spacing w:val="-2"/>
          <w:sz w:val="24"/>
        </w:rPr>
        <w:t> </w:t>
      </w:r>
      <w:r>
        <w:rPr>
          <w:sz w:val="24"/>
        </w:rPr>
        <w:t>disease</w:t>
      </w:r>
      <w:r>
        <w:rPr>
          <w:spacing w:val="-3"/>
          <w:sz w:val="24"/>
        </w:rPr>
        <w:t> </w:t>
      </w:r>
      <w:r>
        <w:rPr>
          <w:sz w:val="24"/>
        </w:rPr>
        <w:t>and</w:t>
      </w:r>
      <w:r>
        <w:rPr>
          <w:spacing w:val="-2"/>
          <w:sz w:val="24"/>
        </w:rPr>
        <w:t> </w:t>
      </w:r>
      <w:r>
        <w:rPr>
          <w:sz w:val="24"/>
        </w:rPr>
        <w:t>other</w:t>
      </w:r>
      <w:r>
        <w:rPr>
          <w:spacing w:val="-3"/>
          <w:sz w:val="24"/>
        </w:rPr>
        <w:t> </w:t>
      </w:r>
      <w:r>
        <w:rPr>
          <w:sz w:val="24"/>
        </w:rPr>
        <w:t>high-risk conditions.</w:t>
      </w:r>
      <w:r>
        <w:rPr>
          <w:spacing w:val="-2"/>
          <w:sz w:val="24"/>
        </w:rPr>
        <w:t> </w:t>
      </w:r>
      <w:r>
        <w:rPr>
          <w:sz w:val="24"/>
        </w:rPr>
        <w:t>J</w:t>
      </w:r>
      <w:r>
        <w:rPr>
          <w:spacing w:val="-4"/>
          <w:sz w:val="24"/>
        </w:rPr>
        <w:t> </w:t>
      </w:r>
      <w:r>
        <w:rPr>
          <w:sz w:val="24"/>
        </w:rPr>
        <w:t>Vasc</w:t>
      </w:r>
      <w:r>
        <w:rPr>
          <w:spacing w:val="-3"/>
          <w:sz w:val="24"/>
        </w:rPr>
        <w:t> </w:t>
      </w:r>
      <w:r>
        <w:rPr>
          <w:sz w:val="24"/>
        </w:rPr>
        <w:t>Surg.</w:t>
      </w:r>
      <w:r>
        <w:rPr>
          <w:spacing w:val="-4"/>
          <w:sz w:val="24"/>
        </w:rPr>
        <w:t> </w:t>
      </w:r>
      <w:r>
        <w:rPr>
          <w:sz w:val="24"/>
        </w:rPr>
        <w:t>2007;45:645– </w:t>
      </w:r>
      <w:r>
        <w:rPr>
          <w:spacing w:val="-4"/>
          <w:sz w:val="24"/>
        </w:rPr>
        <w:t>54.</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bookmarkStart w:name="_bookmark247" w:id="296"/>
      <w:bookmarkEnd w:id="296"/>
      <w:r>
        <w:rPr>
          <w:sz w:val="24"/>
        </w:rPr>
        <w:t>N</w:t>
      </w:r>
      <w:r>
        <w:rPr>
          <w:sz w:val="24"/>
        </w:rPr>
        <w:t>anna</w:t>
      </w:r>
      <w:r>
        <w:rPr>
          <w:spacing w:val="-4"/>
          <w:sz w:val="24"/>
        </w:rPr>
        <w:t> </w:t>
      </w:r>
      <w:r>
        <w:rPr>
          <w:sz w:val="24"/>
        </w:rPr>
        <w:t>MG,</w:t>
      </w:r>
      <w:r>
        <w:rPr>
          <w:spacing w:val="-3"/>
          <w:sz w:val="24"/>
        </w:rPr>
        <w:t> </w:t>
      </w:r>
      <w:r>
        <w:rPr>
          <w:sz w:val="24"/>
        </w:rPr>
        <w:t>Navar</w:t>
      </w:r>
      <w:r>
        <w:rPr>
          <w:spacing w:val="-2"/>
          <w:sz w:val="24"/>
        </w:rPr>
        <w:t> </w:t>
      </w:r>
      <w:r>
        <w:rPr>
          <w:sz w:val="24"/>
        </w:rPr>
        <w:t>AM,</w:t>
      </w:r>
      <w:r>
        <w:rPr>
          <w:spacing w:val="-1"/>
          <w:sz w:val="24"/>
        </w:rPr>
        <w:t> </w:t>
      </w:r>
      <w:r>
        <w:rPr>
          <w:sz w:val="24"/>
        </w:rPr>
        <w:t>Wang</w:t>
      </w:r>
      <w:r>
        <w:rPr>
          <w:spacing w:val="-3"/>
          <w:sz w:val="24"/>
        </w:rPr>
        <w:t> </w:t>
      </w:r>
      <w:r>
        <w:rPr>
          <w:sz w:val="24"/>
        </w:rPr>
        <w:t>TY,</w:t>
      </w:r>
      <w:r>
        <w:rPr>
          <w:spacing w:val="-1"/>
          <w:sz w:val="24"/>
        </w:rPr>
        <w:t> </w:t>
      </w:r>
      <w:r>
        <w:rPr>
          <w:sz w:val="24"/>
        </w:rPr>
        <w:t>Mi</w:t>
      </w:r>
      <w:r>
        <w:rPr>
          <w:spacing w:val="-3"/>
          <w:sz w:val="24"/>
        </w:rPr>
        <w:t> </w:t>
      </w:r>
      <w:r>
        <w:rPr>
          <w:sz w:val="24"/>
        </w:rPr>
        <w:t>X,</w:t>
      </w:r>
      <w:r>
        <w:rPr>
          <w:spacing w:val="-1"/>
          <w:sz w:val="24"/>
        </w:rPr>
        <w:t> </w:t>
      </w:r>
      <w:r>
        <w:rPr>
          <w:sz w:val="24"/>
        </w:rPr>
        <w:t>Virani</w:t>
      </w:r>
      <w:r>
        <w:rPr>
          <w:spacing w:val="-1"/>
          <w:sz w:val="24"/>
        </w:rPr>
        <w:t> </w:t>
      </w:r>
      <w:r>
        <w:rPr>
          <w:sz w:val="24"/>
        </w:rPr>
        <w:t>SS,</w:t>
      </w:r>
      <w:r>
        <w:rPr>
          <w:spacing w:val="-3"/>
          <w:sz w:val="24"/>
        </w:rPr>
        <w:t> </w:t>
      </w:r>
      <w:r>
        <w:rPr>
          <w:sz w:val="24"/>
        </w:rPr>
        <w:t>Louie</w:t>
      </w:r>
      <w:r>
        <w:rPr>
          <w:spacing w:val="-4"/>
          <w:sz w:val="24"/>
        </w:rPr>
        <w:t> </w:t>
      </w:r>
      <w:r>
        <w:rPr>
          <w:sz w:val="24"/>
        </w:rPr>
        <w:t>MJ,</w:t>
      </w:r>
      <w:r>
        <w:rPr>
          <w:spacing w:val="-3"/>
          <w:sz w:val="24"/>
        </w:rPr>
        <w:t> </w:t>
      </w:r>
      <w:r>
        <w:rPr>
          <w:sz w:val="24"/>
        </w:rPr>
        <w:t>Lee</w:t>
      </w:r>
      <w:r>
        <w:rPr>
          <w:spacing w:val="-2"/>
          <w:sz w:val="24"/>
        </w:rPr>
        <w:t> </w:t>
      </w:r>
      <w:r>
        <w:rPr>
          <w:sz w:val="24"/>
        </w:rPr>
        <w:t>LV,</w:t>
      </w:r>
      <w:r>
        <w:rPr>
          <w:spacing w:val="-1"/>
          <w:sz w:val="24"/>
        </w:rPr>
        <w:t> </w:t>
      </w:r>
      <w:r>
        <w:rPr>
          <w:sz w:val="24"/>
        </w:rPr>
        <w:t>Goldberg AC, Roger VL, Robinson J, Peterson ED. Statin Use and Adverse Effects Among Adults</w:t>
      </w:r>
    </w:p>
    <w:p>
      <w:pPr>
        <w:pStyle w:val="BodyText"/>
        <w:spacing w:line="360" w:lineRule="auto"/>
        <w:ind w:right="567"/>
        <w:jc w:val="both"/>
      </w:pPr>
      <w:r>
        <w:rPr/>
        <w:t>&gt;75 Years of Age: Insights From the Patient and Provider Assessment of Lipid Management (PALM) Registry. J Am Heart Assoc. 2018 May 8;7(10):e008546. doi:10.1161/JAHA.118.008546. PMID: 29739801; PMCID: PMC6015311.</w:t>
      </w:r>
    </w:p>
    <w:p>
      <w:pPr>
        <w:pStyle w:val="ListParagraph"/>
        <w:numPr>
          <w:ilvl w:val="0"/>
          <w:numId w:val="25"/>
        </w:numPr>
        <w:tabs>
          <w:tab w:pos="2677" w:val="left" w:leader="none"/>
          <w:tab w:pos="2678" w:val="left" w:leader="none"/>
        </w:tabs>
        <w:spacing w:line="360" w:lineRule="auto" w:before="1" w:after="0"/>
        <w:ind w:left="1981" w:right="566" w:hanging="360"/>
        <w:jc w:val="both"/>
        <w:rPr>
          <w:sz w:val="24"/>
        </w:rPr>
      </w:pPr>
      <w:bookmarkStart w:name="_bookmark248" w:id="297"/>
      <w:bookmarkEnd w:id="297"/>
      <w:r>
        <w:rPr>
          <w:sz w:val="24"/>
        </w:rPr>
        <w:t>Y</w:t>
      </w:r>
      <w:r>
        <w:rPr>
          <w:sz w:val="24"/>
        </w:rPr>
        <w:t>ang Z, Edwards D, Massou E, Saunders CL, Brayne C, Mant J. Statin use and high-dose</w:t>
      </w:r>
      <w:r>
        <w:rPr>
          <w:spacing w:val="23"/>
          <w:sz w:val="24"/>
        </w:rPr>
        <w:t> </w:t>
      </w:r>
      <w:r>
        <w:rPr>
          <w:sz w:val="24"/>
        </w:rPr>
        <w:t>statin</w:t>
      </w:r>
      <w:r>
        <w:rPr>
          <w:spacing w:val="24"/>
          <w:sz w:val="24"/>
        </w:rPr>
        <w:t> </w:t>
      </w:r>
      <w:r>
        <w:rPr>
          <w:sz w:val="24"/>
        </w:rPr>
        <w:t>use</w:t>
      </w:r>
      <w:r>
        <w:rPr>
          <w:spacing w:val="23"/>
          <w:sz w:val="24"/>
        </w:rPr>
        <w:t> </w:t>
      </w:r>
      <w:r>
        <w:rPr>
          <w:sz w:val="24"/>
        </w:rPr>
        <w:t>after</w:t>
      </w:r>
      <w:r>
        <w:rPr>
          <w:spacing w:val="23"/>
          <w:sz w:val="24"/>
        </w:rPr>
        <w:t> </w:t>
      </w:r>
      <w:r>
        <w:rPr>
          <w:sz w:val="24"/>
        </w:rPr>
        <w:t>ischemic</w:t>
      </w:r>
      <w:r>
        <w:rPr>
          <w:spacing w:val="23"/>
          <w:sz w:val="24"/>
        </w:rPr>
        <w:t> </w:t>
      </w:r>
      <w:r>
        <w:rPr>
          <w:sz w:val="24"/>
        </w:rPr>
        <w:t>stroke</w:t>
      </w:r>
      <w:r>
        <w:rPr>
          <w:spacing w:val="23"/>
          <w:sz w:val="24"/>
        </w:rPr>
        <w:t> </w:t>
      </w:r>
      <w:r>
        <w:rPr>
          <w:sz w:val="24"/>
        </w:rPr>
        <w:t>in</w:t>
      </w:r>
      <w:r>
        <w:rPr>
          <w:spacing w:val="24"/>
          <w:sz w:val="24"/>
        </w:rPr>
        <w:t> </w:t>
      </w:r>
      <w:r>
        <w:rPr>
          <w:sz w:val="24"/>
        </w:rPr>
        <w:t>the</w:t>
      </w:r>
      <w:r>
        <w:rPr>
          <w:spacing w:val="25"/>
          <w:sz w:val="24"/>
        </w:rPr>
        <w:t> </w:t>
      </w:r>
      <w:r>
        <w:rPr>
          <w:sz w:val="24"/>
        </w:rPr>
        <w:t>UK:</w:t>
      </w:r>
      <w:r>
        <w:rPr>
          <w:spacing w:val="24"/>
          <w:sz w:val="24"/>
        </w:rPr>
        <w:t> </w:t>
      </w:r>
      <w:r>
        <w:rPr>
          <w:sz w:val="24"/>
        </w:rPr>
        <w:t>a</w:t>
      </w:r>
      <w:r>
        <w:rPr>
          <w:spacing w:val="23"/>
          <w:sz w:val="24"/>
        </w:rPr>
        <w:t> </w:t>
      </w:r>
      <w:r>
        <w:rPr>
          <w:sz w:val="24"/>
        </w:rPr>
        <w:t>retrospective</w:t>
      </w:r>
      <w:r>
        <w:rPr>
          <w:spacing w:val="23"/>
          <w:sz w:val="24"/>
        </w:rPr>
        <w:t> </w:t>
      </w:r>
      <w:r>
        <w:rPr>
          <w:sz w:val="24"/>
        </w:rPr>
        <w:t>cohort</w:t>
      </w:r>
      <w:r>
        <w:rPr>
          <w:spacing w:val="24"/>
          <w:sz w:val="24"/>
        </w:rPr>
        <w:t> </w:t>
      </w:r>
      <w:r>
        <w:rPr>
          <w:sz w:val="24"/>
        </w:rPr>
        <w:t>study.</w:t>
      </w:r>
      <w:r>
        <w:rPr>
          <w:spacing w:val="24"/>
          <w:sz w:val="24"/>
        </w:rPr>
        <w:t> </w:t>
      </w:r>
      <w:r>
        <w:rPr>
          <w:sz w:val="24"/>
        </w:rPr>
        <w:t>Clin</w:t>
      </w:r>
    </w:p>
    <w:p>
      <w:pPr>
        <w:spacing w:after="0" w:line="360" w:lineRule="auto"/>
        <w:jc w:val="both"/>
        <w:rPr>
          <w:sz w:val="24"/>
        </w:rPr>
        <w:sectPr>
          <w:pgSz w:w="11910" w:h="16840"/>
          <w:pgMar w:header="0" w:footer="710" w:top="1040" w:bottom="900" w:left="440" w:right="280"/>
        </w:sectPr>
      </w:pPr>
    </w:p>
    <w:p>
      <w:pPr>
        <w:pStyle w:val="BodyText"/>
        <w:spacing w:line="360" w:lineRule="auto" w:before="73"/>
      </w:pPr>
      <w:r>
        <w:rPr/>
        <w:t>Epidemiol.</w:t>
      </w:r>
      <w:r>
        <w:rPr>
          <w:spacing w:val="40"/>
        </w:rPr>
        <w:t> </w:t>
      </w:r>
      <w:r>
        <w:rPr/>
        <w:t>2019</w:t>
      </w:r>
      <w:r>
        <w:rPr>
          <w:spacing w:val="40"/>
        </w:rPr>
        <w:t> </w:t>
      </w:r>
      <w:r>
        <w:rPr/>
        <w:t>Jun</w:t>
      </w:r>
      <w:r>
        <w:rPr>
          <w:spacing w:val="40"/>
        </w:rPr>
        <w:t> </w:t>
      </w:r>
      <w:r>
        <w:rPr/>
        <w:t>28;11:495–508.</w:t>
      </w:r>
      <w:r>
        <w:rPr>
          <w:spacing w:val="40"/>
        </w:rPr>
        <w:t> </w:t>
      </w:r>
      <w:r>
        <w:rPr/>
        <w:t>doi:10.2147/CLEP.S201983.</w:t>
      </w:r>
      <w:r>
        <w:rPr>
          <w:spacing w:val="40"/>
        </w:rPr>
        <w:t> </w:t>
      </w:r>
      <w:r>
        <w:rPr/>
        <w:t>PMID:</w:t>
      </w:r>
      <w:r>
        <w:rPr>
          <w:spacing w:val="40"/>
        </w:rPr>
        <w:t> </w:t>
      </w:r>
      <w:r>
        <w:rPr/>
        <w:t>31388316; PMCID: PMC6607979.</w:t>
      </w:r>
    </w:p>
    <w:p>
      <w:pPr>
        <w:pStyle w:val="ListParagraph"/>
        <w:numPr>
          <w:ilvl w:val="0"/>
          <w:numId w:val="25"/>
        </w:numPr>
        <w:tabs>
          <w:tab w:pos="2677" w:val="left" w:leader="none"/>
          <w:tab w:pos="2678" w:val="left" w:leader="none"/>
        </w:tabs>
        <w:spacing w:line="360" w:lineRule="auto" w:before="0" w:after="0"/>
        <w:ind w:left="1981" w:right="569" w:hanging="360"/>
        <w:jc w:val="both"/>
        <w:rPr>
          <w:sz w:val="24"/>
        </w:rPr>
      </w:pPr>
      <w:bookmarkStart w:name="_bookmark249" w:id="298"/>
      <w:bookmarkEnd w:id="298"/>
      <w:r>
        <w:rPr>
          <w:sz w:val="24"/>
        </w:rPr>
        <w:t>Bohula</w:t>
      </w:r>
      <w:r>
        <w:rPr>
          <w:sz w:val="24"/>
        </w:rPr>
        <w:t> EA, Wiviott SD, Giugliano RP, Blazing MA, Park</w:t>
      </w:r>
      <w:r>
        <w:rPr>
          <w:spacing w:val="-2"/>
          <w:sz w:val="24"/>
        </w:rPr>
        <w:t> </w:t>
      </w:r>
      <w:r>
        <w:rPr>
          <w:sz w:val="24"/>
        </w:rPr>
        <w:t>JG, Murphy SA, White JA, Mach F, Van de Werf F, Dalby</w:t>
      </w:r>
      <w:r>
        <w:rPr>
          <w:spacing w:val="-2"/>
          <w:sz w:val="24"/>
        </w:rPr>
        <w:t> </w:t>
      </w:r>
      <w:r>
        <w:rPr>
          <w:sz w:val="24"/>
        </w:rPr>
        <w:t>AJ, et al. Prevention of stroke with the addition of ezetimibe to statin therapy in patients with acute coronary syndrome in IMPROVE-IT (Improved Reduction of Outcomes: Vytorin Efficacy International Trial). Circulation.2017;136:2440–2450. doi:10.1161/CIRCULATIONAHA.117.029095</w:t>
      </w:r>
    </w:p>
    <w:p>
      <w:pPr>
        <w:pStyle w:val="ListParagraph"/>
        <w:numPr>
          <w:ilvl w:val="0"/>
          <w:numId w:val="25"/>
        </w:numPr>
        <w:tabs>
          <w:tab w:pos="2677" w:val="left" w:leader="none"/>
          <w:tab w:pos="2678" w:val="left" w:leader="none"/>
        </w:tabs>
        <w:spacing w:line="360" w:lineRule="auto" w:before="2" w:after="0"/>
        <w:ind w:left="1981" w:right="567" w:hanging="360"/>
        <w:jc w:val="both"/>
        <w:rPr>
          <w:sz w:val="24"/>
        </w:rPr>
      </w:pPr>
      <w:bookmarkStart w:name="_bookmark250" w:id="299"/>
      <w:bookmarkEnd w:id="299"/>
      <w:r>
        <w:rPr>
          <w:sz w:val="24"/>
        </w:rPr>
        <w:t>Chi</w:t>
      </w:r>
      <w:r>
        <w:rPr>
          <w:sz w:val="24"/>
        </w:rPr>
        <w:t>avaroli L, Nishi SK, Khan TA, Braunstein CR, Glenn AJ, Mejia SB,</w:t>
      </w:r>
      <w:r>
        <w:rPr>
          <w:spacing w:val="80"/>
          <w:sz w:val="24"/>
        </w:rPr>
        <w:t> </w:t>
      </w:r>
      <w:r>
        <w:rPr>
          <w:sz w:val="24"/>
        </w:rPr>
        <w:t>RahelićD, Kahleová H, Salas-Salvadó J, Jenkins DJA, et al. Portfolio dietary pattern and cardiovascular disease: a systematic review and metaanalysis of controlled trials. Prog Cardiovasc Dis.2018;61:43–53. doi:10.1016/j.pcad.2018.05.004</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bookmarkStart w:name="_bookmark251" w:id="300"/>
      <w:bookmarkEnd w:id="300"/>
      <w:r>
        <w:rPr>
          <w:sz w:val="24"/>
        </w:rPr>
        <w:t>B</w:t>
      </w:r>
      <w:r>
        <w:rPr>
          <w:sz w:val="24"/>
        </w:rPr>
        <w:t>enner</w:t>
      </w:r>
      <w:r>
        <w:rPr>
          <w:spacing w:val="-1"/>
          <w:sz w:val="24"/>
        </w:rPr>
        <w:t> </w:t>
      </w:r>
      <w:r>
        <w:rPr>
          <w:sz w:val="24"/>
        </w:rPr>
        <w:t>JS, Tierce</w:t>
      </w:r>
      <w:r>
        <w:rPr>
          <w:spacing w:val="-1"/>
          <w:sz w:val="24"/>
        </w:rPr>
        <w:t> </w:t>
      </w:r>
      <w:r>
        <w:rPr>
          <w:sz w:val="24"/>
        </w:rPr>
        <w:t>JC, Ballantyne</w:t>
      </w:r>
      <w:r>
        <w:rPr>
          <w:spacing w:val="-1"/>
          <w:sz w:val="24"/>
        </w:rPr>
        <w:t> </w:t>
      </w:r>
      <w:r>
        <w:rPr>
          <w:sz w:val="24"/>
        </w:rPr>
        <w:t>CM, Prasad C, Bullano MF, Willey VJ, Erbey J, Sugano DS. Follow-up lipid tests and physician visits are associated with improved adherence to statin therapy. Pharmacoeconomics. 2004;22(suppl 3):13–23. </w:t>
      </w:r>
      <w:r>
        <w:rPr>
          <w:spacing w:val="-2"/>
          <w:sz w:val="24"/>
        </w:rPr>
        <w:t>doi:10.2165/00019053-200422003-00003</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bookmarkStart w:name="_bookmark252" w:id="301"/>
      <w:bookmarkEnd w:id="301"/>
      <w:r>
        <w:rPr>
          <w:sz w:val="24"/>
        </w:rPr>
        <w:t>Def</w:t>
      </w:r>
      <w:r>
        <w:rPr>
          <w:sz w:val="24"/>
        </w:rPr>
        <w:t>esche JC, Gidding SS, Harada-Shiba M et al. Familial hypercholesterolaemia. Nat Rev Dis Primers. 2017 Dec 7;3:17093. doi:10.1038/nrdp.2017.93.</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53" w:id="302"/>
      <w:bookmarkEnd w:id="302"/>
      <w:r>
        <w:rPr>
          <w:sz w:val="24"/>
        </w:rPr>
        <w:t>E</w:t>
      </w:r>
      <w:r>
        <w:rPr>
          <w:sz w:val="24"/>
        </w:rPr>
        <w:t>rshova AI, Meshkov AN, Bazhan SS et al. The prevalence of familial hypercholesterolemia in the West Siberian region of the Russian Federation: A substudy of the ESSE-RF. PLoS One. 2017; 12 (7): e0181148.</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bookmarkStart w:name="_bookmark254" w:id="303"/>
      <w:bookmarkEnd w:id="303"/>
      <w:r>
        <w:rPr>
          <w:sz w:val="24"/>
        </w:rPr>
        <w:t>Cu</w:t>
      </w:r>
      <w:r>
        <w:rPr>
          <w:sz w:val="24"/>
        </w:rPr>
        <w:t>chel M, Bruckert E, Ginsberg HN et al. Homozygous familial hypercholesterolaemia:</w:t>
      </w:r>
      <w:r>
        <w:rPr>
          <w:spacing w:val="-2"/>
          <w:sz w:val="24"/>
        </w:rPr>
        <w:t> </w:t>
      </w:r>
      <w:r>
        <w:rPr>
          <w:sz w:val="24"/>
        </w:rPr>
        <w:t>new</w:t>
      </w:r>
      <w:r>
        <w:rPr>
          <w:spacing w:val="-3"/>
          <w:sz w:val="24"/>
        </w:rPr>
        <w:t> </w:t>
      </w:r>
      <w:r>
        <w:rPr>
          <w:sz w:val="24"/>
        </w:rPr>
        <w:t>insights</w:t>
      </w:r>
      <w:r>
        <w:rPr>
          <w:spacing w:val="-2"/>
          <w:sz w:val="24"/>
        </w:rPr>
        <w:t> </w:t>
      </w:r>
      <w:r>
        <w:rPr>
          <w:sz w:val="24"/>
        </w:rPr>
        <w:t>and</w:t>
      </w:r>
      <w:r>
        <w:rPr>
          <w:spacing w:val="-2"/>
          <w:sz w:val="24"/>
        </w:rPr>
        <w:t> </w:t>
      </w:r>
      <w:r>
        <w:rPr>
          <w:sz w:val="24"/>
        </w:rPr>
        <w:t>guidance</w:t>
      </w:r>
      <w:r>
        <w:rPr>
          <w:spacing w:val="-1"/>
          <w:sz w:val="24"/>
        </w:rPr>
        <w:t> </w:t>
      </w:r>
      <w:r>
        <w:rPr>
          <w:sz w:val="24"/>
        </w:rPr>
        <w:t>for</w:t>
      </w:r>
      <w:r>
        <w:rPr>
          <w:spacing w:val="-3"/>
          <w:sz w:val="24"/>
        </w:rPr>
        <w:t> </w:t>
      </w:r>
      <w:r>
        <w:rPr>
          <w:sz w:val="24"/>
        </w:rPr>
        <w:t>clinicians</w:t>
      </w:r>
      <w:r>
        <w:rPr>
          <w:spacing w:val="-2"/>
          <w:sz w:val="24"/>
        </w:rPr>
        <w:t> </w:t>
      </w:r>
      <w:r>
        <w:rPr>
          <w:sz w:val="24"/>
        </w:rPr>
        <w:t>to</w:t>
      </w:r>
      <w:r>
        <w:rPr>
          <w:spacing w:val="-2"/>
          <w:sz w:val="24"/>
        </w:rPr>
        <w:t> </w:t>
      </w:r>
      <w:r>
        <w:rPr>
          <w:sz w:val="24"/>
        </w:rPr>
        <w:t>improve</w:t>
      </w:r>
      <w:r>
        <w:rPr>
          <w:spacing w:val="-1"/>
          <w:sz w:val="24"/>
        </w:rPr>
        <w:t> </w:t>
      </w:r>
      <w:r>
        <w:rPr>
          <w:sz w:val="24"/>
        </w:rPr>
        <w:t>detection</w:t>
      </w:r>
      <w:r>
        <w:rPr>
          <w:spacing w:val="-2"/>
          <w:sz w:val="24"/>
        </w:rPr>
        <w:t> </w:t>
      </w:r>
      <w:r>
        <w:rPr>
          <w:sz w:val="24"/>
        </w:rPr>
        <w:t>and clinical management. A position paper from the Consensus Panel on Familial Hypercholesterolaemia of the European Atherosclerosis Society. Eur Heart J. 2014 Aug 21;35(32):2146–57. doi:10.1093/eurheartj/ehu274</w:t>
      </w:r>
    </w:p>
    <w:p>
      <w:pPr>
        <w:pStyle w:val="ListParagraph"/>
        <w:numPr>
          <w:ilvl w:val="0"/>
          <w:numId w:val="25"/>
        </w:numPr>
        <w:tabs>
          <w:tab w:pos="2677" w:val="left" w:leader="none"/>
          <w:tab w:pos="2678" w:val="left" w:leader="none"/>
          <w:tab w:pos="4988" w:val="left" w:leader="none"/>
          <w:tab w:pos="7422" w:val="left" w:leader="none"/>
          <w:tab w:pos="8783" w:val="left" w:leader="none"/>
        </w:tabs>
        <w:spacing w:line="360" w:lineRule="auto" w:before="0" w:after="0"/>
        <w:ind w:left="1981" w:right="568" w:hanging="360"/>
        <w:jc w:val="both"/>
        <w:rPr>
          <w:sz w:val="24"/>
        </w:rPr>
      </w:pPr>
      <w:bookmarkStart w:name="_bookmark255" w:id="304"/>
      <w:bookmarkEnd w:id="304"/>
      <w:r>
        <w:rPr>
          <w:sz w:val="24"/>
        </w:rPr>
        <w:t>Civ</w:t>
      </w:r>
      <w:r>
        <w:rPr>
          <w:sz w:val="24"/>
        </w:rPr>
        <w:t>eira F; International Panel on Management of Familial Hypercholesterolemia. Guidelines for the diagnosis and management of heterozygous familial </w:t>
      </w:r>
      <w:r>
        <w:rPr>
          <w:spacing w:val="-2"/>
          <w:sz w:val="24"/>
        </w:rPr>
        <w:t>hypercholesterolemia.</w:t>
      </w:r>
      <w:r>
        <w:rPr>
          <w:sz w:val="24"/>
        </w:rPr>
        <w:tab/>
      </w:r>
      <w:r>
        <w:rPr>
          <w:spacing w:val="-2"/>
          <w:sz w:val="24"/>
        </w:rPr>
        <w:t>Atherosclerosis.</w:t>
      </w:r>
      <w:r>
        <w:rPr>
          <w:sz w:val="24"/>
        </w:rPr>
        <w:tab/>
      </w:r>
      <w:r>
        <w:rPr>
          <w:spacing w:val="-4"/>
          <w:sz w:val="24"/>
        </w:rPr>
        <w:t>2004</w:t>
      </w:r>
      <w:r>
        <w:rPr>
          <w:sz w:val="24"/>
        </w:rPr>
        <w:tab/>
      </w:r>
      <w:r>
        <w:rPr>
          <w:spacing w:val="-2"/>
          <w:sz w:val="24"/>
        </w:rPr>
        <w:t>Mar;173(1):55–68.</w:t>
      </w:r>
      <w:r>
        <w:rPr>
          <w:spacing w:val="-2"/>
          <w:sz w:val="24"/>
        </w:rPr>
        <w:t> doi:10.1016/j.atherosclerosis.2003.11.010</w:t>
      </w:r>
    </w:p>
    <w:p>
      <w:pPr>
        <w:pStyle w:val="ListParagraph"/>
        <w:numPr>
          <w:ilvl w:val="0"/>
          <w:numId w:val="25"/>
        </w:numPr>
        <w:tabs>
          <w:tab w:pos="2677" w:val="left" w:leader="none"/>
          <w:tab w:pos="2678" w:val="left" w:leader="none"/>
          <w:tab w:pos="3534" w:val="left" w:leader="none"/>
          <w:tab w:pos="4570" w:val="left" w:leader="none"/>
          <w:tab w:pos="6125" w:val="left" w:leader="none"/>
          <w:tab w:pos="7803" w:val="left" w:leader="none"/>
          <w:tab w:pos="8136" w:val="left" w:leader="none"/>
          <w:tab w:pos="9221" w:val="left" w:leader="none"/>
        </w:tabs>
        <w:spacing w:line="360" w:lineRule="auto" w:before="0" w:after="0"/>
        <w:ind w:left="1981" w:right="568" w:hanging="360"/>
        <w:jc w:val="left"/>
        <w:rPr>
          <w:sz w:val="24"/>
        </w:rPr>
      </w:pPr>
      <w:bookmarkStart w:name="_bookmark256" w:id="305"/>
      <w:bookmarkEnd w:id="305"/>
      <w:r>
        <w:rPr>
          <w:sz w:val="24"/>
        </w:rPr>
        <w:t>K</w:t>
      </w:r>
      <w:r>
        <w:rPr>
          <w:sz w:val="24"/>
        </w:rPr>
        <w:t>ukharchuk V.V., Malyshev P.P., Meshkov A.N. Familial hypercholesterolemia: current aspects of diagnosis, prevention and therapy. Cardiology. 2009;49(1):76–83. Кухарчук</w:t>
      </w:r>
      <w:r>
        <w:rPr>
          <w:spacing w:val="40"/>
          <w:sz w:val="24"/>
        </w:rPr>
        <w:t> </w:t>
      </w:r>
      <w:r>
        <w:rPr>
          <w:sz w:val="24"/>
        </w:rPr>
        <w:t>В.</w:t>
      </w:r>
      <w:r>
        <w:rPr>
          <w:spacing w:val="40"/>
          <w:sz w:val="24"/>
        </w:rPr>
        <w:t> </w:t>
      </w:r>
      <w:r>
        <w:rPr>
          <w:sz w:val="24"/>
        </w:rPr>
        <w:t>В,</w:t>
      </w:r>
      <w:r>
        <w:rPr>
          <w:spacing w:val="40"/>
          <w:sz w:val="24"/>
        </w:rPr>
        <w:t> </w:t>
      </w:r>
      <w:r>
        <w:rPr>
          <w:sz w:val="24"/>
        </w:rPr>
        <w:t>Малышев</w:t>
      </w:r>
      <w:r>
        <w:rPr>
          <w:spacing w:val="40"/>
          <w:sz w:val="24"/>
        </w:rPr>
        <w:t> </w:t>
      </w:r>
      <w:r>
        <w:rPr>
          <w:sz w:val="24"/>
        </w:rPr>
        <w:t>П.</w:t>
      </w:r>
      <w:r>
        <w:rPr>
          <w:spacing w:val="40"/>
          <w:sz w:val="24"/>
        </w:rPr>
        <w:t> </w:t>
      </w:r>
      <w:r>
        <w:rPr>
          <w:sz w:val="24"/>
        </w:rPr>
        <w:t>П.,</w:t>
      </w:r>
      <w:r>
        <w:rPr>
          <w:spacing w:val="40"/>
          <w:sz w:val="24"/>
        </w:rPr>
        <w:t> </w:t>
      </w:r>
      <w:r>
        <w:rPr>
          <w:sz w:val="24"/>
        </w:rPr>
        <w:t>Мешков</w:t>
      </w:r>
      <w:r>
        <w:rPr>
          <w:spacing w:val="40"/>
          <w:sz w:val="24"/>
        </w:rPr>
        <w:t> </w:t>
      </w:r>
      <w:r>
        <w:rPr>
          <w:sz w:val="24"/>
        </w:rPr>
        <w:t>А.</w:t>
      </w:r>
      <w:r>
        <w:rPr>
          <w:spacing w:val="40"/>
          <w:sz w:val="24"/>
        </w:rPr>
        <w:t> </w:t>
      </w:r>
      <w:r>
        <w:rPr>
          <w:sz w:val="24"/>
        </w:rPr>
        <w:t>Н.</w:t>
      </w:r>
      <w:r>
        <w:rPr>
          <w:spacing w:val="40"/>
          <w:sz w:val="24"/>
        </w:rPr>
        <w:t> </w:t>
      </w:r>
      <w:r>
        <w:rPr>
          <w:sz w:val="24"/>
        </w:rPr>
        <w:t>Семейная</w:t>
      </w:r>
      <w:r>
        <w:rPr>
          <w:spacing w:val="40"/>
          <w:sz w:val="24"/>
        </w:rPr>
        <w:t> </w:t>
      </w:r>
      <w:r>
        <w:rPr>
          <w:sz w:val="24"/>
        </w:rPr>
        <w:t>гиперхолестеринемия: </w:t>
      </w:r>
      <w:r>
        <w:rPr>
          <w:spacing w:val="-2"/>
          <w:sz w:val="24"/>
        </w:rPr>
        <w:t>современные</w:t>
      </w:r>
      <w:r>
        <w:rPr>
          <w:sz w:val="24"/>
        </w:rPr>
        <w:tab/>
      </w:r>
      <w:r>
        <w:rPr>
          <w:spacing w:val="-2"/>
          <w:sz w:val="24"/>
        </w:rPr>
        <w:t>аспекты</w:t>
      </w:r>
      <w:r>
        <w:rPr>
          <w:sz w:val="24"/>
        </w:rPr>
        <w:tab/>
      </w:r>
      <w:r>
        <w:rPr>
          <w:spacing w:val="-2"/>
          <w:sz w:val="24"/>
        </w:rPr>
        <w:t>диагностики,</w:t>
      </w:r>
      <w:r>
        <w:rPr>
          <w:sz w:val="24"/>
        </w:rPr>
        <w:tab/>
      </w:r>
      <w:r>
        <w:rPr>
          <w:spacing w:val="-2"/>
          <w:sz w:val="24"/>
        </w:rPr>
        <w:t>профилактики</w:t>
      </w:r>
      <w:r>
        <w:rPr>
          <w:sz w:val="24"/>
        </w:rPr>
        <w:tab/>
      </w:r>
      <w:r>
        <w:rPr>
          <w:spacing w:val="-10"/>
          <w:sz w:val="24"/>
        </w:rPr>
        <w:t>и</w:t>
      </w:r>
      <w:r>
        <w:rPr>
          <w:sz w:val="24"/>
        </w:rPr>
        <w:tab/>
      </w:r>
      <w:r>
        <w:rPr>
          <w:spacing w:val="-2"/>
          <w:sz w:val="24"/>
        </w:rPr>
        <w:t>терапии.</w:t>
      </w:r>
      <w:r>
        <w:rPr>
          <w:sz w:val="24"/>
        </w:rPr>
        <w:tab/>
      </w:r>
      <w:r>
        <w:rPr>
          <w:spacing w:val="-2"/>
          <w:sz w:val="24"/>
        </w:rPr>
        <w:t>Кардиология.</w:t>
      </w:r>
      <w:r>
        <w:rPr>
          <w:spacing w:val="-2"/>
          <w:sz w:val="24"/>
        </w:rPr>
        <w:t> 2009;49(1):76–83.</w:t>
      </w:r>
    </w:p>
    <w:p>
      <w:pPr>
        <w:spacing w:after="0" w:line="360" w:lineRule="auto"/>
        <w:jc w:val="left"/>
        <w:rPr>
          <w:sz w:val="24"/>
        </w:rPr>
        <w:sectPr>
          <w:pgSz w:w="11910" w:h="16840"/>
          <w:pgMar w:header="0" w:footer="710" w:top="1040" w:bottom="900" w:left="440" w:right="280"/>
        </w:sectPr>
      </w:pPr>
    </w:p>
    <w:p>
      <w:pPr>
        <w:pStyle w:val="ListParagraph"/>
        <w:numPr>
          <w:ilvl w:val="0"/>
          <w:numId w:val="25"/>
        </w:numPr>
        <w:tabs>
          <w:tab w:pos="2677" w:val="left" w:leader="none"/>
          <w:tab w:pos="2678" w:val="left" w:leader="none"/>
        </w:tabs>
        <w:spacing w:line="360" w:lineRule="auto" w:before="73" w:after="0"/>
        <w:ind w:left="1981" w:right="567" w:hanging="360"/>
        <w:jc w:val="both"/>
        <w:rPr>
          <w:sz w:val="24"/>
        </w:rPr>
      </w:pPr>
      <w:bookmarkStart w:name="_bookmark257" w:id="306"/>
      <w:bookmarkEnd w:id="306"/>
      <w:r>
        <w:rPr>
          <w:sz w:val="24"/>
        </w:rPr>
        <w:t>Y</w:t>
      </w:r>
      <w:r>
        <w:rPr>
          <w:sz w:val="24"/>
        </w:rPr>
        <w:t>uan G, Wang J, Hegele RA. Heterozygous familial hypercholesterolemia: an underrecognized cause of early cardiovascular disease. CMAJ. 2006 Apr 11;174(8):1124–9. doi:10.1503/cmaj.051313</w:t>
      </w:r>
    </w:p>
    <w:p>
      <w:pPr>
        <w:pStyle w:val="ListParagraph"/>
        <w:numPr>
          <w:ilvl w:val="0"/>
          <w:numId w:val="25"/>
        </w:numPr>
        <w:tabs>
          <w:tab w:pos="2677" w:val="left" w:leader="none"/>
          <w:tab w:pos="2678" w:val="left" w:leader="none"/>
        </w:tabs>
        <w:spacing w:line="360" w:lineRule="auto" w:before="2" w:after="0"/>
        <w:ind w:left="1981" w:right="566" w:hanging="360"/>
        <w:jc w:val="both"/>
        <w:rPr>
          <w:sz w:val="24"/>
        </w:rPr>
      </w:pPr>
      <w:bookmarkStart w:name="_bookmark258" w:id="307"/>
      <w:bookmarkEnd w:id="307"/>
      <w:r>
        <w:rPr>
          <w:sz w:val="24"/>
        </w:rPr>
        <w:t>V</w:t>
      </w:r>
      <w:r>
        <w:rPr>
          <w:sz w:val="24"/>
        </w:rPr>
        <w:t>uorio A, Docherty KF, Humphries SE et al. Statin treatment of children with familial hypercholesterolemia — trying to balance incomplete evidence of long-term safety</w:t>
      </w:r>
      <w:r>
        <w:rPr>
          <w:spacing w:val="-3"/>
          <w:sz w:val="24"/>
        </w:rPr>
        <w:t> </w:t>
      </w:r>
      <w:r>
        <w:rPr>
          <w:sz w:val="24"/>
        </w:rPr>
        <w:t>and</w:t>
      </w:r>
      <w:r>
        <w:rPr>
          <w:spacing w:val="-2"/>
          <w:sz w:val="24"/>
        </w:rPr>
        <w:t> </w:t>
      </w:r>
      <w:r>
        <w:rPr>
          <w:sz w:val="24"/>
        </w:rPr>
        <w:t>clinical</w:t>
      </w:r>
      <w:r>
        <w:rPr>
          <w:spacing w:val="-3"/>
          <w:sz w:val="24"/>
        </w:rPr>
        <w:t> </w:t>
      </w:r>
      <w:r>
        <w:rPr>
          <w:sz w:val="24"/>
        </w:rPr>
        <w:t>accountability:</w:t>
      </w:r>
      <w:r>
        <w:rPr>
          <w:spacing w:val="-3"/>
          <w:sz w:val="24"/>
        </w:rPr>
        <w:t> </w:t>
      </w:r>
      <w:r>
        <w:rPr>
          <w:sz w:val="24"/>
        </w:rPr>
        <w:t>are</w:t>
      </w:r>
      <w:r>
        <w:rPr>
          <w:spacing w:val="-4"/>
          <w:sz w:val="24"/>
        </w:rPr>
        <w:t> </w:t>
      </w:r>
      <w:r>
        <w:rPr>
          <w:sz w:val="24"/>
        </w:rPr>
        <w:t>we</w:t>
      </w:r>
      <w:r>
        <w:rPr>
          <w:spacing w:val="-2"/>
          <w:sz w:val="24"/>
        </w:rPr>
        <w:t> </w:t>
      </w:r>
      <w:r>
        <w:rPr>
          <w:sz w:val="24"/>
        </w:rPr>
        <w:t>approaching</w:t>
      </w:r>
      <w:r>
        <w:rPr>
          <w:spacing w:val="-3"/>
          <w:sz w:val="24"/>
        </w:rPr>
        <w:t> </w:t>
      </w:r>
      <w:r>
        <w:rPr>
          <w:sz w:val="24"/>
        </w:rPr>
        <w:t>a</w:t>
      </w:r>
      <w:r>
        <w:rPr>
          <w:spacing w:val="-4"/>
          <w:sz w:val="24"/>
        </w:rPr>
        <w:t> </w:t>
      </w:r>
      <w:r>
        <w:rPr>
          <w:sz w:val="24"/>
        </w:rPr>
        <w:t>consensus?</w:t>
      </w:r>
      <w:r>
        <w:rPr>
          <w:spacing w:val="-2"/>
          <w:sz w:val="24"/>
        </w:rPr>
        <w:t> </w:t>
      </w:r>
      <w:r>
        <w:rPr>
          <w:sz w:val="24"/>
        </w:rPr>
        <w:t>Atherosclerosis.</w:t>
      </w:r>
      <w:r>
        <w:rPr>
          <w:spacing w:val="-3"/>
          <w:sz w:val="24"/>
        </w:rPr>
        <w:t> </w:t>
      </w:r>
      <w:r>
        <w:rPr>
          <w:sz w:val="24"/>
        </w:rPr>
        <w:t>2013 Feb;226(2):315–20. doi:10.1016/j.atherosclerosis.2012.10.032</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59" w:id="308"/>
      <w:bookmarkEnd w:id="308"/>
      <w:r>
        <w:rPr>
          <w:sz w:val="24"/>
        </w:rPr>
        <w:t>H</w:t>
      </w:r>
      <w:r>
        <w:rPr>
          <w:sz w:val="24"/>
        </w:rPr>
        <w:t>opkins PN, Toth PP, Ballantyne</w:t>
      </w:r>
      <w:r>
        <w:rPr>
          <w:spacing w:val="-1"/>
          <w:sz w:val="24"/>
        </w:rPr>
        <w:t> </w:t>
      </w:r>
      <w:r>
        <w:rPr>
          <w:sz w:val="24"/>
        </w:rPr>
        <w:t>CM, Rader DJ. Familial hypercholesterolemias: prevalence, genetics, diagnosis and screening recommendations from the National Lipid Association</w:t>
      </w:r>
      <w:r>
        <w:rPr>
          <w:spacing w:val="-1"/>
          <w:sz w:val="24"/>
        </w:rPr>
        <w:t> </w:t>
      </w:r>
      <w:r>
        <w:rPr>
          <w:sz w:val="24"/>
        </w:rPr>
        <w:t>Expert Panel on Familial Hypercholesterolemia.</w:t>
      </w:r>
      <w:r>
        <w:rPr>
          <w:spacing w:val="-1"/>
          <w:sz w:val="24"/>
        </w:rPr>
        <w:t> </w:t>
      </w:r>
      <w:r>
        <w:rPr>
          <w:sz w:val="24"/>
        </w:rPr>
        <w:t>J</w:t>
      </w:r>
      <w:r>
        <w:rPr>
          <w:spacing w:val="-1"/>
          <w:sz w:val="24"/>
        </w:rPr>
        <w:t> </w:t>
      </w:r>
      <w:r>
        <w:rPr>
          <w:sz w:val="24"/>
        </w:rPr>
        <w:t>Clin</w:t>
      </w:r>
      <w:r>
        <w:rPr>
          <w:spacing w:val="-1"/>
          <w:sz w:val="24"/>
        </w:rPr>
        <w:t> </w:t>
      </w:r>
      <w:r>
        <w:rPr>
          <w:sz w:val="24"/>
        </w:rPr>
        <w:t>Lipidol. 2011</w:t>
      </w:r>
      <w:r>
        <w:rPr>
          <w:spacing w:val="-1"/>
          <w:sz w:val="24"/>
        </w:rPr>
        <w:t> </w:t>
      </w:r>
      <w:r>
        <w:rPr>
          <w:sz w:val="24"/>
        </w:rPr>
        <w:t>Jun;5(3 Suppl):S9–17. doi:10.1016/j.jacl.2011.03.452</w:t>
      </w:r>
    </w:p>
    <w:p>
      <w:pPr>
        <w:pStyle w:val="ListParagraph"/>
        <w:numPr>
          <w:ilvl w:val="0"/>
          <w:numId w:val="25"/>
        </w:numPr>
        <w:tabs>
          <w:tab w:pos="2677" w:val="left" w:leader="none"/>
          <w:tab w:pos="2678" w:val="left" w:leader="none"/>
        </w:tabs>
        <w:spacing w:line="360" w:lineRule="auto" w:before="0" w:after="0"/>
        <w:ind w:left="1981" w:right="566" w:hanging="360"/>
        <w:jc w:val="both"/>
        <w:rPr>
          <w:sz w:val="24"/>
        </w:rPr>
      </w:pPr>
      <w:bookmarkStart w:name="_bookmark260" w:id="309"/>
      <w:bookmarkEnd w:id="309"/>
      <w:r>
        <w:rPr>
          <w:sz w:val="24"/>
        </w:rPr>
        <w:t>My</w:t>
      </w:r>
      <w:r>
        <w:rPr>
          <w:sz w:val="24"/>
        </w:rPr>
        <w:t>ant NB. Familial defective apolipoprotein B-100: a review, including some comparisons with familial hypercholesterolaemia. Atherosclerosis. 1993 Dec;104(1– 2):1–18. doi:10.1016/0021-9150(93)90171-p</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61" w:id="310"/>
      <w:bookmarkEnd w:id="310"/>
      <w:r>
        <w:rPr>
          <w:sz w:val="24"/>
        </w:rPr>
        <w:t>M</w:t>
      </w:r>
      <w:r>
        <w:rPr>
          <w:sz w:val="24"/>
        </w:rPr>
        <w:t>eriño-Ibarra E, Castillo S, Mozas P et al. Screening of APOB gene mutations in subjects with clinical diagnosis of familial hypercholesterolemia. Hum Biol. 2005 Oct;77(5):663–73. PMID: 16596945.</w:t>
      </w:r>
    </w:p>
    <w:p>
      <w:pPr>
        <w:pStyle w:val="ListParagraph"/>
        <w:numPr>
          <w:ilvl w:val="0"/>
          <w:numId w:val="25"/>
        </w:numPr>
        <w:tabs>
          <w:tab w:pos="2677" w:val="left" w:leader="none"/>
          <w:tab w:pos="2678" w:val="left" w:leader="none"/>
        </w:tabs>
        <w:spacing w:line="360" w:lineRule="auto" w:before="0" w:after="0"/>
        <w:ind w:left="1981" w:right="567" w:hanging="360"/>
        <w:jc w:val="left"/>
        <w:rPr>
          <w:sz w:val="24"/>
        </w:rPr>
      </w:pPr>
      <w:bookmarkStart w:name="_bookmark262" w:id="311"/>
      <w:bookmarkEnd w:id="311"/>
      <w:r>
        <w:rPr>
          <w:sz w:val="24"/>
        </w:rPr>
        <w:t>M</w:t>
      </w:r>
      <w:r>
        <w:rPr>
          <w:sz w:val="24"/>
        </w:rPr>
        <w:t>eshkov A. N., Ershova A. I., Shcherbakova N. V. et al. Phenotypic features of</w:t>
      </w:r>
      <w:r>
        <w:rPr>
          <w:spacing w:val="40"/>
          <w:sz w:val="24"/>
        </w:rPr>
        <w:t> </w:t>
      </w:r>
      <w:r>
        <w:rPr>
          <w:sz w:val="24"/>
        </w:rPr>
        <w:t>the</w:t>
      </w:r>
      <w:r>
        <w:rPr>
          <w:spacing w:val="-4"/>
          <w:sz w:val="24"/>
        </w:rPr>
        <w:t> </w:t>
      </w:r>
      <w:r>
        <w:rPr>
          <w:sz w:val="24"/>
        </w:rPr>
        <w:t>course</w:t>
      </w:r>
      <w:r>
        <w:rPr>
          <w:spacing w:val="-4"/>
          <w:sz w:val="24"/>
        </w:rPr>
        <w:t> </w:t>
      </w:r>
      <w:r>
        <w:rPr>
          <w:sz w:val="24"/>
        </w:rPr>
        <w:t>of</w:t>
      </w:r>
      <w:r>
        <w:rPr>
          <w:spacing w:val="-2"/>
          <w:sz w:val="24"/>
        </w:rPr>
        <w:t> </w:t>
      </w:r>
      <w:r>
        <w:rPr>
          <w:sz w:val="24"/>
        </w:rPr>
        <w:t>the</w:t>
      </w:r>
      <w:r>
        <w:rPr>
          <w:spacing w:val="-4"/>
          <w:sz w:val="24"/>
        </w:rPr>
        <w:t> </w:t>
      </w:r>
      <w:r>
        <w:rPr>
          <w:sz w:val="24"/>
        </w:rPr>
        <w:t>heterozygous</w:t>
      </w:r>
      <w:r>
        <w:rPr>
          <w:spacing w:val="-3"/>
          <w:sz w:val="24"/>
        </w:rPr>
        <w:t> </w:t>
      </w:r>
      <w:r>
        <w:rPr>
          <w:sz w:val="24"/>
        </w:rPr>
        <w:t>form</w:t>
      </w:r>
      <w:r>
        <w:rPr>
          <w:spacing w:val="-3"/>
          <w:sz w:val="24"/>
        </w:rPr>
        <w:t> </w:t>
      </w:r>
      <w:r>
        <w:rPr>
          <w:sz w:val="24"/>
        </w:rPr>
        <w:t>of</w:t>
      </w:r>
      <w:r>
        <w:rPr>
          <w:spacing w:val="-2"/>
          <w:sz w:val="24"/>
        </w:rPr>
        <w:t> </w:t>
      </w:r>
      <w:r>
        <w:rPr>
          <w:sz w:val="24"/>
        </w:rPr>
        <w:t>familial</w:t>
      </w:r>
      <w:r>
        <w:rPr>
          <w:spacing w:val="-3"/>
          <w:sz w:val="24"/>
        </w:rPr>
        <w:t> </w:t>
      </w:r>
      <w:r>
        <w:rPr>
          <w:sz w:val="24"/>
        </w:rPr>
        <w:t>hypercholesterolemia</w:t>
      </w:r>
      <w:r>
        <w:rPr>
          <w:spacing w:val="-4"/>
          <w:sz w:val="24"/>
        </w:rPr>
        <w:t> </w:t>
      </w:r>
      <w:r>
        <w:rPr>
          <w:sz w:val="24"/>
        </w:rPr>
        <w:t>in</w:t>
      </w:r>
      <w:r>
        <w:rPr>
          <w:spacing w:val="-1"/>
          <w:sz w:val="24"/>
        </w:rPr>
        <w:t> </w:t>
      </w:r>
      <w:r>
        <w:rPr>
          <w:sz w:val="24"/>
        </w:rPr>
        <w:t>carriers</w:t>
      </w:r>
      <w:r>
        <w:rPr>
          <w:spacing w:val="-1"/>
          <w:sz w:val="24"/>
        </w:rPr>
        <w:t> </w:t>
      </w:r>
      <w:r>
        <w:rPr>
          <w:sz w:val="24"/>
        </w:rPr>
        <w:t>of</w:t>
      </w:r>
      <w:r>
        <w:rPr>
          <w:spacing w:val="-2"/>
          <w:sz w:val="24"/>
        </w:rPr>
        <w:t> </w:t>
      </w:r>
      <w:r>
        <w:rPr>
          <w:sz w:val="24"/>
        </w:rPr>
        <w:t>LDLR and APOB gene mutations. Cardiovascular therapy and prevention. 2011;10(8):63–65. Мешков А. Н, Ершова А. И, Щербакова Н. В. и др. Фенотипические особенности</w:t>
      </w:r>
      <w:r>
        <w:rPr>
          <w:spacing w:val="80"/>
          <w:sz w:val="24"/>
        </w:rPr>
        <w:t> </w:t>
      </w:r>
      <w:r>
        <w:rPr>
          <w:sz w:val="24"/>
        </w:rPr>
        <w:t>течения</w:t>
      </w:r>
      <w:r>
        <w:rPr>
          <w:spacing w:val="80"/>
          <w:sz w:val="24"/>
        </w:rPr>
        <w:t> </w:t>
      </w:r>
      <w:r>
        <w:rPr>
          <w:sz w:val="24"/>
        </w:rPr>
        <w:t>гетерозиготной</w:t>
      </w:r>
      <w:r>
        <w:rPr>
          <w:spacing w:val="80"/>
          <w:sz w:val="24"/>
        </w:rPr>
        <w:t> </w:t>
      </w:r>
      <w:r>
        <w:rPr>
          <w:sz w:val="24"/>
        </w:rPr>
        <w:t>формы</w:t>
      </w:r>
      <w:r>
        <w:rPr>
          <w:spacing w:val="80"/>
          <w:sz w:val="24"/>
        </w:rPr>
        <w:t> </w:t>
      </w:r>
      <w:r>
        <w:rPr>
          <w:sz w:val="24"/>
        </w:rPr>
        <w:t>семейной</w:t>
      </w:r>
      <w:r>
        <w:rPr>
          <w:spacing w:val="80"/>
          <w:sz w:val="24"/>
        </w:rPr>
        <w:t> </w:t>
      </w:r>
      <w:r>
        <w:rPr>
          <w:sz w:val="24"/>
        </w:rPr>
        <w:t>гиперхолестеринемии</w:t>
      </w:r>
      <w:r>
        <w:rPr>
          <w:spacing w:val="80"/>
          <w:sz w:val="24"/>
        </w:rPr>
        <w:t> </w:t>
      </w:r>
      <w:r>
        <w:rPr>
          <w:sz w:val="24"/>
        </w:rPr>
        <w:t>у</w:t>
      </w:r>
      <w:r>
        <w:rPr>
          <w:spacing w:val="80"/>
          <w:sz w:val="24"/>
        </w:rPr>
        <w:t> </w:t>
      </w:r>
      <w:r>
        <w:rPr>
          <w:sz w:val="24"/>
        </w:rPr>
        <w:t>носителей</w:t>
      </w:r>
      <w:r>
        <w:rPr>
          <w:spacing w:val="80"/>
          <w:sz w:val="24"/>
        </w:rPr>
        <w:t> </w:t>
      </w:r>
      <w:r>
        <w:rPr>
          <w:sz w:val="24"/>
        </w:rPr>
        <w:t>мутаций</w:t>
      </w:r>
      <w:r>
        <w:rPr>
          <w:spacing w:val="80"/>
          <w:sz w:val="24"/>
        </w:rPr>
        <w:t> </w:t>
      </w:r>
      <w:r>
        <w:rPr>
          <w:sz w:val="24"/>
        </w:rPr>
        <w:t>генов</w:t>
      </w:r>
      <w:r>
        <w:rPr>
          <w:spacing w:val="80"/>
          <w:sz w:val="24"/>
        </w:rPr>
        <w:t> </w:t>
      </w:r>
      <w:r>
        <w:rPr>
          <w:sz w:val="24"/>
        </w:rPr>
        <w:t>LDLR</w:t>
      </w:r>
      <w:r>
        <w:rPr>
          <w:spacing w:val="80"/>
          <w:sz w:val="24"/>
        </w:rPr>
        <w:t> </w:t>
      </w:r>
      <w:r>
        <w:rPr>
          <w:sz w:val="24"/>
        </w:rPr>
        <w:t>и</w:t>
      </w:r>
      <w:r>
        <w:rPr>
          <w:spacing w:val="80"/>
          <w:sz w:val="24"/>
        </w:rPr>
        <w:t> </w:t>
      </w:r>
      <w:r>
        <w:rPr>
          <w:sz w:val="24"/>
        </w:rPr>
        <w:t>APOB.</w:t>
      </w:r>
      <w:r>
        <w:rPr>
          <w:spacing w:val="80"/>
          <w:sz w:val="24"/>
        </w:rPr>
        <w:t> </w:t>
      </w:r>
      <w:r>
        <w:rPr>
          <w:sz w:val="24"/>
        </w:rPr>
        <w:t>Кардиоваскулярная</w:t>
      </w:r>
      <w:r>
        <w:rPr>
          <w:spacing w:val="80"/>
          <w:sz w:val="24"/>
        </w:rPr>
        <w:t> </w:t>
      </w:r>
      <w:r>
        <w:rPr>
          <w:sz w:val="24"/>
        </w:rPr>
        <w:t>терапия</w:t>
      </w:r>
      <w:r>
        <w:rPr>
          <w:spacing w:val="80"/>
          <w:sz w:val="24"/>
        </w:rPr>
        <w:t> </w:t>
      </w:r>
      <w:r>
        <w:rPr>
          <w:sz w:val="24"/>
        </w:rPr>
        <w:t>и</w:t>
      </w:r>
      <w:r>
        <w:rPr>
          <w:spacing w:val="80"/>
          <w:sz w:val="24"/>
        </w:rPr>
        <w:t> </w:t>
      </w:r>
      <w:r>
        <w:rPr>
          <w:sz w:val="24"/>
        </w:rPr>
        <w:t>профилактика. </w:t>
      </w:r>
      <w:r>
        <w:rPr>
          <w:spacing w:val="-2"/>
          <w:sz w:val="24"/>
        </w:rPr>
        <w:t>2011;10(8):63–65.</w:t>
      </w:r>
    </w:p>
    <w:p>
      <w:pPr>
        <w:pStyle w:val="ListParagraph"/>
        <w:numPr>
          <w:ilvl w:val="0"/>
          <w:numId w:val="25"/>
        </w:numPr>
        <w:tabs>
          <w:tab w:pos="2677" w:val="left" w:leader="none"/>
          <w:tab w:pos="2678" w:val="left" w:leader="none"/>
        </w:tabs>
        <w:spacing w:line="360" w:lineRule="auto" w:before="0" w:after="0"/>
        <w:ind w:left="1981" w:right="572" w:hanging="360"/>
        <w:jc w:val="left"/>
        <w:rPr>
          <w:sz w:val="24"/>
        </w:rPr>
      </w:pPr>
      <w:bookmarkStart w:name="_bookmark263" w:id="312"/>
      <w:bookmarkEnd w:id="312"/>
      <w:r>
        <w:rPr>
          <w:sz w:val="24"/>
        </w:rPr>
        <w:t>Bu</w:t>
      </w:r>
      <w:r>
        <w:rPr>
          <w:sz w:val="24"/>
        </w:rPr>
        <w:t>rnett</w:t>
      </w:r>
      <w:r>
        <w:rPr>
          <w:spacing w:val="31"/>
          <w:sz w:val="24"/>
        </w:rPr>
        <w:t> </w:t>
      </w:r>
      <w:r>
        <w:rPr>
          <w:sz w:val="24"/>
        </w:rPr>
        <w:t>JR,</w:t>
      </w:r>
      <w:r>
        <w:rPr>
          <w:spacing w:val="30"/>
          <w:sz w:val="24"/>
        </w:rPr>
        <w:t> </w:t>
      </w:r>
      <w:r>
        <w:rPr>
          <w:sz w:val="24"/>
        </w:rPr>
        <w:t>Hooper</w:t>
      </w:r>
      <w:r>
        <w:rPr>
          <w:spacing w:val="29"/>
          <w:sz w:val="24"/>
        </w:rPr>
        <w:t> </w:t>
      </w:r>
      <w:r>
        <w:rPr>
          <w:sz w:val="24"/>
        </w:rPr>
        <w:t>AJ.</w:t>
      </w:r>
      <w:r>
        <w:rPr>
          <w:spacing w:val="32"/>
          <w:sz w:val="24"/>
        </w:rPr>
        <w:t> </w:t>
      </w:r>
      <w:r>
        <w:rPr>
          <w:sz w:val="24"/>
        </w:rPr>
        <w:t>Common</w:t>
      </w:r>
      <w:r>
        <w:rPr>
          <w:spacing w:val="30"/>
          <w:sz w:val="24"/>
        </w:rPr>
        <w:t> </w:t>
      </w:r>
      <w:r>
        <w:rPr>
          <w:sz w:val="24"/>
        </w:rPr>
        <w:t>and</w:t>
      </w:r>
      <w:r>
        <w:rPr>
          <w:spacing w:val="30"/>
          <w:sz w:val="24"/>
        </w:rPr>
        <w:t> </w:t>
      </w:r>
      <w:r>
        <w:rPr>
          <w:sz w:val="24"/>
        </w:rPr>
        <w:t>rare</w:t>
      </w:r>
      <w:r>
        <w:rPr>
          <w:spacing w:val="31"/>
          <w:sz w:val="24"/>
        </w:rPr>
        <w:t> </w:t>
      </w:r>
      <w:r>
        <w:rPr>
          <w:sz w:val="24"/>
        </w:rPr>
        <w:t>gene</w:t>
      </w:r>
      <w:r>
        <w:rPr>
          <w:spacing w:val="31"/>
          <w:sz w:val="24"/>
        </w:rPr>
        <w:t> </w:t>
      </w:r>
      <w:r>
        <w:rPr>
          <w:sz w:val="24"/>
        </w:rPr>
        <w:t>variants</w:t>
      </w:r>
      <w:r>
        <w:rPr>
          <w:spacing w:val="30"/>
          <w:sz w:val="24"/>
        </w:rPr>
        <w:t> </w:t>
      </w:r>
      <w:r>
        <w:rPr>
          <w:sz w:val="24"/>
        </w:rPr>
        <w:t>affecting</w:t>
      </w:r>
      <w:r>
        <w:rPr>
          <w:spacing w:val="30"/>
          <w:sz w:val="24"/>
        </w:rPr>
        <w:t> </w:t>
      </w:r>
      <w:r>
        <w:rPr>
          <w:sz w:val="24"/>
        </w:rPr>
        <w:t>plasma</w:t>
      </w:r>
      <w:r>
        <w:rPr>
          <w:spacing w:val="29"/>
          <w:sz w:val="24"/>
        </w:rPr>
        <w:t> </w:t>
      </w:r>
      <w:r>
        <w:rPr>
          <w:sz w:val="24"/>
        </w:rPr>
        <w:t>LDL cholesterol. Clin Biochem Rev. 2008 Feb;29(1):11–26. PMID: 18566665.</w:t>
      </w:r>
    </w:p>
    <w:p>
      <w:pPr>
        <w:pStyle w:val="ListParagraph"/>
        <w:numPr>
          <w:ilvl w:val="0"/>
          <w:numId w:val="25"/>
        </w:numPr>
        <w:tabs>
          <w:tab w:pos="2677" w:val="left" w:leader="none"/>
          <w:tab w:pos="2678" w:val="left" w:leader="none"/>
        </w:tabs>
        <w:spacing w:line="360" w:lineRule="auto" w:before="0" w:after="0"/>
        <w:ind w:left="1981" w:right="567" w:hanging="360"/>
        <w:jc w:val="left"/>
        <w:rPr>
          <w:sz w:val="24"/>
        </w:rPr>
      </w:pPr>
      <w:bookmarkStart w:name="_bookmark264" w:id="313"/>
      <w:bookmarkEnd w:id="313"/>
      <w:r>
        <w:rPr>
          <w:sz w:val="24"/>
        </w:rPr>
        <w:t>M</w:t>
      </w:r>
      <w:r>
        <w:rPr>
          <w:sz w:val="24"/>
        </w:rPr>
        <w:t>andelstam M. Yu, Vasiliev V. B. Monogenic hypercholesterolemia: new genes, new targets for treatment. Genetics. 2008;44(10):1309–1316.</w:t>
      </w:r>
    </w:p>
    <w:p>
      <w:pPr>
        <w:pStyle w:val="BodyText"/>
        <w:spacing w:line="360" w:lineRule="auto"/>
        <w:ind w:right="571"/>
      </w:pPr>
      <w:r>
        <w:rPr/>
        <w:t>Мандельштам</w:t>
      </w:r>
      <w:r>
        <w:rPr>
          <w:spacing w:val="40"/>
        </w:rPr>
        <w:t> </w:t>
      </w:r>
      <w:r>
        <w:rPr/>
        <w:t>М.</w:t>
      </w:r>
      <w:r>
        <w:rPr>
          <w:spacing w:val="40"/>
        </w:rPr>
        <w:t> </w:t>
      </w:r>
      <w:r>
        <w:rPr/>
        <w:t>Ю,</w:t>
      </w:r>
      <w:r>
        <w:rPr>
          <w:spacing w:val="40"/>
        </w:rPr>
        <w:t> </w:t>
      </w:r>
      <w:r>
        <w:rPr/>
        <w:t>Васильев</w:t>
      </w:r>
      <w:r>
        <w:rPr>
          <w:spacing w:val="40"/>
        </w:rPr>
        <w:t> </w:t>
      </w:r>
      <w:r>
        <w:rPr/>
        <w:t>В.</w:t>
      </w:r>
      <w:r>
        <w:rPr>
          <w:spacing w:val="40"/>
        </w:rPr>
        <w:t> </w:t>
      </w:r>
      <w:r>
        <w:rPr/>
        <w:t>Б.</w:t>
      </w:r>
      <w:r>
        <w:rPr>
          <w:spacing w:val="40"/>
        </w:rPr>
        <w:t> </w:t>
      </w:r>
      <w:r>
        <w:rPr/>
        <w:t>Моногенные</w:t>
      </w:r>
      <w:r>
        <w:rPr>
          <w:spacing w:val="40"/>
        </w:rPr>
        <w:t> </w:t>
      </w:r>
      <w:r>
        <w:rPr/>
        <w:t>гиперхолестеринемии:</w:t>
      </w:r>
      <w:r>
        <w:rPr>
          <w:spacing w:val="40"/>
        </w:rPr>
        <w:t> </w:t>
      </w:r>
      <w:r>
        <w:rPr/>
        <w:t>новые гены, новые мишени для лечения. Генетика. 2008;44(10):1309–1316.</w:t>
      </w:r>
    </w:p>
    <w:p>
      <w:pPr>
        <w:pStyle w:val="ListParagraph"/>
        <w:numPr>
          <w:ilvl w:val="0"/>
          <w:numId w:val="25"/>
        </w:numPr>
        <w:tabs>
          <w:tab w:pos="2677" w:val="left" w:leader="none"/>
          <w:tab w:pos="2678" w:val="left" w:leader="none"/>
        </w:tabs>
        <w:spacing w:line="360" w:lineRule="auto" w:before="0" w:after="0"/>
        <w:ind w:left="1981" w:right="571" w:hanging="360"/>
        <w:jc w:val="both"/>
        <w:rPr>
          <w:sz w:val="24"/>
        </w:rPr>
      </w:pPr>
      <w:bookmarkStart w:name="_bookmark265" w:id="314"/>
      <w:bookmarkEnd w:id="314"/>
      <w:r>
        <w:rPr>
          <w:sz w:val="24"/>
        </w:rPr>
        <w:t>Sh</w:t>
      </w:r>
      <w:r>
        <w:rPr>
          <w:sz w:val="24"/>
        </w:rPr>
        <w:t>akhtshneider E. V., Ivanoshchuk D. E., Makarenkova K. V. et al. Cascade genetic screening in the diagnosis of heterozygous familial hypercholesterolemia: a clinical case. Russian Journal of Cardiology 2017;146(6):178–179.</w:t>
      </w:r>
    </w:p>
    <w:p>
      <w:pPr>
        <w:pStyle w:val="BodyText"/>
        <w:spacing w:line="360" w:lineRule="auto" w:before="1"/>
        <w:ind w:right="568"/>
        <w:jc w:val="both"/>
      </w:pPr>
      <w:r>
        <w:rPr/>
        <w:t>Шахтшнейдер Е. В., Иванощук Д. Е., Макаренкова К. В. и др. Каскадный генетический</w:t>
      </w:r>
      <w:r>
        <w:rPr>
          <w:spacing w:val="77"/>
        </w:rPr>
        <w:t>  </w:t>
      </w:r>
      <w:r>
        <w:rPr/>
        <w:t>скрининг</w:t>
      </w:r>
      <w:r>
        <w:rPr>
          <w:spacing w:val="76"/>
        </w:rPr>
        <w:t>  </w:t>
      </w:r>
      <w:r>
        <w:rPr/>
        <w:t>в</w:t>
      </w:r>
      <w:r>
        <w:rPr>
          <w:spacing w:val="76"/>
        </w:rPr>
        <w:t>  </w:t>
      </w:r>
      <w:r>
        <w:rPr/>
        <w:t>диагностике</w:t>
      </w:r>
      <w:r>
        <w:rPr>
          <w:spacing w:val="75"/>
        </w:rPr>
        <w:t>  </w:t>
      </w:r>
      <w:r>
        <w:rPr/>
        <w:t>гетерозиготной</w:t>
      </w:r>
      <w:r>
        <w:rPr>
          <w:spacing w:val="77"/>
        </w:rPr>
        <w:t>  </w:t>
      </w:r>
      <w:r>
        <w:rPr/>
        <w:t>формы</w:t>
      </w:r>
      <w:r>
        <w:rPr>
          <w:spacing w:val="77"/>
        </w:rPr>
        <w:t>  </w:t>
      </w:r>
      <w:r>
        <w:rPr>
          <w:spacing w:val="-2"/>
        </w:rPr>
        <w:t>семейной</w:t>
      </w:r>
    </w:p>
    <w:p>
      <w:pPr>
        <w:spacing w:after="0" w:line="360" w:lineRule="auto"/>
        <w:jc w:val="both"/>
        <w:sectPr>
          <w:pgSz w:w="11910" w:h="16840"/>
          <w:pgMar w:header="0" w:footer="710" w:top="1040" w:bottom="900" w:left="440" w:right="280"/>
        </w:sectPr>
      </w:pPr>
    </w:p>
    <w:p>
      <w:pPr>
        <w:pStyle w:val="BodyText"/>
        <w:spacing w:line="360" w:lineRule="auto" w:before="73"/>
        <w:ind w:right="568"/>
        <w:jc w:val="both"/>
      </w:pPr>
      <w:r>
        <w:rPr/>
        <w:t>гиперхолестеринемии: клинический случай. Российский кардиологический журнал </w:t>
      </w:r>
      <w:r>
        <w:rPr>
          <w:spacing w:val="-2"/>
        </w:rPr>
        <w:t>2017;146(6):178–179.</w:t>
      </w:r>
    </w:p>
    <w:p>
      <w:pPr>
        <w:pStyle w:val="ListParagraph"/>
        <w:numPr>
          <w:ilvl w:val="0"/>
          <w:numId w:val="25"/>
        </w:numPr>
        <w:tabs>
          <w:tab w:pos="2677" w:val="left" w:leader="none"/>
          <w:tab w:pos="2678" w:val="left" w:leader="none"/>
        </w:tabs>
        <w:spacing w:line="360" w:lineRule="auto" w:before="0" w:after="0"/>
        <w:ind w:left="1981" w:right="566" w:hanging="360"/>
        <w:jc w:val="both"/>
        <w:rPr>
          <w:sz w:val="24"/>
        </w:rPr>
      </w:pPr>
      <w:bookmarkStart w:name="_bookmark266" w:id="315"/>
      <w:bookmarkEnd w:id="315"/>
      <w:r>
        <w:rPr>
          <w:sz w:val="24"/>
        </w:rPr>
        <w:t>A</w:t>
      </w:r>
      <w:r>
        <w:rPr>
          <w:sz w:val="24"/>
        </w:rPr>
        <w:t>bifadel M, Rabès JP, Devillers M et al. Mutations and polymorphisms in the proprotein convertase subtilisin kexin 9 (PCSK9) gene in cholesterol metabolism and disease. Hum Mutat. 2009 Apr;30(4):520–9. doi:10.1002/humu.20882</w:t>
      </w:r>
    </w:p>
    <w:p>
      <w:pPr>
        <w:pStyle w:val="ListParagraph"/>
        <w:numPr>
          <w:ilvl w:val="0"/>
          <w:numId w:val="25"/>
        </w:numPr>
        <w:tabs>
          <w:tab w:pos="2677" w:val="left" w:leader="none"/>
          <w:tab w:pos="2678" w:val="left" w:leader="none"/>
        </w:tabs>
        <w:spacing w:line="360" w:lineRule="auto" w:before="2" w:after="0"/>
        <w:ind w:left="1981" w:right="570" w:hanging="360"/>
        <w:jc w:val="both"/>
        <w:rPr>
          <w:sz w:val="24"/>
        </w:rPr>
      </w:pPr>
      <w:bookmarkStart w:name="_bookmark267" w:id="316"/>
      <w:bookmarkEnd w:id="316"/>
      <w:r>
        <w:rPr>
          <w:sz w:val="24"/>
        </w:rPr>
        <w:t>E</w:t>
      </w:r>
      <w:r>
        <w:rPr>
          <w:sz w:val="24"/>
        </w:rPr>
        <w:t>zhov M. V., Bazhan S. S., Ershova A. I. et al. Clinical guidelines for familial hypercholesterolemia. Atherosclerosis. 2019;15(1):58–98.</w:t>
      </w:r>
    </w:p>
    <w:p>
      <w:pPr>
        <w:pStyle w:val="BodyText"/>
        <w:spacing w:line="360" w:lineRule="auto"/>
        <w:ind w:right="567"/>
        <w:jc w:val="both"/>
      </w:pPr>
      <w:r>
        <w:rPr/>
        <w:t>Ежов М. В., Бажан С. С., Ершова А. И. и др. Клинические рекомендации по семейной гиперхолестеринемии. Атеросклероз. 2019;15(1):58–98.</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68" w:id="317"/>
      <w:bookmarkEnd w:id="317"/>
      <w:r>
        <w:rPr>
          <w:sz w:val="24"/>
        </w:rPr>
        <w:t>W</w:t>
      </w:r>
      <w:r>
        <w:rPr>
          <w:sz w:val="24"/>
        </w:rPr>
        <w:t>iegman A, Gidding SS, Watts GF et al. Familial hypercholesterolaemia in children and adolescents: gaining decades of life by optimizing detection and treatment. Eur Heart J. 2015 Sep 21;36(36):2425–37. doi:10.1093/eurheartj/ehv157</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69" w:id="318"/>
      <w:bookmarkEnd w:id="318"/>
      <w:r>
        <w:rPr>
          <w:sz w:val="24"/>
        </w:rPr>
        <w:t>W</w:t>
      </w:r>
      <w:r>
        <w:rPr>
          <w:sz w:val="24"/>
        </w:rPr>
        <w:t>atts GF, Gidding S, Wierzbicki AS et al. Integrated guidance on the care of familial hypercholesterolaemia from the International FH Foundation: executive summary. J Atheroscler Thromb. 2014;21(4):368–74. PMID: 24892180.</w:t>
      </w:r>
    </w:p>
    <w:p>
      <w:pPr>
        <w:pStyle w:val="ListParagraph"/>
        <w:numPr>
          <w:ilvl w:val="0"/>
          <w:numId w:val="25"/>
        </w:numPr>
        <w:tabs>
          <w:tab w:pos="2677" w:val="left" w:leader="none"/>
          <w:tab w:pos="2678" w:val="left" w:leader="none"/>
        </w:tabs>
        <w:spacing w:line="360" w:lineRule="auto" w:before="0" w:after="0"/>
        <w:ind w:left="1981" w:right="570" w:hanging="360"/>
        <w:jc w:val="both"/>
        <w:rPr>
          <w:sz w:val="24"/>
        </w:rPr>
      </w:pPr>
      <w:bookmarkStart w:name="_bookmark270" w:id="319"/>
      <w:bookmarkEnd w:id="319"/>
      <w:r>
        <w:rPr>
          <w:sz w:val="24"/>
        </w:rPr>
        <w:t>M</w:t>
      </w:r>
      <w:r>
        <w:rPr>
          <w:sz w:val="24"/>
        </w:rPr>
        <w:t>arteau T, Senior V, Humphries SE et al. Psychological impact of genetic testing for familial hypercholesterolemia within a previously aware population: a randomized controlled trial. Am J Med Genet A. 2004 Jul 30;128A(3):285–93. </w:t>
      </w:r>
      <w:r>
        <w:rPr>
          <w:spacing w:val="-2"/>
          <w:sz w:val="24"/>
        </w:rPr>
        <w:t>doi:10.1002/ajmg.a.30102</w:t>
      </w:r>
    </w:p>
    <w:p>
      <w:pPr>
        <w:pStyle w:val="ListParagraph"/>
        <w:numPr>
          <w:ilvl w:val="0"/>
          <w:numId w:val="25"/>
        </w:numPr>
        <w:tabs>
          <w:tab w:pos="2677" w:val="left" w:leader="none"/>
          <w:tab w:pos="2678" w:val="left" w:leader="none"/>
        </w:tabs>
        <w:spacing w:line="360" w:lineRule="auto" w:before="0" w:after="0"/>
        <w:ind w:left="1981" w:right="568" w:hanging="360"/>
        <w:jc w:val="both"/>
        <w:rPr>
          <w:sz w:val="24"/>
        </w:rPr>
      </w:pPr>
      <w:bookmarkStart w:name="_bookmark271" w:id="320"/>
      <w:bookmarkEnd w:id="320"/>
      <w:r>
        <w:rPr>
          <w:sz w:val="24"/>
        </w:rPr>
        <w:t>Civ</w:t>
      </w:r>
      <w:r>
        <w:rPr>
          <w:sz w:val="24"/>
        </w:rPr>
        <w:t>eira F, Ros E, Jarauta E et al. Comparison of genetic versus clinical diagnosis in familial hypercholesterolemia. Am J Cardiol. 2008 Nov 1;102(9):1187–93, 1193.e1. </w:t>
      </w:r>
      <w:r>
        <w:rPr>
          <w:spacing w:val="-2"/>
          <w:sz w:val="24"/>
        </w:rPr>
        <w:t>doi:10.1016/j.amjcard.2008.06.056</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72" w:id="321"/>
      <w:bookmarkEnd w:id="321"/>
      <w:r>
        <w:rPr>
          <w:sz w:val="24"/>
        </w:rPr>
        <w:t>P</w:t>
      </w:r>
      <w:r>
        <w:rPr>
          <w:sz w:val="24"/>
        </w:rPr>
        <w:t>alacios L, Grandoso L, Cuevas N, et al. Molecular characterization of familial hypercholesterolemia in Spain. Atherosclerosis. 2012 Mar;221(1):137–42. </w:t>
      </w:r>
      <w:r>
        <w:rPr>
          <w:spacing w:val="-2"/>
          <w:sz w:val="24"/>
        </w:rPr>
        <w:t>doi:10.1016/j.atherosclerosis.2011.12.021</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73" w:id="322"/>
      <w:bookmarkEnd w:id="322"/>
      <w:r>
        <w:rPr>
          <w:sz w:val="24"/>
        </w:rPr>
        <w:t>V</w:t>
      </w:r>
      <w:r>
        <w:rPr>
          <w:sz w:val="24"/>
        </w:rPr>
        <w:t>isseren FLJ, Mach F, Smulders YM, Carballo D, Koskinas</w:t>
      </w:r>
      <w:r>
        <w:rPr>
          <w:spacing w:val="-2"/>
          <w:sz w:val="24"/>
        </w:rPr>
        <w:t> </w:t>
      </w:r>
      <w:r>
        <w:rPr>
          <w:sz w:val="24"/>
        </w:rPr>
        <w:t>KC, Bäck M,</w:t>
      </w:r>
      <w:r>
        <w:rPr>
          <w:spacing w:val="40"/>
          <w:sz w:val="24"/>
        </w:rPr>
        <w:t> </w:t>
      </w:r>
      <w:r>
        <w:rPr>
          <w:sz w:val="24"/>
        </w:rPr>
        <w:t>Benetos A, Biffi A, Boavida JM, Capodanno D, Cosyns B, Crawford C, Davos CH, Desormais I, Di Angelantonio E, Franco OH, Halvorsen S, Hobbs FDR, Hollander</w:t>
      </w:r>
      <w:r>
        <w:rPr>
          <w:spacing w:val="-3"/>
          <w:sz w:val="24"/>
        </w:rPr>
        <w:t> </w:t>
      </w:r>
      <w:r>
        <w:rPr>
          <w:sz w:val="24"/>
        </w:rPr>
        <w:t>M, Jankowska</w:t>
      </w:r>
      <w:r>
        <w:rPr>
          <w:spacing w:val="-3"/>
          <w:sz w:val="24"/>
        </w:rPr>
        <w:t> </w:t>
      </w:r>
      <w:r>
        <w:rPr>
          <w:sz w:val="24"/>
        </w:rPr>
        <w:t>EA,</w:t>
      </w:r>
      <w:r>
        <w:rPr>
          <w:spacing w:val="-2"/>
          <w:sz w:val="24"/>
        </w:rPr>
        <w:t> </w:t>
      </w:r>
      <w:r>
        <w:rPr>
          <w:sz w:val="24"/>
        </w:rPr>
        <w:t>Michal M,</w:t>
      </w:r>
      <w:r>
        <w:rPr>
          <w:spacing w:val="-2"/>
          <w:sz w:val="24"/>
        </w:rPr>
        <w:t> </w:t>
      </w:r>
      <w:r>
        <w:rPr>
          <w:sz w:val="24"/>
        </w:rPr>
        <w:t>Sacco S,</w:t>
      </w:r>
      <w:r>
        <w:rPr>
          <w:spacing w:val="-2"/>
          <w:sz w:val="24"/>
        </w:rPr>
        <w:t> </w:t>
      </w:r>
      <w:r>
        <w:rPr>
          <w:sz w:val="24"/>
        </w:rPr>
        <w:t>Sattar</w:t>
      </w:r>
      <w:r>
        <w:rPr>
          <w:spacing w:val="-1"/>
          <w:sz w:val="24"/>
        </w:rPr>
        <w:t> </w:t>
      </w:r>
      <w:r>
        <w:rPr>
          <w:sz w:val="24"/>
        </w:rPr>
        <w:t>N,</w:t>
      </w:r>
      <w:r>
        <w:rPr>
          <w:spacing w:val="-2"/>
          <w:sz w:val="24"/>
        </w:rPr>
        <w:t> </w:t>
      </w:r>
      <w:r>
        <w:rPr>
          <w:sz w:val="24"/>
        </w:rPr>
        <w:t>Tokgozoglu</w:t>
      </w:r>
      <w:r>
        <w:rPr>
          <w:spacing w:val="-2"/>
          <w:sz w:val="24"/>
        </w:rPr>
        <w:t> </w:t>
      </w:r>
      <w:r>
        <w:rPr>
          <w:sz w:val="24"/>
        </w:rPr>
        <w:t>L,</w:t>
      </w:r>
      <w:r>
        <w:rPr>
          <w:spacing w:val="-2"/>
          <w:sz w:val="24"/>
        </w:rPr>
        <w:t> </w:t>
      </w:r>
      <w:r>
        <w:rPr>
          <w:sz w:val="24"/>
        </w:rPr>
        <w:t>Tonstad S, Tsioufis</w:t>
      </w:r>
      <w:r>
        <w:rPr>
          <w:spacing w:val="-2"/>
          <w:sz w:val="24"/>
        </w:rPr>
        <w:t> </w:t>
      </w:r>
      <w:r>
        <w:rPr>
          <w:sz w:val="24"/>
        </w:rPr>
        <w:t>KP,</w:t>
      </w:r>
      <w:r>
        <w:rPr>
          <w:spacing w:val="-2"/>
          <w:sz w:val="24"/>
        </w:rPr>
        <w:t> </w:t>
      </w:r>
      <w:r>
        <w:rPr>
          <w:sz w:val="24"/>
        </w:rPr>
        <w:t>van Dis I, van Gelder IC, Wanner C, Williams B; ESC National Cardiac Societies; ESC Scientific Document Group. 2021 ESC Guidelines on cardiovascular disease prevention in clinical practice. Eur Heart J. 2021 Sep 7;42(34):3227–3337. </w:t>
      </w:r>
      <w:r>
        <w:rPr>
          <w:spacing w:val="-2"/>
          <w:sz w:val="24"/>
        </w:rPr>
        <w:t>doi:10.1093/eurheartj/ehab484</w:t>
      </w:r>
    </w:p>
    <w:p>
      <w:pPr>
        <w:pStyle w:val="ListParagraph"/>
        <w:numPr>
          <w:ilvl w:val="0"/>
          <w:numId w:val="25"/>
        </w:numPr>
        <w:tabs>
          <w:tab w:pos="2677" w:val="left" w:leader="none"/>
          <w:tab w:pos="2678" w:val="left" w:leader="none"/>
        </w:tabs>
        <w:spacing w:line="360" w:lineRule="auto" w:before="1" w:after="0"/>
        <w:ind w:left="1981" w:right="570" w:hanging="360"/>
        <w:jc w:val="both"/>
        <w:rPr>
          <w:sz w:val="24"/>
        </w:rPr>
      </w:pPr>
      <w:bookmarkStart w:name="_bookmark274" w:id="323"/>
      <w:bookmarkEnd w:id="323"/>
      <w:r>
        <w:rPr>
          <w:sz w:val="24"/>
        </w:rPr>
        <w:t>O</w:t>
      </w:r>
      <w:r>
        <w:rPr>
          <w:sz w:val="24"/>
        </w:rPr>
        <w:t>scarsson J, Önnerhag K, Risérus U, Sundén M, Johansson</w:t>
      </w:r>
      <w:r>
        <w:rPr>
          <w:spacing w:val="-3"/>
          <w:sz w:val="24"/>
        </w:rPr>
        <w:t> </w:t>
      </w:r>
      <w:r>
        <w:rPr>
          <w:sz w:val="24"/>
        </w:rPr>
        <w:t>L, Jansson PA, Moris L,</w:t>
      </w:r>
      <w:r>
        <w:rPr>
          <w:spacing w:val="40"/>
          <w:sz w:val="24"/>
        </w:rPr>
        <w:t> </w:t>
      </w:r>
      <w:r>
        <w:rPr>
          <w:sz w:val="24"/>
        </w:rPr>
        <w:t>Nilsson</w:t>
      </w:r>
      <w:r>
        <w:rPr>
          <w:spacing w:val="40"/>
          <w:sz w:val="24"/>
        </w:rPr>
        <w:t> </w:t>
      </w:r>
      <w:r>
        <w:rPr>
          <w:sz w:val="24"/>
        </w:rPr>
        <w:t>PM,</w:t>
      </w:r>
      <w:r>
        <w:rPr>
          <w:spacing w:val="40"/>
          <w:sz w:val="24"/>
        </w:rPr>
        <w:t> </w:t>
      </w:r>
      <w:r>
        <w:rPr>
          <w:sz w:val="24"/>
        </w:rPr>
        <w:t>Eriksson</w:t>
      </w:r>
      <w:r>
        <w:rPr>
          <w:spacing w:val="40"/>
          <w:sz w:val="24"/>
        </w:rPr>
        <w:t> </w:t>
      </w:r>
      <w:r>
        <w:rPr>
          <w:sz w:val="24"/>
        </w:rPr>
        <w:t>JW,</w:t>
      </w:r>
      <w:r>
        <w:rPr>
          <w:spacing w:val="40"/>
          <w:sz w:val="24"/>
        </w:rPr>
        <w:t> </w:t>
      </w:r>
      <w:r>
        <w:rPr>
          <w:sz w:val="24"/>
        </w:rPr>
        <w:t>Lind</w:t>
      </w:r>
      <w:r>
        <w:rPr>
          <w:spacing w:val="40"/>
          <w:sz w:val="24"/>
        </w:rPr>
        <w:t> </w:t>
      </w:r>
      <w:r>
        <w:rPr>
          <w:sz w:val="24"/>
        </w:rPr>
        <w:t>L.</w:t>
      </w:r>
      <w:r>
        <w:rPr>
          <w:spacing w:val="40"/>
          <w:sz w:val="24"/>
        </w:rPr>
        <w:t> </w:t>
      </w:r>
      <w:r>
        <w:rPr>
          <w:sz w:val="24"/>
        </w:rPr>
        <w:t>Effects</w:t>
      </w:r>
      <w:r>
        <w:rPr>
          <w:spacing w:val="40"/>
          <w:sz w:val="24"/>
        </w:rPr>
        <w:t> </w:t>
      </w:r>
      <w:r>
        <w:rPr>
          <w:sz w:val="24"/>
        </w:rPr>
        <w:t>of</w:t>
      </w:r>
      <w:r>
        <w:rPr>
          <w:spacing w:val="40"/>
          <w:sz w:val="24"/>
        </w:rPr>
        <w:t> </w:t>
      </w:r>
      <w:r>
        <w:rPr>
          <w:sz w:val="24"/>
        </w:rPr>
        <w:t>free</w:t>
      </w:r>
      <w:r>
        <w:rPr>
          <w:spacing w:val="40"/>
          <w:sz w:val="24"/>
        </w:rPr>
        <w:t> </w:t>
      </w:r>
      <w:r>
        <w:rPr>
          <w:sz w:val="24"/>
        </w:rPr>
        <w:t>omega-3</w:t>
      </w:r>
      <w:r>
        <w:rPr>
          <w:spacing w:val="40"/>
          <w:sz w:val="24"/>
        </w:rPr>
        <w:t> </w:t>
      </w:r>
      <w:r>
        <w:rPr>
          <w:sz w:val="24"/>
        </w:rPr>
        <w:t>carboxylic</w:t>
      </w:r>
      <w:r>
        <w:rPr>
          <w:spacing w:val="40"/>
          <w:sz w:val="24"/>
        </w:rPr>
        <w:t> </w:t>
      </w:r>
      <w:r>
        <w:rPr>
          <w:sz w:val="24"/>
        </w:rPr>
        <w:t>acids</w:t>
      </w:r>
      <w:r>
        <w:rPr>
          <w:spacing w:val="40"/>
          <w:sz w:val="24"/>
        </w:rPr>
        <w:t> </w:t>
      </w:r>
      <w:r>
        <w:rPr>
          <w:sz w:val="24"/>
        </w:rPr>
        <w:t>and</w:t>
      </w:r>
    </w:p>
    <w:p>
      <w:pPr>
        <w:spacing w:after="0" w:line="360" w:lineRule="auto"/>
        <w:jc w:val="both"/>
        <w:rPr>
          <w:sz w:val="24"/>
        </w:rPr>
        <w:sectPr>
          <w:pgSz w:w="11910" w:h="16840"/>
          <w:pgMar w:header="0" w:footer="710" w:top="1040" w:bottom="900" w:left="440" w:right="280"/>
        </w:sectPr>
      </w:pPr>
    </w:p>
    <w:p>
      <w:pPr>
        <w:pStyle w:val="BodyText"/>
        <w:spacing w:line="360" w:lineRule="auto" w:before="73"/>
        <w:ind w:right="567"/>
        <w:jc w:val="both"/>
      </w:pPr>
      <w:r>
        <w:rPr/>
        <w:t>fenofibrate on liver fat content in patients with hypertriglyceridemia and non-alcoholic fatty liver disease: A double-blind, randomized, placebo-controlled study. J Clin Lipidol. 2018</w:t>
      </w:r>
      <w:r>
        <w:rPr>
          <w:spacing w:val="17"/>
        </w:rPr>
        <w:t> </w:t>
      </w:r>
      <w:r>
        <w:rPr/>
        <w:t>Nov-Dec;12(6):1390–1403.e4.</w:t>
      </w:r>
      <w:r>
        <w:rPr>
          <w:spacing w:val="18"/>
        </w:rPr>
        <w:t> </w:t>
      </w:r>
      <w:r>
        <w:rPr/>
        <w:t>doi:10.1016/j.jacl.2018.08.003.</w:t>
      </w:r>
      <w:r>
        <w:rPr>
          <w:spacing w:val="18"/>
        </w:rPr>
        <w:t> </w:t>
      </w:r>
      <w:r>
        <w:rPr/>
        <w:t>Epub</w:t>
      </w:r>
      <w:r>
        <w:rPr>
          <w:spacing w:val="19"/>
        </w:rPr>
        <w:t> </w:t>
      </w:r>
      <w:r>
        <w:rPr/>
        <w:t>2018</w:t>
      </w:r>
      <w:r>
        <w:rPr>
          <w:spacing w:val="18"/>
        </w:rPr>
        <w:t> </w:t>
      </w:r>
      <w:r>
        <w:rPr/>
        <w:t>Aug</w:t>
      </w:r>
      <w:r>
        <w:rPr>
          <w:spacing w:val="18"/>
        </w:rPr>
        <w:t> </w:t>
      </w:r>
      <w:r>
        <w:rPr>
          <w:spacing w:val="-5"/>
        </w:rPr>
        <w:t>10.</w:t>
      </w:r>
    </w:p>
    <w:p>
      <w:pPr>
        <w:pStyle w:val="BodyText"/>
        <w:spacing w:before="2"/>
        <w:jc w:val="both"/>
      </w:pPr>
      <w:r>
        <w:rPr/>
        <w:t>PMID:</w:t>
      </w:r>
      <w:r>
        <w:rPr>
          <w:spacing w:val="-5"/>
        </w:rPr>
        <w:t> </w:t>
      </w:r>
      <w:r>
        <w:rPr>
          <w:spacing w:val="-2"/>
        </w:rPr>
        <w:t>30197273.</w:t>
      </w:r>
    </w:p>
    <w:p>
      <w:pPr>
        <w:pStyle w:val="ListParagraph"/>
        <w:numPr>
          <w:ilvl w:val="0"/>
          <w:numId w:val="25"/>
        </w:numPr>
        <w:tabs>
          <w:tab w:pos="2677" w:val="left" w:leader="none"/>
          <w:tab w:pos="2678" w:val="left" w:leader="none"/>
        </w:tabs>
        <w:spacing w:line="360" w:lineRule="auto" w:before="136" w:after="0"/>
        <w:ind w:left="1981" w:right="571" w:hanging="360"/>
        <w:jc w:val="both"/>
        <w:rPr>
          <w:sz w:val="24"/>
        </w:rPr>
      </w:pPr>
      <w:bookmarkStart w:name="_bookmark275" w:id="324"/>
      <w:bookmarkEnd w:id="324"/>
      <w:r>
        <w:rPr>
          <w:sz w:val="24"/>
        </w:rPr>
        <w:t>W</w:t>
      </w:r>
      <w:r>
        <w:rPr>
          <w:sz w:val="24"/>
        </w:rPr>
        <w:t>ang X, Wen D, Chen Y, Ma L, You C. PCSK9 inhibitors for secondary prevention in patients with cardiovascular diseases: a bayesian network meta-analysis. Cardiovasc Diabetol. 2022 Jun 15;21(1):107. doi:10.1186/s12933-022-01542-4. PMID: 35706032; PMCID: PMC9202167.</w:t>
      </w:r>
    </w:p>
    <w:p>
      <w:pPr>
        <w:pStyle w:val="ListParagraph"/>
        <w:numPr>
          <w:ilvl w:val="0"/>
          <w:numId w:val="25"/>
        </w:numPr>
        <w:tabs>
          <w:tab w:pos="2677" w:val="left" w:leader="none"/>
          <w:tab w:pos="2678" w:val="left" w:leader="none"/>
        </w:tabs>
        <w:spacing w:line="360" w:lineRule="auto" w:before="1" w:after="0"/>
        <w:ind w:left="1981" w:right="567" w:hanging="360"/>
        <w:jc w:val="both"/>
        <w:rPr>
          <w:sz w:val="24"/>
        </w:rPr>
      </w:pPr>
      <w:bookmarkStart w:name="_bookmark276" w:id="325"/>
      <w:bookmarkEnd w:id="325"/>
      <w:r>
        <w:rPr>
          <w:sz w:val="24"/>
        </w:rPr>
        <w:t>L</w:t>
      </w:r>
      <w:r>
        <w:rPr>
          <w:sz w:val="24"/>
        </w:rPr>
        <w:t>ee J, Egolum U, Parihar H, Cooley M, Ling H. Effect of Ezetimibe Added to High-Intensity Statin Therapy on Low-Density Lipoprotein Cholesterol Levels: A Meta- Analysis. Cardiol Res. 2021 Apr;12(2):98–108. doi:10.14740/cr1224. Epub 2021 Feb 23. PMID: 33738013; PMCID: PMC7935639.</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77" w:id="326"/>
      <w:bookmarkEnd w:id="326"/>
      <w:r>
        <w:rPr>
          <w:sz w:val="24"/>
        </w:rPr>
        <w:t>B</w:t>
      </w:r>
      <w:r>
        <w:rPr>
          <w:sz w:val="24"/>
        </w:rPr>
        <w:t>anach M, Burchardt P, Chlebus K et al. PoLA/CFPiP/PCS/PSLD/PSD/PSH guidelines on diagnosis and therapy of lipid disorders in Poland 2021. Archives of Medical Science. 2021;17(6):1447–1547. doi:10.5114/aoms/141941</w:t>
      </w:r>
    </w:p>
    <w:p>
      <w:pPr>
        <w:pStyle w:val="ListParagraph"/>
        <w:numPr>
          <w:ilvl w:val="0"/>
          <w:numId w:val="25"/>
        </w:numPr>
        <w:tabs>
          <w:tab w:pos="2677" w:val="left" w:leader="none"/>
          <w:tab w:pos="2678" w:val="left" w:leader="none"/>
        </w:tabs>
        <w:spacing w:line="360" w:lineRule="auto" w:before="1" w:after="0"/>
        <w:ind w:left="1981" w:right="567" w:hanging="360"/>
        <w:jc w:val="both"/>
        <w:rPr>
          <w:sz w:val="24"/>
        </w:rPr>
      </w:pPr>
      <w:bookmarkStart w:name="_bookmark278" w:id="327"/>
      <w:bookmarkEnd w:id="327"/>
      <w:r>
        <w:rPr>
          <w:sz w:val="24"/>
        </w:rPr>
        <w:t>R</w:t>
      </w:r>
      <w:r>
        <w:rPr>
          <w:sz w:val="24"/>
        </w:rPr>
        <w:t>ay KK, Reeskamp LF, Laufs U, Banach M, Mach F, Tokgözoğlu LS, Connolly DL, Gerrits AJ, Stroes ESG, Masana L, Kastelein JJP. Combination lipid-lowering therapy as first-line strategy in very high-risk patients. Eur Heart J. 2022 Feb 22;43(8):830–833. doi:10.1093/eurheartj/ehab718. PMID: 34636884.</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79" w:id="328"/>
      <w:bookmarkEnd w:id="328"/>
      <w:r>
        <w:rPr>
          <w:sz w:val="24"/>
        </w:rPr>
        <w:t>Bu</w:t>
      </w:r>
      <w:r>
        <w:rPr>
          <w:sz w:val="24"/>
        </w:rPr>
        <w:t>rnett</w:t>
      </w:r>
      <w:r>
        <w:rPr>
          <w:spacing w:val="-3"/>
          <w:sz w:val="24"/>
        </w:rPr>
        <w:t> </w:t>
      </w:r>
      <w:r>
        <w:rPr>
          <w:sz w:val="24"/>
        </w:rPr>
        <w:t>H,</w:t>
      </w:r>
      <w:r>
        <w:rPr>
          <w:spacing w:val="-1"/>
          <w:sz w:val="24"/>
        </w:rPr>
        <w:t> </w:t>
      </w:r>
      <w:r>
        <w:rPr>
          <w:sz w:val="24"/>
        </w:rPr>
        <w:t>Fahrbach</w:t>
      </w:r>
      <w:r>
        <w:rPr>
          <w:spacing w:val="-1"/>
          <w:sz w:val="24"/>
        </w:rPr>
        <w:t> </w:t>
      </w:r>
      <w:r>
        <w:rPr>
          <w:sz w:val="24"/>
        </w:rPr>
        <w:t>K,</w:t>
      </w:r>
      <w:r>
        <w:rPr>
          <w:spacing w:val="-1"/>
          <w:sz w:val="24"/>
        </w:rPr>
        <w:t> </w:t>
      </w:r>
      <w:r>
        <w:rPr>
          <w:sz w:val="24"/>
        </w:rPr>
        <w:t>Cichewicz</w:t>
      </w:r>
      <w:r>
        <w:rPr>
          <w:spacing w:val="-2"/>
          <w:sz w:val="24"/>
        </w:rPr>
        <w:t> </w:t>
      </w:r>
      <w:r>
        <w:rPr>
          <w:sz w:val="24"/>
        </w:rPr>
        <w:t>A,</w:t>
      </w:r>
      <w:r>
        <w:rPr>
          <w:spacing w:val="-3"/>
          <w:sz w:val="24"/>
        </w:rPr>
        <w:t> </w:t>
      </w:r>
      <w:r>
        <w:rPr>
          <w:sz w:val="24"/>
        </w:rPr>
        <w:t>Jindal</w:t>
      </w:r>
      <w:r>
        <w:rPr>
          <w:spacing w:val="-3"/>
          <w:sz w:val="24"/>
        </w:rPr>
        <w:t> </w:t>
      </w:r>
      <w:r>
        <w:rPr>
          <w:sz w:val="24"/>
        </w:rPr>
        <w:t>R,</w:t>
      </w:r>
      <w:r>
        <w:rPr>
          <w:spacing w:val="-1"/>
          <w:sz w:val="24"/>
        </w:rPr>
        <w:t> </w:t>
      </w:r>
      <w:r>
        <w:rPr>
          <w:sz w:val="24"/>
        </w:rPr>
        <w:t>Tarpey</w:t>
      </w:r>
      <w:r>
        <w:rPr>
          <w:spacing w:val="-1"/>
          <w:sz w:val="24"/>
        </w:rPr>
        <w:t> </w:t>
      </w:r>
      <w:r>
        <w:rPr>
          <w:sz w:val="24"/>
        </w:rPr>
        <w:t>J,</w:t>
      </w:r>
      <w:r>
        <w:rPr>
          <w:spacing w:val="-3"/>
          <w:sz w:val="24"/>
        </w:rPr>
        <w:t> </w:t>
      </w:r>
      <w:r>
        <w:rPr>
          <w:sz w:val="24"/>
        </w:rPr>
        <w:t>Durand</w:t>
      </w:r>
      <w:r>
        <w:rPr>
          <w:spacing w:val="-3"/>
          <w:sz w:val="24"/>
        </w:rPr>
        <w:t> </w:t>
      </w:r>
      <w:r>
        <w:rPr>
          <w:sz w:val="24"/>
        </w:rPr>
        <w:t>A,</w:t>
      </w:r>
      <w:r>
        <w:rPr>
          <w:spacing w:val="-1"/>
          <w:sz w:val="24"/>
        </w:rPr>
        <w:t> </w:t>
      </w:r>
      <w:r>
        <w:rPr>
          <w:sz w:val="24"/>
        </w:rPr>
        <w:t>Di</w:t>
      </w:r>
      <w:r>
        <w:rPr>
          <w:spacing w:val="-1"/>
          <w:sz w:val="24"/>
        </w:rPr>
        <w:t> </w:t>
      </w:r>
      <w:r>
        <w:rPr>
          <w:sz w:val="24"/>
        </w:rPr>
        <w:t>Domenico M, Reichelt A, Viljoen A. Comparative efficacy of non-statin lipid-lowering therapies in patients with hypercholesterolemia at increased cardiovascular risk: a network meta- analysis. Curr Med Res Opin. 2022 May;38(5):777–784. doi:10.1080/03007995.2022.2049164. Epub 2022 Mar 20. PMID: 35262430.</w:t>
      </w:r>
    </w:p>
    <w:p>
      <w:pPr>
        <w:pStyle w:val="ListParagraph"/>
        <w:numPr>
          <w:ilvl w:val="0"/>
          <w:numId w:val="25"/>
        </w:numPr>
        <w:tabs>
          <w:tab w:pos="2677" w:val="left" w:leader="none"/>
          <w:tab w:pos="2678" w:val="left" w:leader="none"/>
        </w:tabs>
        <w:spacing w:line="360" w:lineRule="auto" w:before="0" w:after="0"/>
        <w:ind w:left="1981" w:right="568" w:hanging="360"/>
        <w:jc w:val="both"/>
        <w:rPr>
          <w:sz w:val="24"/>
        </w:rPr>
      </w:pPr>
      <w:bookmarkStart w:name="_bookmark280" w:id="329"/>
      <w:bookmarkEnd w:id="329"/>
      <w:r>
        <w:rPr>
          <w:sz w:val="24"/>
        </w:rPr>
        <w:t>Z</w:t>
      </w:r>
      <w:r>
        <w:rPr>
          <w:sz w:val="24"/>
        </w:rPr>
        <w:t>hu L, Hayen A, Bell KJL. Legacy effect of fibrate add-on therapy in diabetic patients with dyslipidemia: a secondary analysis of the ACCORDION study. Cardiovasc Diabetol. 2020 Mar 5;19(1):28. doi:10.1186/s12933-020-01002-x. PMID: 32138746; PMCID: PMC7059389.</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81" w:id="330"/>
      <w:bookmarkEnd w:id="330"/>
      <w:r>
        <w:rPr>
          <w:sz w:val="24"/>
        </w:rPr>
        <w:t>Blonde</w:t>
      </w:r>
      <w:r>
        <w:rPr>
          <w:sz w:val="24"/>
        </w:rPr>
        <w:t> L, Umpierrez GE, Reddy SS, McGill JB, Berga SL, Bush M, Chandrasekaran S, DeFronzo RA, Einhorn D, Galindo</w:t>
      </w:r>
      <w:r>
        <w:rPr>
          <w:spacing w:val="-3"/>
          <w:sz w:val="24"/>
        </w:rPr>
        <w:t> </w:t>
      </w:r>
      <w:r>
        <w:rPr>
          <w:sz w:val="24"/>
        </w:rPr>
        <w:t>RJ, Gardner TW, Garg R, Garvey WT, Hirsch IB, Hurley DL, Izuora K, Kosiborod M, Olson D, Patel SB, Pop-Busui</w:t>
      </w:r>
      <w:r>
        <w:rPr>
          <w:spacing w:val="-2"/>
          <w:sz w:val="24"/>
        </w:rPr>
        <w:t> </w:t>
      </w:r>
      <w:r>
        <w:rPr>
          <w:sz w:val="24"/>
        </w:rPr>
        <w:t>R, Sadhu AR, Samson SL, Stec C, Tamborlane WV Jr, Tuttle KR, Twining C, Vella A, Vellanki P, Weber SL. American Association of Clinical Endocrinology</w:t>
      </w:r>
      <w:r>
        <w:rPr>
          <w:spacing w:val="-2"/>
          <w:sz w:val="24"/>
        </w:rPr>
        <w:t> </w:t>
      </w:r>
      <w:r>
        <w:rPr>
          <w:sz w:val="24"/>
        </w:rPr>
        <w:t>Clinical Practice Guideline:</w:t>
      </w:r>
      <w:r>
        <w:rPr>
          <w:spacing w:val="68"/>
          <w:sz w:val="24"/>
        </w:rPr>
        <w:t> </w:t>
      </w:r>
      <w:r>
        <w:rPr>
          <w:sz w:val="24"/>
        </w:rPr>
        <w:t>Developing</w:t>
      </w:r>
      <w:r>
        <w:rPr>
          <w:spacing w:val="70"/>
          <w:sz w:val="24"/>
        </w:rPr>
        <w:t> </w:t>
      </w:r>
      <w:r>
        <w:rPr>
          <w:sz w:val="24"/>
        </w:rPr>
        <w:t>a</w:t>
      </w:r>
      <w:r>
        <w:rPr>
          <w:spacing w:val="67"/>
          <w:sz w:val="24"/>
        </w:rPr>
        <w:t> </w:t>
      </w:r>
      <w:r>
        <w:rPr>
          <w:sz w:val="24"/>
        </w:rPr>
        <w:t>Diabetes</w:t>
      </w:r>
      <w:r>
        <w:rPr>
          <w:spacing w:val="68"/>
          <w:sz w:val="24"/>
        </w:rPr>
        <w:t> </w:t>
      </w:r>
      <w:r>
        <w:rPr>
          <w:sz w:val="24"/>
        </w:rPr>
        <w:t>Mellitus</w:t>
      </w:r>
      <w:r>
        <w:rPr>
          <w:spacing w:val="68"/>
          <w:sz w:val="24"/>
        </w:rPr>
        <w:t> </w:t>
      </w:r>
      <w:r>
        <w:rPr>
          <w:sz w:val="24"/>
        </w:rPr>
        <w:t>Comprehensive</w:t>
      </w:r>
      <w:r>
        <w:rPr>
          <w:spacing w:val="67"/>
          <w:sz w:val="24"/>
        </w:rPr>
        <w:t> </w:t>
      </w:r>
      <w:r>
        <w:rPr>
          <w:sz w:val="24"/>
        </w:rPr>
        <w:t>Care</w:t>
      </w:r>
      <w:r>
        <w:rPr>
          <w:spacing w:val="67"/>
          <w:sz w:val="24"/>
        </w:rPr>
        <w:t> </w:t>
      </w:r>
      <w:r>
        <w:rPr>
          <w:sz w:val="24"/>
        </w:rPr>
        <w:t>Plan-2022</w:t>
      </w:r>
      <w:r>
        <w:rPr>
          <w:spacing w:val="68"/>
          <w:sz w:val="24"/>
        </w:rPr>
        <w:t> </w:t>
      </w:r>
      <w:r>
        <w:rPr>
          <w:sz w:val="24"/>
        </w:rPr>
        <w:t>Update.</w:t>
      </w:r>
    </w:p>
    <w:p>
      <w:pPr>
        <w:spacing w:after="0" w:line="360" w:lineRule="auto"/>
        <w:jc w:val="both"/>
        <w:rPr>
          <w:sz w:val="24"/>
        </w:rPr>
        <w:sectPr>
          <w:pgSz w:w="11910" w:h="16840"/>
          <w:pgMar w:header="0" w:footer="710" w:top="1040" w:bottom="900" w:left="440" w:right="280"/>
        </w:sectPr>
      </w:pPr>
    </w:p>
    <w:p>
      <w:pPr>
        <w:pStyle w:val="BodyText"/>
        <w:spacing w:line="360" w:lineRule="auto" w:before="73"/>
        <w:ind w:right="570"/>
        <w:jc w:val="both"/>
      </w:pPr>
      <w:r>
        <w:rPr/>
        <w:t>Endocr Pract. 2022 Oct;28(10):923–1049. doi:10.1016/j.eprac.2022.08.002. Epub 2022 Aug 11. PMID: 35963508.</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82" w:id="331"/>
      <w:bookmarkEnd w:id="331"/>
      <w:r>
        <w:rPr>
          <w:sz w:val="24"/>
        </w:rPr>
        <w:t>R</w:t>
      </w:r>
      <w:r>
        <w:rPr>
          <w:sz w:val="24"/>
        </w:rPr>
        <w:t>ay KK, Wright RS, Kallend D, Koenig W, Leiter LA, Raal</w:t>
      </w:r>
      <w:r>
        <w:rPr>
          <w:spacing w:val="-2"/>
          <w:sz w:val="24"/>
        </w:rPr>
        <w:t> </w:t>
      </w:r>
      <w:r>
        <w:rPr>
          <w:sz w:val="24"/>
        </w:rPr>
        <w:t>FJ, Bisch JA, Richardson T, Jaros M, Wijngaard PLJ, Kastelein JJP; ORION-10 and ORION-11 Investigators. Two Phase 3 Trials of Inclisiran in Patients with Elevated LDL</w:t>
      </w:r>
      <w:r>
        <w:rPr>
          <w:spacing w:val="40"/>
          <w:sz w:val="24"/>
        </w:rPr>
        <w:t> </w:t>
      </w:r>
      <w:r>
        <w:rPr>
          <w:sz w:val="24"/>
        </w:rPr>
        <w:t>Cholesterol. N Engl J Med. 2020 Apr 16;382(16):1507–1519. doi:10.1056/NEJMoa1912387. Epub 2020 Mar 18. PMID: 32187462.</w:t>
      </w:r>
    </w:p>
    <w:p>
      <w:pPr>
        <w:pStyle w:val="ListParagraph"/>
        <w:numPr>
          <w:ilvl w:val="0"/>
          <w:numId w:val="25"/>
        </w:numPr>
        <w:tabs>
          <w:tab w:pos="2677" w:val="left" w:leader="none"/>
          <w:tab w:pos="2678" w:val="left" w:leader="none"/>
        </w:tabs>
        <w:spacing w:line="360" w:lineRule="auto" w:before="2" w:after="0"/>
        <w:ind w:left="1981" w:right="567" w:hanging="360"/>
        <w:jc w:val="both"/>
        <w:rPr>
          <w:sz w:val="24"/>
        </w:rPr>
      </w:pPr>
      <w:r>
        <w:rPr>
          <w:sz w:val="24"/>
        </w:rPr>
        <w:t>Raal FJ, Kallend D, Ray KK, Turner T, Koenig W, Wright</w:t>
      </w:r>
      <w:r>
        <w:rPr>
          <w:spacing w:val="-2"/>
          <w:sz w:val="24"/>
        </w:rPr>
        <w:t> </w:t>
      </w:r>
      <w:r>
        <w:rPr>
          <w:sz w:val="24"/>
        </w:rPr>
        <w:t>RS, Wijngaard PLJ, Curcio D, Jaros MJ, Leiter LA, Kastelein JJP; ORION-9 Investigators. Inclisiran for the Treatment of Heterozygous Familial Hypercholesterolemia. N Engl J Med. 2020 Apr 16;382(16):1520–1530.</w:t>
      </w:r>
      <w:r>
        <w:rPr>
          <w:spacing w:val="80"/>
          <w:sz w:val="24"/>
        </w:rPr>
        <w:t> </w:t>
      </w:r>
      <w:r>
        <w:rPr>
          <w:sz w:val="24"/>
        </w:rPr>
        <w:t>doi:10.1056/NEJMoa1913805.</w:t>
      </w:r>
      <w:r>
        <w:rPr>
          <w:spacing w:val="80"/>
          <w:sz w:val="24"/>
        </w:rPr>
        <w:t> </w:t>
      </w:r>
      <w:r>
        <w:rPr>
          <w:sz w:val="24"/>
        </w:rPr>
        <w:t>Epub</w:t>
      </w:r>
      <w:r>
        <w:rPr>
          <w:spacing w:val="80"/>
          <w:sz w:val="24"/>
        </w:rPr>
        <w:t> </w:t>
      </w:r>
      <w:r>
        <w:rPr>
          <w:sz w:val="24"/>
        </w:rPr>
        <w:t>2020</w:t>
      </w:r>
      <w:r>
        <w:rPr>
          <w:spacing w:val="80"/>
          <w:sz w:val="24"/>
        </w:rPr>
        <w:t> </w:t>
      </w:r>
      <w:r>
        <w:rPr>
          <w:sz w:val="24"/>
        </w:rPr>
        <w:t>Mar</w:t>
      </w:r>
      <w:r>
        <w:rPr>
          <w:spacing w:val="80"/>
          <w:sz w:val="24"/>
        </w:rPr>
        <w:t> </w:t>
      </w:r>
      <w:r>
        <w:rPr>
          <w:sz w:val="24"/>
        </w:rPr>
        <w:t>18.</w:t>
      </w:r>
      <w:r>
        <w:rPr>
          <w:spacing w:val="80"/>
          <w:sz w:val="24"/>
        </w:rPr>
        <w:t> </w:t>
      </w:r>
      <w:r>
        <w:rPr>
          <w:sz w:val="24"/>
        </w:rPr>
        <w:t>PMID:</w:t>
      </w:r>
    </w:p>
    <w:p>
      <w:pPr>
        <w:pStyle w:val="BodyText"/>
      </w:pPr>
      <w:r>
        <w:rPr>
          <w:spacing w:val="-2"/>
        </w:rPr>
        <w:t>32197277.</w:t>
      </w:r>
    </w:p>
    <w:p>
      <w:pPr>
        <w:pStyle w:val="ListParagraph"/>
        <w:numPr>
          <w:ilvl w:val="0"/>
          <w:numId w:val="25"/>
        </w:numPr>
        <w:tabs>
          <w:tab w:pos="2677" w:val="left" w:leader="none"/>
          <w:tab w:pos="2678" w:val="left" w:leader="none"/>
        </w:tabs>
        <w:spacing w:line="360" w:lineRule="auto" w:before="137" w:after="0"/>
        <w:ind w:left="1981" w:right="569" w:hanging="360"/>
        <w:jc w:val="both"/>
        <w:rPr>
          <w:sz w:val="24"/>
        </w:rPr>
      </w:pPr>
      <w:bookmarkStart w:name="_bookmark283" w:id="332"/>
      <w:bookmarkEnd w:id="332"/>
      <w:r>
        <w:rPr>
          <w:sz w:val="24"/>
        </w:rPr>
        <w:t>K</w:t>
      </w:r>
      <w:r>
        <w:rPr>
          <w:sz w:val="24"/>
        </w:rPr>
        <w:t>han SA, Naz A, Qamar Masood M, Shah R. Meta-Analysis of Inclisiran for the Treatment of Hypercholesterolemia. Am J Cardiol. 2020 Nov 1;134:69–73. doi:10.1016/j.amjcard.2020.08.018. Epub 2020 Aug 15. PMID: 32892993.</w:t>
      </w:r>
    </w:p>
    <w:p>
      <w:pPr>
        <w:pStyle w:val="ListParagraph"/>
        <w:numPr>
          <w:ilvl w:val="0"/>
          <w:numId w:val="25"/>
        </w:numPr>
        <w:tabs>
          <w:tab w:pos="2677" w:val="left" w:leader="none"/>
          <w:tab w:pos="2678" w:val="left" w:leader="none"/>
        </w:tabs>
        <w:spacing w:line="360" w:lineRule="auto" w:before="1" w:after="0"/>
        <w:ind w:left="1981" w:right="566" w:hanging="360"/>
        <w:jc w:val="both"/>
        <w:rPr>
          <w:sz w:val="24"/>
        </w:rPr>
      </w:pPr>
      <w:bookmarkStart w:name="_bookmark284" w:id="333"/>
      <w:bookmarkEnd w:id="333"/>
      <w:r>
        <w:rPr>
          <w:sz w:val="24"/>
        </w:rPr>
        <w:t>SC</w:t>
      </w:r>
      <w:r>
        <w:rPr>
          <w:sz w:val="24"/>
        </w:rPr>
        <w:t>ORE2 risk prediction algorithms: new models to estimate 10-year risk of cardiovascular disease in Europe // European heart journal. 2021. Vol. 42. №. 25. P. </w:t>
      </w:r>
      <w:r>
        <w:rPr>
          <w:spacing w:val="-2"/>
          <w:sz w:val="24"/>
        </w:rPr>
        <w:t>2439–2454.</w:t>
      </w:r>
    </w:p>
    <w:p>
      <w:pPr>
        <w:pStyle w:val="ListParagraph"/>
        <w:numPr>
          <w:ilvl w:val="0"/>
          <w:numId w:val="25"/>
        </w:numPr>
        <w:tabs>
          <w:tab w:pos="2677" w:val="left" w:leader="none"/>
          <w:tab w:pos="2678" w:val="left" w:leader="none"/>
        </w:tabs>
        <w:spacing w:line="360" w:lineRule="auto" w:before="0" w:after="0"/>
        <w:ind w:left="1981" w:right="567" w:hanging="360"/>
        <w:jc w:val="both"/>
        <w:rPr>
          <w:sz w:val="24"/>
        </w:rPr>
      </w:pPr>
      <w:bookmarkStart w:name="_bookmark285" w:id="334"/>
      <w:bookmarkEnd w:id="334"/>
      <w:r>
        <w:rPr>
          <w:sz w:val="24"/>
        </w:rPr>
        <w:t>L</w:t>
      </w:r>
      <w:r>
        <w:rPr>
          <w:sz w:val="24"/>
        </w:rPr>
        <w:t>loyd-Jones DM, Morris PB, Ballantyne</w:t>
      </w:r>
      <w:r>
        <w:rPr>
          <w:spacing w:val="-3"/>
          <w:sz w:val="24"/>
        </w:rPr>
        <w:t> </w:t>
      </w:r>
      <w:r>
        <w:rPr>
          <w:sz w:val="24"/>
        </w:rPr>
        <w:t>CM, Birtcher KK, Covington AM, DePalma SM, Minissian MB, Orringer CE, Smith SC Jr, Waring AA, Wilkins</w:t>
      </w:r>
      <w:r>
        <w:rPr>
          <w:spacing w:val="-2"/>
          <w:sz w:val="24"/>
        </w:rPr>
        <w:t> </w:t>
      </w:r>
      <w:r>
        <w:rPr>
          <w:sz w:val="24"/>
        </w:rPr>
        <w:t>JT. 2022 ACC Expert Consensus Decision Pathway on the Role of Nonstatin Therapies for LDL- Cholesterol Lowering in the Management of Atherosclerotic Cardiovascular Disease Risk: A Report of the American College of Cardiology Solution Set Oversight Committee. J Am Coll Cardiol. 2022 Oct 4;80(14):1366–1418. </w:t>
      </w:r>
      <w:r>
        <w:rPr>
          <w:spacing w:val="-2"/>
          <w:sz w:val="24"/>
        </w:rPr>
        <w:t>doi:10.1016/j.jacc.2022.07.006</w:t>
      </w:r>
    </w:p>
    <w:p>
      <w:pPr>
        <w:pStyle w:val="ListParagraph"/>
        <w:numPr>
          <w:ilvl w:val="0"/>
          <w:numId w:val="25"/>
        </w:numPr>
        <w:tabs>
          <w:tab w:pos="2677" w:val="left" w:leader="none"/>
          <w:tab w:pos="2678" w:val="left" w:leader="none"/>
        </w:tabs>
        <w:spacing w:line="360" w:lineRule="auto" w:before="0" w:after="0"/>
        <w:ind w:left="1981" w:right="566" w:hanging="360"/>
        <w:jc w:val="both"/>
        <w:rPr>
          <w:sz w:val="24"/>
        </w:rPr>
      </w:pPr>
      <w:bookmarkStart w:name="_bookmark286" w:id="335"/>
      <w:bookmarkEnd w:id="335"/>
      <w:r>
        <w:rPr>
          <w:sz w:val="24"/>
        </w:rPr>
        <w:t>B</w:t>
      </w:r>
      <w:r>
        <w:rPr>
          <w:sz w:val="24"/>
        </w:rPr>
        <w:t>alakhonova T.V., Ershova A.I., Ezhov M.V., Barbarash O.L., Bershtein L.L., Bogachev V.Yu., Voevoda M.I., Genkel V.V., Gurevich V.S., Duplyakov D.V., Imaev T.E., Konovalov G.A., Kosmacheva E.D., Lobastov K.V., Mitkova M.D., Nikiforov</w:t>
      </w:r>
      <w:r>
        <w:rPr>
          <w:spacing w:val="80"/>
          <w:sz w:val="24"/>
        </w:rPr>
        <w:t> </w:t>
      </w:r>
      <w:r>
        <w:rPr>
          <w:sz w:val="24"/>
        </w:rPr>
        <w:t>V.S., Rotar O P., Suchkov I.A., Yavelov I.S., Mitkov V.V., Akchurin R.S., Drapkina O.M., Boitsov S.A. Focused vascular ultrasound. Consensus of Russian experts. Cardiovascular</w:t>
      </w:r>
      <w:r>
        <w:rPr>
          <w:spacing w:val="-1"/>
          <w:sz w:val="24"/>
        </w:rPr>
        <w:t> </w:t>
      </w:r>
      <w:r>
        <w:rPr>
          <w:sz w:val="24"/>
        </w:rPr>
        <w:t>therapy and prevention. 2022;21(7):3333. doi:10.15829/1728-8800-2022- 3333. EDN WLJEHZ</w:t>
      </w:r>
    </w:p>
    <w:p>
      <w:pPr>
        <w:pStyle w:val="BodyText"/>
        <w:spacing w:line="360" w:lineRule="auto"/>
        <w:ind w:right="567"/>
        <w:jc w:val="both"/>
      </w:pPr>
      <w:r>
        <w:rPr/>
        <w:t>Балахонова Т.В., Ершова А.И., Ежов М.В., Барбараш О. Л., Берштейн Л. Л.,</w:t>
      </w:r>
      <w:r>
        <w:rPr>
          <w:spacing w:val="40"/>
        </w:rPr>
        <w:t> </w:t>
      </w:r>
      <w:r>
        <w:rPr/>
        <w:t>Богачев В. Ю., Воевода М. И., Генкель В.В., Гуревич В.С., Дупляков Д.В., Имаев Т.Э.,</w:t>
      </w:r>
      <w:r>
        <w:rPr>
          <w:spacing w:val="6"/>
        </w:rPr>
        <w:t> </w:t>
      </w:r>
      <w:r>
        <w:rPr/>
        <w:t>Коновалов</w:t>
      </w:r>
      <w:r>
        <w:rPr>
          <w:spacing w:val="8"/>
        </w:rPr>
        <w:t> </w:t>
      </w:r>
      <w:r>
        <w:rPr/>
        <w:t>Г.А.,</w:t>
      </w:r>
      <w:r>
        <w:rPr>
          <w:spacing w:val="9"/>
        </w:rPr>
        <w:t> </w:t>
      </w:r>
      <w:r>
        <w:rPr/>
        <w:t>Космачева</w:t>
      </w:r>
      <w:r>
        <w:rPr>
          <w:spacing w:val="9"/>
        </w:rPr>
        <w:t> </w:t>
      </w:r>
      <w:r>
        <w:rPr/>
        <w:t>Е.</w:t>
      </w:r>
      <w:r>
        <w:rPr>
          <w:spacing w:val="9"/>
        </w:rPr>
        <w:t> </w:t>
      </w:r>
      <w:r>
        <w:rPr/>
        <w:t>Д.,</w:t>
      </w:r>
      <w:r>
        <w:rPr>
          <w:spacing w:val="8"/>
        </w:rPr>
        <w:t> </w:t>
      </w:r>
      <w:r>
        <w:rPr/>
        <w:t>Лобастов</w:t>
      </w:r>
      <w:r>
        <w:rPr>
          <w:spacing w:val="9"/>
        </w:rPr>
        <w:t> </w:t>
      </w:r>
      <w:r>
        <w:rPr/>
        <w:t>К.В.,</w:t>
      </w:r>
      <w:r>
        <w:rPr>
          <w:spacing w:val="8"/>
        </w:rPr>
        <w:t> </w:t>
      </w:r>
      <w:r>
        <w:rPr/>
        <w:t>Митькова</w:t>
      </w:r>
      <w:r>
        <w:rPr>
          <w:spacing w:val="8"/>
        </w:rPr>
        <w:t> </w:t>
      </w:r>
      <w:r>
        <w:rPr/>
        <w:t>М.</w:t>
      </w:r>
      <w:r>
        <w:rPr>
          <w:spacing w:val="8"/>
        </w:rPr>
        <w:t> </w:t>
      </w:r>
      <w:r>
        <w:rPr/>
        <w:t>Д.,</w:t>
      </w:r>
      <w:r>
        <w:rPr>
          <w:spacing w:val="9"/>
        </w:rPr>
        <w:t> </w:t>
      </w:r>
      <w:r>
        <w:rPr>
          <w:spacing w:val="-2"/>
        </w:rPr>
        <w:t>Никифоров</w:t>
      </w:r>
    </w:p>
    <w:p>
      <w:pPr>
        <w:spacing w:after="0" w:line="360" w:lineRule="auto"/>
        <w:jc w:val="both"/>
        <w:sectPr>
          <w:pgSz w:w="11910" w:h="16840"/>
          <w:pgMar w:header="0" w:footer="710" w:top="1040" w:bottom="900" w:left="440" w:right="280"/>
        </w:sectPr>
      </w:pPr>
    </w:p>
    <w:p>
      <w:pPr>
        <w:pStyle w:val="BodyText"/>
        <w:spacing w:line="360" w:lineRule="auto" w:before="73"/>
        <w:ind w:right="566"/>
        <w:jc w:val="both"/>
      </w:pPr>
      <w:r>
        <w:rPr/>
        <w:t>В. С., Ротарь О.П., Сучков И.А., Явелов И.С., Митьков В.В., Акчурин Р.С., Драпкина О.М., Бойцов С.А. Фокусированное ультразвуковое исследование сосудов. Консенсус российских экспертов. Кардиоваскулярная терапия и профилактика. 2022;21(7):3333. doi:10.15829/1728-8800-2022-3333. EDN WLJEHZ</w:t>
      </w:r>
    </w:p>
    <w:p>
      <w:pPr>
        <w:spacing w:after="0" w:line="360" w:lineRule="auto"/>
        <w:jc w:val="both"/>
        <w:sectPr>
          <w:pgSz w:w="11910" w:h="16840"/>
          <w:pgMar w:header="0" w:footer="710" w:top="1040" w:bottom="900" w:left="440" w:right="280"/>
        </w:sectPr>
      </w:pPr>
    </w:p>
    <w:p>
      <w:pPr>
        <w:pStyle w:val="Heading3"/>
        <w:spacing w:line="360" w:lineRule="auto" w:before="71"/>
        <w:ind w:left="5156" w:hanging="3730"/>
      </w:pPr>
      <w:bookmarkStart w:name="Приложение А1. Состав рабочей группы по " w:id="336"/>
      <w:bookmarkEnd w:id="336"/>
      <w:r>
        <w:rPr>
          <w:b w:val="0"/>
        </w:rPr>
      </w:r>
      <w:bookmarkStart w:name="_bookmark287" w:id="337"/>
      <w:bookmarkEnd w:id="337"/>
      <w:r>
        <w:rPr>
          <w:b w:val="0"/>
        </w:rPr>
      </w:r>
      <w:r>
        <w:rPr/>
        <w:t>Приложение</w:t>
      </w:r>
      <w:r>
        <w:rPr>
          <w:spacing w:val="-4"/>
        </w:rPr>
        <w:t> </w:t>
      </w:r>
      <w:r>
        <w:rPr/>
        <w:t>А1.</w:t>
      </w:r>
      <w:r>
        <w:rPr>
          <w:spacing w:val="-3"/>
        </w:rPr>
        <w:t> </w:t>
      </w:r>
      <w:r>
        <w:rPr/>
        <w:t>Состав</w:t>
      </w:r>
      <w:r>
        <w:rPr>
          <w:spacing w:val="-3"/>
        </w:rPr>
        <w:t> </w:t>
      </w:r>
      <w:r>
        <w:rPr/>
        <w:t>рабочей</w:t>
      </w:r>
      <w:r>
        <w:rPr>
          <w:spacing w:val="-3"/>
        </w:rPr>
        <w:t> </w:t>
      </w:r>
      <w:r>
        <w:rPr/>
        <w:t>группы</w:t>
      </w:r>
      <w:r>
        <w:rPr>
          <w:spacing w:val="-4"/>
        </w:rPr>
        <w:t> </w:t>
      </w:r>
      <w:r>
        <w:rPr/>
        <w:t>по</w:t>
      </w:r>
      <w:r>
        <w:rPr>
          <w:spacing w:val="-6"/>
        </w:rPr>
        <w:t> </w:t>
      </w:r>
      <w:r>
        <w:rPr/>
        <w:t>разработке</w:t>
      </w:r>
      <w:r>
        <w:rPr>
          <w:spacing w:val="-4"/>
        </w:rPr>
        <w:t> </w:t>
      </w:r>
      <w:r>
        <w:rPr/>
        <w:t>и</w:t>
      </w:r>
      <w:r>
        <w:rPr>
          <w:spacing w:val="-3"/>
        </w:rPr>
        <w:t> </w:t>
      </w:r>
      <w:r>
        <w:rPr/>
        <w:t>пересмотру</w:t>
      </w:r>
      <w:r>
        <w:rPr>
          <w:spacing w:val="-3"/>
        </w:rPr>
        <w:t> </w:t>
      </w:r>
      <w:r>
        <w:rPr/>
        <w:t>клинических </w:t>
      </w:r>
      <w:r>
        <w:rPr>
          <w:spacing w:val="-2"/>
        </w:rPr>
        <w:t>рекомендаций</w:t>
      </w:r>
    </w:p>
    <w:p>
      <w:pPr>
        <w:spacing w:before="0"/>
        <w:ind w:left="1261" w:right="0" w:firstLine="0"/>
        <w:jc w:val="left"/>
        <w:rPr>
          <w:b/>
          <w:sz w:val="24"/>
        </w:rPr>
      </w:pPr>
      <w:r>
        <w:rPr>
          <w:b/>
          <w:sz w:val="24"/>
        </w:rPr>
        <w:t>Президиум</w:t>
      </w:r>
      <w:r>
        <w:rPr>
          <w:b/>
          <w:spacing w:val="-4"/>
          <w:sz w:val="24"/>
        </w:rPr>
        <w:t> </w:t>
      </w:r>
      <w:r>
        <w:rPr>
          <w:b/>
          <w:sz w:val="24"/>
        </w:rPr>
        <w:t>рабочей</w:t>
      </w:r>
      <w:r>
        <w:rPr>
          <w:b/>
          <w:spacing w:val="-3"/>
          <w:sz w:val="24"/>
        </w:rPr>
        <w:t> </w:t>
      </w:r>
      <w:r>
        <w:rPr>
          <w:b/>
          <w:spacing w:val="-2"/>
          <w:sz w:val="24"/>
        </w:rPr>
        <w:t>группы:</w:t>
      </w:r>
    </w:p>
    <w:p>
      <w:pPr>
        <w:pStyle w:val="BodyText"/>
        <w:ind w:left="1261" w:right="7897"/>
      </w:pPr>
      <w:r>
        <w:rPr/>
        <w:t>Ежов М. В. Кухарчук В. В. Сергиенко</w:t>
      </w:r>
      <w:r>
        <w:rPr>
          <w:spacing w:val="-2"/>
        </w:rPr>
        <w:t> </w:t>
      </w:r>
      <w:r>
        <w:rPr/>
        <w:t>И. </w:t>
      </w:r>
      <w:r>
        <w:rPr>
          <w:spacing w:val="-5"/>
        </w:rPr>
        <w:t>В.</w:t>
      </w:r>
    </w:p>
    <w:p>
      <w:pPr>
        <w:pStyle w:val="BodyText"/>
        <w:ind w:left="0"/>
      </w:pPr>
    </w:p>
    <w:p>
      <w:pPr>
        <w:pStyle w:val="Heading3"/>
      </w:pPr>
      <w:r>
        <w:rPr/>
        <w:t>Другие</w:t>
      </w:r>
      <w:r>
        <w:rPr>
          <w:spacing w:val="-3"/>
        </w:rPr>
        <w:t> </w:t>
      </w:r>
      <w:r>
        <w:rPr/>
        <w:t>члены</w:t>
      </w:r>
      <w:r>
        <w:rPr>
          <w:spacing w:val="-2"/>
        </w:rPr>
        <w:t> </w:t>
      </w:r>
      <w:r>
        <w:rPr/>
        <w:t>рабочей</w:t>
      </w:r>
      <w:r>
        <w:rPr>
          <w:spacing w:val="-1"/>
        </w:rPr>
        <w:t> </w:t>
      </w:r>
      <w:r>
        <w:rPr>
          <w:spacing w:val="-2"/>
        </w:rPr>
        <w:t>группы:</w:t>
      </w:r>
    </w:p>
    <w:p>
      <w:pPr>
        <w:pStyle w:val="BodyText"/>
        <w:ind w:left="1261" w:right="7897"/>
      </w:pPr>
      <w:r>
        <w:rPr/>
        <w:t>Алиева</w:t>
      </w:r>
      <w:r>
        <w:rPr>
          <w:spacing w:val="-5"/>
        </w:rPr>
        <w:t> </w:t>
      </w:r>
      <w:r>
        <w:rPr/>
        <w:t>А.</w:t>
      </w:r>
      <w:r>
        <w:rPr>
          <w:spacing w:val="-1"/>
        </w:rPr>
        <w:t> </w:t>
      </w:r>
      <w:r>
        <w:rPr>
          <w:spacing w:val="-5"/>
        </w:rPr>
        <w:t>С.</w:t>
      </w:r>
    </w:p>
    <w:p>
      <w:pPr>
        <w:pStyle w:val="BodyText"/>
        <w:ind w:left="1261" w:right="7897"/>
      </w:pPr>
      <w:r>
        <w:rPr/>
        <w:t>Анциферов</w:t>
      </w:r>
      <w:r>
        <w:rPr>
          <w:spacing w:val="-1"/>
        </w:rPr>
        <w:t> </w:t>
      </w:r>
      <w:r>
        <w:rPr/>
        <w:t>М.</w:t>
      </w:r>
      <w:r>
        <w:rPr>
          <w:spacing w:val="1"/>
        </w:rPr>
        <w:t> </w:t>
      </w:r>
      <w:r>
        <w:rPr>
          <w:spacing w:val="-5"/>
        </w:rPr>
        <w:t>Б.</w:t>
      </w:r>
    </w:p>
    <w:p>
      <w:pPr>
        <w:pStyle w:val="BodyText"/>
        <w:ind w:left="1261" w:right="7897"/>
      </w:pPr>
      <w:r>
        <w:rPr/>
        <w:t>Аншелес</w:t>
      </w:r>
      <w:r>
        <w:rPr>
          <w:spacing w:val="-3"/>
        </w:rPr>
        <w:t> </w:t>
      </w:r>
      <w:r>
        <w:rPr/>
        <w:t>А.</w:t>
      </w:r>
      <w:r>
        <w:rPr>
          <w:spacing w:val="-2"/>
        </w:rPr>
        <w:t> </w:t>
      </w:r>
      <w:r>
        <w:rPr>
          <w:spacing w:val="-5"/>
        </w:rPr>
        <w:t>А.</w:t>
      </w:r>
    </w:p>
    <w:p>
      <w:pPr>
        <w:pStyle w:val="BodyText"/>
        <w:ind w:left="1261" w:right="7897"/>
      </w:pPr>
      <w:r>
        <w:rPr/>
        <w:t>Арабидзе</w:t>
      </w:r>
      <w:r>
        <w:rPr>
          <w:spacing w:val="-3"/>
        </w:rPr>
        <w:t> </w:t>
      </w:r>
      <w:r>
        <w:rPr/>
        <w:t>Г.</w:t>
      </w:r>
      <w:r>
        <w:rPr>
          <w:spacing w:val="-1"/>
        </w:rPr>
        <w:t> </w:t>
      </w:r>
      <w:r>
        <w:rPr>
          <w:spacing w:val="-5"/>
        </w:rPr>
        <w:t>Г.</w:t>
      </w:r>
    </w:p>
    <w:p>
      <w:pPr>
        <w:pStyle w:val="BodyText"/>
        <w:ind w:left="1261" w:right="7897"/>
      </w:pPr>
      <w:r>
        <w:rPr/>
        <w:t>Аронов</w:t>
      </w:r>
      <w:r>
        <w:rPr>
          <w:spacing w:val="-2"/>
        </w:rPr>
        <w:t> </w:t>
      </w:r>
      <w:r>
        <w:rPr/>
        <w:t>Д. </w:t>
      </w:r>
      <w:r>
        <w:rPr>
          <w:spacing w:val="-5"/>
        </w:rPr>
        <w:t>М.</w:t>
      </w:r>
    </w:p>
    <w:p>
      <w:pPr>
        <w:pStyle w:val="BodyText"/>
        <w:ind w:left="1261" w:right="7897"/>
      </w:pPr>
      <w:r>
        <w:rPr/>
        <w:t>Арутюнов</w:t>
      </w:r>
      <w:r>
        <w:rPr>
          <w:spacing w:val="-1"/>
        </w:rPr>
        <w:t> </w:t>
      </w:r>
      <w:r>
        <w:rPr/>
        <w:t>Г. </w:t>
      </w:r>
      <w:r>
        <w:rPr>
          <w:spacing w:val="-5"/>
        </w:rPr>
        <w:t>П.</w:t>
      </w:r>
    </w:p>
    <w:p>
      <w:pPr>
        <w:pStyle w:val="BodyText"/>
        <w:ind w:left="1261" w:right="7897"/>
      </w:pPr>
      <w:r>
        <w:rPr/>
        <w:t>Ахмеджанов</w:t>
      </w:r>
      <w:r>
        <w:rPr>
          <w:spacing w:val="-4"/>
        </w:rPr>
        <w:t> </w:t>
      </w:r>
      <w:r>
        <w:rPr/>
        <w:t>Н.</w:t>
      </w:r>
      <w:r>
        <w:rPr>
          <w:spacing w:val="-3"/>
        </w:rPr>
        <w:t> </w:t>
      </w:r>
      <w:r>
        <w:rPr>
          <w:spacing w:val="-5"/>
        </w:rPr>
        <w:t>М.</w:t>
      </w:r>
    </w:p>
    <w:p>
      <w:pPr>
        <w:pStyle w:val="BodyText"/>
        <w:ind w:left="1261" w:right="7897"/>
      </w:pPr>
      <w:r>
        <w:rPr/>
        <w:t>Балахонова</w:t>
      </w:r>
      <w:r>
        <w:rPr>
          <w:spacing w:val="-4"/>
        </w:rPr>
        <w:t> </w:t>
      </w:r>
      <w:r>
        <w:rPr/>
        <w:t>Т.</w:t>
      </w:r>
      <w:r>
        <w:rPr>
          <w:spacing w:val="-3"/>
        </w:rPr>
        <w:t> </w:t>
      </w:r>
      <w:r>
        <w:rPr>
          <w:spacing w:val="-5"/>
        </w:rPr>
        <w:t>В.</w:t>
      </w:r>
    </w:p>
    <w:p>
      <w:pPr>
        <w:pStyle w:val="BodyText"/>
        <w:ind w:left="1261" w:right="7897"/>
      </w:pPr>
      <w:r>
        <w:rPr/>
        <w:t>Барбараш</w:t>
      </w:r>
      <w:r>
        <w:rPr>
          <w:spacing w:val="-3"/>
        </w:rPr>
        <w:t> </w:t>
      </w:r>
      <w:r>
        <w:rPr/>
        <w:t>О.</w:t>
      </w:r>
      <w:r>
        <w:rPr>
          <w:spacing w:val="-3"/>
        </w:rPr>
        <w:t> </w:t>
      </w:r>
      <w:r>
        <w:rPr>
          <w:spacing w:val="-5"/>
        </w:rPr>
        <w:t>Л.</w:t>
      </w:r>
    </w:p>
    <w:p>
      <w:pPr>
        <w:pStyle w:val="BodyText"/>
        <w:ind w:left="1261" w:right="7897"/>
      </w:pPr>
      <w:r>
        <w:rPr/>
        <w:t>Бойцов</w:t>
      </w:r>
      <w:r>
        <w:rPr>
          <w:spacing w:val="-1"/>
        </w:rPr>
        <w:t> </w:t>
      </w:r>
      <w:r>
        <w:rPr/>
        <w:t>С. </w:t>
      </w:r>
      <w:r>
        <w:rPr>
          <w:spacing w:val="-5"/>
        </w:rPr>
        <w:t>А.</w:t>
      </w:r>
    </w:p>
    <w:p>
      <w:pPr>
        <w:pStyle w:val="BodyText"/>
        <w:ind w:left="1261" w:right="7897"/>
      </w:pPr>
      <w:r>
        <w:rPr/>
        <w:t>Бубнова</w:t>
      </w:r>
      <w:r>
        <w:rPr>
          <w:spacing w:val="-2"/>
        </w:rPr>
        <w:t> </w:t>
      </w:r>
      <w:r>
        <w:rPr/>
        <w:t>М.</w:t>
      </w:r>
      <w:r>
        <w:rPr>
          <w:spacing w:val="-1"/>
        </w:rPr>
        <w:t> </w:t>
      </w:r>
      <w:r>
        <w:rPr>
          <w:spacing w:val="-5"/>
        </w:rPr>
        <w:t>Г.</w:t>
      </w:r>
    </w:p>
    <w:p>
      <w:pPr>
        <w:pStyle w:val="BodyText"/>
        <w:ind w:left="1261" w:right="7897"/>
      </w:pPr>
      <w:r>
        <w:rPr/>
        <w:t>Воевода</w:t>
      </w:r>
      <w:r>
        <w:rPr>
          <w:spacing w:val="-2"/>
        </w:rPr>
        <w:t> </w:t>
      </w:r>
      <w:r>
        <w:rPr/>
        <w:t>М.</w:t>
      </w:r>
      <w:r>
        <w:rPr>
          <w:spacing w:val="-1"/>
        </w:rPr>
        <w:t> </w:t>
      </w:r>
      <w:r>
        <w:rPr>
          <w:spacing w:val="-5"/>
        </w:rPr>
        <w:t>И.</w:t>
      </w:r>
    </w:p>
    <w:p>
      <w:pPr>
        <w:pStyle w:val="BodyText"/>
        <w:ind w:left="1261" w:right="7897"/>
      </w:pPr>
      <w:r>
        <w:rPr/>
        <w:t>Галстян</w:t>
      </w:r>
      <w:r>
        <w:rPr>
          <w:spacing w:val="-1"/>
        </w:rPr>
        <w:t> </w:t>
      </w:r>
      <w:r>
        <w:rPr/>
        <w:t>Г.</w:t>
      </w:r>
      <w:r>
        <w:rPr>
          <w:spacing w:val="-1"/>
        </w:rPr>
        <w:t> </w:t>
      </w:r>
      <w:r>
        <w:rPr>
          <w:spacing w:val="-5"/>
        </w:rPr>
        <w:t>Р.</w:t>
      </w:r>
    </w:p>
    <w:p>
      <w:pPr>
        <w:pStyle w:val="BodyText"/>
        <w:ind w:left="1261" w:right="7897"/>
      </w:pPr>
      <w:r>
        <w:rPr/>
        <w:t>Галявич</w:t>
      </w:r>
      <w:r>
        <w:rPr>
          <w:spacing w:val="-2"/>
        </w:rPr>
        <w:t> </w:t>
      </w:r>
      <w:r>
        <w:rPr/>
        <w:t>А.</w:t>
      </w:r>
      <w:r>
        <w:rPr>
          <w:spacing w:val="-1"/>
        </w:rPr>
        <w:t> </w:t>
      </w:r>
      <w:r>
        <w:rPr>
          <w:spacing w:val="-5"/>
        </w:rPr>
        <w:t>С.</w:t>
      </w:r>
    </w:p>
    <w:p>
      <w:pPr>
        <w:pStyle w:val="BodyText"/>
        <w:ind w:left="1261" w:right="7897"/>
      </w:pPr>
      <w:r>
        <w:rPr/>
        <w:t>Горнякова</w:t>
      </w:r>
      <w:r>
        <w:rPr>
          <w:spacing w:val="-2"/>
        </w:rPr>
        <w:t> </w:t>
      </w:r>
      <w:r>
        <w:rPr/>
        <w:t>Н. </w:t>
      </w:r>
      <w:r>
        <w:rPr>
          <w:spacing w:val="-5"/>
        </w:rPr>
        <w:t>Б.</w:t>
      </w:r>
    </w:p>
    <w:p>
      <w:pPr>
        <w:pStyle w:val="BodyText"/>
        <w:ind w:left="1261" w:right="7897"/>
      </w:pPr>
      <w:r>
        <w:rPr/>
        <w:t>Гуревич</w:t>
      </w:r>
      <w:r>
        <w:rPr>
          <w:spacing w:val="-2"/>
        </w:rPr>
        <w:t> </w:t>
      </w:r>
      <w:r>
        <w:rPr/>
        <w:t>В. </w:t>
      </w:r>
      <w:r>
        <w:rPr>
          <w:spacing w:val="-5"/>
        </w:rPr>
        <w:t>С.</w:t>
      </w:r>
    </w:p>
    <w:p>
      <w:pPr>
        <w:pStyle w:val="BodyText"/>
        <w:ind w:left="1261" w:right="7897"/>
      </w:pPr>
      <w:r>
        <w:rPr/>
        <w:t>Дедов</w:t>
      </w:r>
      <w:r>
        <w:rPr>
          <w:spacing w:val="-3"/>
        </w:rPr>
        <w:t> </w:t>
      </w:r>
      <w:r>
        <w:rPr>
          <w:spacing w:val="-4"/>
        </w:rPr>
        <w:t>И.И.</w:t>
      </w:r>
    </w:p>
    <w:p>
      <w:pPr>
        <w:pStyle w:val="BodyText"/>
        <w:ind w:left="1261" w:right="7897"/>
      </w:pPr>
      <w:r>
        <w:rPr/>
        <w:t>Драпкина</w:t>
      </w:r>
      <w:r>
        <w:rPr>
          <w:spacing w:val="-1"/>
        </w:rPr>
        <w:t> </w:t>
      </w:r>
      <w:r>
        <w:rPr/>
        <w:t>О. </w:t>
      </w:r>
      <w:r>
        <w:rPr>
          <w:spacing w:val="-5"/>
        </w:rPr>
        <w:t>М.</w:t>
      </w:r>
    </w:p>
    <w:p>
      <w:pPr>
        <w:pStyle w:val="BodyText"/>
        <w:ind w:left="1261" w:right="7897"/>
      </w:pPr>
      <w:r>
        <w:rPr/>
        <w:t>Дупляков</w:t>
      </w:r>
      <w:r>
        <w:rPr>
          <w:spacing w:val="-2"/>
        </w:rPr>
        <w:t> </w:t>
      </w:r>
      <w:r>
        <w:rPr/>
        <w:t>Д. </w:t>
      </w:r>
      <w:r>
        <w:rPr>
          <w:spacing w:val="-5"/>
        </w:rPr>
        <w:t>В.</w:t>
      </w:r>
    </w:p>
    <w:p>
      <w:pPr>
        <w:pStyle w:val="BodyText"/>
        <w:ind w:left="1261" w:right="7897"/>
      </w:pPr>
      <w:r>
        <w:rPr/>
        <w:t>Ерегин С.</w:t>
      </w:r>
      <w:r>
        <w:rPr>
          <w:spacing w:val="-1"/>
        </w:rPr>
        <w:t> </w:t>
      </w:r>
      <w:r>
        <w:rPr>
          <w:spacing w:val="-7"/>
        </w:rPr>
        <w:t>Я.</w:t>
      </w:r>
    </w:p>
    <w:p>
      <w:pPr>
        <w:pStyle w:val="BodyText"/>
        <w:spacing w:before="1"/>
        <w:ind w:left="1261" w:right="7897"/>
      </w:pPr>
      <w:r>
        <w:rPr/>
        <w:t>Ершова</w:t>
      </w:r>
      <w:r>
        <w:rPr>
          <w:spacing w:val="-5"/>
        </w:rPr>
        <w:t> </w:t>
      </w:r>
      <w:r>
        <w:rPr/>
        <w:t>А.</w:t>
      </w:r>
      <w:r>
        <w:rPr>
          <w:spacing w:val="-1"/>
        </w:rPr>
        <w:t> </w:t>
      </w:r>
      <w:r>
        <w:rPr>
          <w:spacing w:val="-5"/>
        </w:rPr>
        <w:t>И.</w:t>
      </w:r>
    </w:p>
    <w:p>
      <w:pPr>
        <w:pStyle w:val="BodyText"/>
        <w:ind w:left="1261" w:right="7897"/>
      </w:pPr>
      <w:r>
        <w:rPr/>
        <w:t>Иртюга</w:t>
      </w:r>
      <w:r>
        <w:rPr>
          <w:spacing w:val="-5"/>
        </w:rPr>
        <w:t> </w:t>
      </w:r>
      <w:r>
        <w:rPr/>
        <w:t>О.</w:t>
      </w:r>
      <w:r>
        <w:rPr>
          <w:spacing w:val="-1"/>
        </w:rPr>
        <w:t> </w:t>
      </w:r>
      <w:r>
        <w:rPr>
          <w:spacing w:val="-5"/>
        </w:rPr>
        <w:t>Б.</w:t>
      </w:r>
    </w:p>
    <w:p>
      <w:pPr>
        <w:pStyle w:val="BodyText"/>
        <w:ind w:left="1261" w:right="7897"/>
      </w:pPr>
      <w:r>
        <w:rPr/>
        <w:t>Карпов</w:t>
      </w:r>
      <w:r>
        <w:rPr>
          <w:spacing w:val="-1"/>
        </w:rPr>
        <w:t> </w:t>
      </w:r>
      <w:r>
        <w:rPr/>
        <w:t>Р. </w:t>
      </w:r>
      <w:r>
        <w:rPr>
          <w:spacing w:val="-5"/>
        </w:rPr>
        <w:t>С.</w:t>
      </w:r>
    </w:p>
    <w:p>
      <w:pPr>
        <w:pStyle w:val="BodyText"/>
        <w:ind w:left="1261" w:right="7897"/>
      </w:pPr>
      <w:r>
        <w:rPr/>
        <w:t>Карпов</w:t>
      </w:r>
      <w:r>
        <w:rPr>
          <w:spacing w:val="-1"/>
        </w:rPr>
        <w:t> </w:t>
      </w:r>
      <w:r>
        <w:rPr/>
        <w:t>Ю. </w:t>
      </w:r>
      <w:r>
        <w:rPr>
          <w:spacing w:val="-5"/>
        </w:rPr>
        <w:t>А.</w:t>
      </w:r>
    </w:p>
    <w:p>
      <w:pPr>
        <w:pStyle w:val="BodyText"/>
        <w:ind w:left="1261" w:right="7897"/>
      </w:pPr>
      <w:r>
        <w:rPr/>
        <w:t>Качковский М.</w:t>
      </w:r>
      <w:r>
        <w:rPr>
          <w:spacing w:val="-1"/>
        </w:rPr>
        <w:t> </w:t>
      </w:r>
      <w:r>
        <w:rPr>
          <w:spacing w:val="-5"/>
        </w:rPr>
        <w:t>А.</w:t>
      </w:r>
    </w:p>
    <w:p>
      <w:pPr>
        <w:pStyle w:val="BodyText"/>
        <w:ind w:left="1261" w:right="7897"/>
      </w:pPr>
      <w:r>
        <w:rPr/>
        <w:t>Кобалава</w:t>
      </w:r>
      <w:r>
        <w:rPr>
          <w:spacing w:val="-3"/>
        </w:rPr>
        <w:t> </w:t>
      </w:r>
      <w:r>
        <w:rPr/>
        <w:t>Ж.</w:t>
      </w:r>
      <w:r>
        <w:rPr>
          <w:spacing w:val="-2"/>
        </w:rPr>
        <w:t> </w:t>
      </w:r>
      <w:r>
        <w:rPr>
          <w:spacing w:val="-5"/>
        </w:rPr>
        <w:t>Д.</w:t>
      </w:r>
    </w:p>
    <w:p>
      <w:pPr>
        <w:pStyle w:val="BodyText"/>
        <w:ind w:left="1261" w:right="7897"/>
      </w:pPr>
      <w:r>
        <w:rPr/>
        <w:t>Козиолова</w:t>
      </w:r>
      <w:r>
        <w:rPr>
          <w:spacing w:val="-1"/>
        </w:rPr>
        <w:t> </w:t>
      </w:r>
      <w:r>
        <w:rPr/>
        <w:t>Н. </w:t>
      </w:r>
      <w:r>
        <w:rPr>
          <w:spacing w:val="-5"/>
        </w:rPr>
        <w:t>А.</w:t>
      </w:r>
    </w:p>
    <w:p>
      <w:pPr>
        <w:pStyle w:val="BodyText"/>
        <w:ind w:left="1261" w:right="7897"/>
      </w:pPr>
      <w:r>
        <w:rPr/>
        <w:t>Коновалов</w:t>
      </w:r>
      <w:r>
        <w:rPr>
          <w:spacing w:val="-2"/>
        </w:rPr>
        <w:t> </w:t>
      </w:r>
      <w:r>
        <w:rPr/>
        <w:t>Г. </w:t>
      </w:r>
      <w:r>
        <w:rPr>
          <w:spacing w:val="-5"/>
        </w:rPr>
        <w:t>А.</w:t>
      </w:r>
    </w:p>
    <w:p>
      <w:pPr>
        <w:pStyle w:val="BodyText"/>
        <w:ind w:left="1261" w:right="7897"/>
      </w:pPr>
      <w:r>
        <w:rPr/>
        <w:t>Константинов</w:t>
      </w:r>
      <w:r>
        <w:rPr>
          <w:spacing w:val="-2"/>
        </w:rPr>
        <w:t> </w:t>
      </w:r>
      <w:r>
        <w:rPr/>
        <w:t>В. </w:t>
      </w:r>
      <w:r>
        <w:rPr>
          <w:spacing w:val="-5"/>
        </w:rPr>
        <w:t>О.</w:t>
      </w:r>
    </w:p>
    <w:p>
      <w:pPr>
        <w:pStyle w:val="BodyText"/>
        <w:ind w:left="1261" w:right="7897"/>
      </w:pPr>
      <w:r>
        <w:rPr/>
        <w:t>Космачева</w:t>
      </w:r>
      <w:r>
        <w:rPr>
          <w:spacing w:val="-4"/>
        </w:rPr>
        <w:t> </w:t>
      </w:r>
      <w:r>
        <w:rPr/>
        <w:t>Е.</w:t>
      </w:r>
      <w:r>
        <w:rPr>
          <w:spacing w:val="-3"/>
        </w:rPr>
        <w:t> </w:t>
      </w:r>
      <w:r>
        <w:rPr>
          <w:spacing w:val="-5"/>
        </w:rPr>
        <w:t>Д.</w:t>
      </w:r>
    </w:p>
    <w:p>
      <w:pPr>
        <w:pStyle w:val="BodyText"/>
        <w:ind w:left="1261" w:right="7897"/>
      </w:pPr>
      <w:r>
        <w:rPr/>
        <w:t>Котовская</w:t>
      </w:r>
      <w:r>
        <w:rPr>
          <w:spacing w:val="-1"/>
        </w:rPr>
        <w:t> </w:t>
      </w:r>
      <w:r>
        <w:rPr/>
        <w:t>Ю.</w:t>
      </w:r>
      <w:r>
        <w:rPr>
          <w:spacing w:val="-1"/>
        </w:rPr>
        <w:t> </w:t>
      </w:r>
      <w:r>
        <w:rPr>
          <w:spacing w:val="-5"/>
        </w:rPr>
        <w:t>В.</w:t>
      </w:r>
    </w:p>
    <w:p>
      <w:pPr>
        <w:pStyle w:val="BodyText"/>
        <w:ind w:left="1261" w:right="7897"/>
      </w:pPr>
      <w:r>
        <w:rPr/>
        <w:t>Мартынов</w:t>
      </w:r>
      <w:r>
        <w:rPr>
          <w:spacing w:val="-4"/>
        </w:rPr>
        <w:t> </w:t>
      </w:r>
      <w:r>
        <w:rPr/>
        <w:t>А.</w:t>
      </w:r>
      <w:r>
        <w:rPr>
          <w:spacing w:val="-2"/>
        </w:rPr>
        <w:t> </w:t>
      </w:r>
      <w:r>
        <w:rPr>
          <w:spacing w:val="-5"/>
        </w:rPr>
        <w:t>И.</w:t>
      </w:r>
    </w:p>
    <w:p>
      <w:pPr>
        <w:pStyle w:val="BodyText"/>
        <w:ind w:left="1261" w:right="7897"/>
      </w:pPr>
      <w:r>
        <w:rPr/>
        <w:t>Мешков</w:t>
      </w:r>
      <w:r>
        <w:rPr>
          <w:spacing w:val="-2"/>
        </w:rPr>
        <w:t> </w:t>
      </w:r>
      <w:r>
        <w:rPr/>
        <w:t>А.</w:t>
      </w:r>
      <w:r>
        <w:rPr>
          <w:spacing w:val="-1"/>
        </w:rPr>
        <w:t> </w:t>
      </w:r>
      <w:r>
        <w:rPr>
          <w:spacing w:val="-5"/>
        </w:rPr>
        <w:t>Н.</w:t>
      </w:r>
    </w:p>
    <w:p>
      <w:pPr>
        <w:pStyle w:val="BodyText"/>
        <w:ind w:left="1261" w:right="7897"/>
      </w:pPr>
      <w:r>
        <w:rPr/>
        <w:t>Небиеридзе</w:t>
      </w:r>
      <w:r>
        <w:rPr>
          <w:spacing w:val="-4"/>
        </w:rPr>
        <w:t> </w:t>
      </w:r>
      <w:r>
        <w:rPr/>
        <w:t>Д.</w:t>
      </w:r>
      <w:r>
        <w:rPr>
          <w:spacing w:val="-1"/>
        </w:rPr>
        <w:t> </w:t>
      </w:r>
      <w:r>
        <w:rPr>
          <w:spacing w:val="-5"/>
        </w:rPr>
        <w:t>В.</w:t>
      </w:r>
    </w:p>
    <w:p>
      <w:pPr>
        <w:pStyle w:val="BodyText"/>
        <w:ind w:left="1261" w:right="7897"/>
      </w:pPr>
      <w:r>
        <w:rPr/>
        <w:t>Недогода</w:t>
      </w:r>
      <w:r>
        <w:rPr>
          <w:spacing w:val="-2"/>
        </w:rPr>
        <w:t> </w:t>
      </w:r>
      <w:r>
        <w:rPr/>
        <w:t>С.</w:t>
      </w:r>
      <w:r>
        <w:rPr>
          <w:spacing w:val="-1"/>
        </w:rPr>
        <w:t> </w:t>
      </w:r>
      <w:r>
        <w:rPr>
          <w:spacing w:val="-5"/>
        </w:rPr>
        <w:t>В.</w:t>
      </w:r>
    </w:p>
    <w:p>
      <w:pPr>
        <w:pStyle w:val="BodyText"/>
        <w:ind w:left="1261" w:right="7897"/>
      </w:pPr>
      <w:r>
        <w:rPr/>
        <w:t>Обрезан</w:t>
      </w:r>
      <w:r>
        <w:rPr>
          <w:spacing w:val="-1"/>
        </w:rPr>
        <w:t> </w:t>
      </w:r>
      <w:r>
        <w:rPr/>
        <w:t>А.</w:t>
      </w:r>
      <w:r>
        <w:rPr>
          <w:spacing w:val="-2"/>
        </w:rPr>
        <w:t> </w:t>
      </w:r>
      <w:r>
        <w:rPr>
          <w:spacing w:val="-5"/>
        </w:rPr>
        <w:t>Г.</w:t>
      </w:r>
    </w:p>
    <w:p>
      <w:pPr>
        <w:pStyle w:val="BodyText"/>
        <w:ind w:left="1261" w:right="7897"/>
      </w:pPr>
      <w:r>
        <w:rPr/>
        <w:t>Олейников</w:t>
      </w:r>
      <w:r>
        <w:rPr>
          <w:spacing w:val="-1"/>
        </w:rPr>
        <w:t> </w:t>
      </w:r>
      <w:r>
        <w:rPr/>
        <w:t>В.</w:t>
      </w:r>
      <w:r>
        <w:rPr>
          <w:spacing w:val="1"/>
        </w:rPr>
        <w:t> </w:t>
      </w:r>
      <w:r>
        <w:rPr>
          <w:spacing w:val="-5"/>
        </w:rPr>
        <w:t>Э.</w:t>
      </w:r>
    </w:p>
    <w:p>
      <w:pPr>
        <w:pStyle w:val="BodyText"/>
        <w:ind w:left="1261" w:right="7897"/>
      </w:pPr>
      <w:r>
        <w:rPr/>
        <w:t>Покровский С. </w:t>
      </w:r>
      <w:r>
        <w:rPr>
          <w:spacing w:val="-5"/>
        </w:rPr>
        <w:t>Н.</w:t>
      </w:r>
    </w:p>
    <w:p>
      <w:pPr>
        <w:pStyle w:val="BodyText"/>
        <w:ind w:left="1261" w:right="7897"/>
      </w:pPr>
      <w:r>
        <w:rPr/>
        <w:t>Рагино Ю. </w:t>
      </w:r>
      <w:r>
        <w:rPr>
          <w:spacing w:val="-5"/>
        </w:rPr>
        <w:t>И.</w:t>
      </w:r>
    </w:p>
    <w:p>
      <w:pPr>
        <w:pStyle w:val="BodyText"/>
        <w:ind w:left="1261" w:right="7897"/>
      </w:pPr>
      <w:r>
        <w:rPr/>
        <w:t>Ротарь</w:t>
      </w:r>
      <w:r>
        <w:rPr>
          <w:spacing w:val="-1"/>
        </w:rPr>
        <w:t> </w:t>
      </w:r>
      <w:r>
        <w:rPr/>
        <w:t>О.</w:t>
      </w:r>
      <w:r>
        <w:rPr>
          <w:spacing w:val="-1"/>
        </w:rPr>
        <w:t> </w:t>
      </w:r>
      <w:r>
        <w:rPr>
          <w:spacing w:val="-5"/>
        </w:rPr>
        <w:t>П.</w:t>
      </w:r>
    </w:p>
    <w:p>
      <w:pPr>
        <w:pStyle w:val="BodyText"/>
        <w:ind w:left="1261" w:right="7897"/>
      </w:pPr>
      <w:r>
        <w:rPr/>
        <w:t>Скибицкий</w:t>
      </w:r>
      <w:r>
        <w:rPr>
          <w:spacing w:val="-3"/>
        </w:rPr>
        <w:t> </w:t>
      </w:r>
      <w:r>
        <w:rPr/>
        <w:t>В.</w:t>
      </w:r>
      <w:r>
        <w:rPr>
          <w:spacing w:val="-1"/>
        </w:rPr>
        <w:t> </w:t>
      </w:r>
      <w:r>
        <w:rPr>
          <w:spacing w:val="-5"/>
        </w:rPr>
        <w:t>В.</w:t>
      </w:r>
    </w:p>
    <w:p>
      <w:pPr>
        <w:spacing w:after="0"/>
        <w:sectPr>
          <w:pgSz w:w="11910" w:h="16840"/>
          <w:pgMar w:header="0" w:footer="710" w:top="1580" w:bottom="900" w:left="440" w:right="280"/>
        </w:sectPr>
      </w:pPr>
    </w:p>
    <w:p>
      <w:pPr>
        <w:pStyle w:val="BodyText"/>
        <w:spacing w:before="73"/>
        <w:ind w:left="1261" w:right="7897"/>
      </w:pPr>
      <w:r>
        <w:rPr/>
        <w:t>Смоленская</w:t>
      </w:r>
      <w:r>
        <w:rPr>
          <w:spacing w:val="-15"/>
        </w:rPr>
        <w:t> </w:t>
      </w:r>
      <w:r>
        <w:rPr/>
        <w:t>О.</w:t>
      </w:r>
      <w:r>
        <w:rPr>
          <w:spacing w:val="-15"/>
        </w:rPr>
        <w:t> </w:t>
      </w:r>
      <w:r>
        <w:rPr/>
        <w:t>Г. Соколов А. А. Сумароков А. Б. Ткачева О. Н. Филиппов А. Е. Халимов Ю. Ш. Чазова И. Е. Шапошник И. И. Шестакова М.В. Шляхто Е. В.</w:t>
      </w:r>
    </w:p>
    <w:p>
      <w:pPr>
        <w:pStyle w:val="BodyText"/>
        <w:ind w:left="0"/>
      </w:pPr>
    </w:p>
    <w:p>
      <w:pPr>
        <w:pStyle w:val="BodyText"/>
        <w:spacing w:line="360" w:lineRule="auto"/>
        <w:ind w:left="1261" w:right="567" w:firstLine="708"/>
        <w:jc w:val="both"/>
      </w:pPr>
      <w:r>
        <w:rPr/>
        <w:t>Члены Рабочей группы подтвердили отсутствие финансовой поддержки/конфликта интересов. В случае сообщения о наличии конфликта интересов член(ы) рабочей группы был(и) исключен(ы) из</w:t>
      </w:r>
      <w:r>
        <w:rPr>
          <w:spacing w:val="-1"/>
        </w:rPr>
        <w:t> </w:t>
      </w:r>
      <w:r>
        <w:rPr/>
        <w:t>обсуждения разделов, связанных с областью конфликта интересов.</w:t>
      </w:r>
    </w:p>
    <w:p>
      <w:pPr>
        <w:pStyle w:val="BodyText"/>
        <w:ind w:left="0"/>
        <w:rPr>
          <w:sz w:val="26"/>
        </w:rPr>
      </w:pPr>
    </w:p>
    <w:p>
      <w:pPr>
        <w:pStyle w:val="BodyText"/>
        <w:spacing w:before="10"/>
        <w:ind w:left="0"/>
        <w:rPr>
          <w:sz w:val="20"/>
        </w:rPr>
      </w:pPr>
    </w:p>
    <w:p>
      <w:pPr>
        <w:pStyle w:val="Heading3"/>
        <w:jc w:val="both"/>
      </w:pPr>
      <w:bookmarkStart w:name="Приложение А2. Методология разработки кл" w:id="338"/>
      <w:bookmarkEnd w:id="338"/>
      <w:r>
        <w:rPr>
          <w:b w:val="0"/>
        </w:rPr>
      </w:r>
      <w:bookmarkStart w:name="_bookmark288" w:id="339"/>
      <w:bookmarkEnd w:id="339"/>
      <w:r>
        <w:rPr>
          <w:b w:val="0"/>
        </w:rPr>
      </w:r>
      <w:r>
        <w:rPr/>
        <w:t>Приложение</w:t>
      </w:r>
      <w:r>
        <w:rPr>
          <w:spacing w:val="-7"/>
        </w:rPr>
        <w:t> </w:t>
      </w:r>
      <w:r>
        <w:rPr/>
        <w:t>А2.</w:t>
      </w:r>
      <w:r>
        <w:rPr>
          <w:spacing w:val="-3"/>
        </w:rPr>
        <w:t> </w:t>
      </w:r>
      <w:r>
        <w:rPr/>
        <w:t>Методология</w:t>
      </w:r>
      <w:r>
        <w:rPr>
          <w:spacing w:val="-5"/>
        </w:rPr>
        <w:t> </w:t>
      </w:r>
      <w:r>
        <w:rPr/>
        <w:t>разработки</w:t>
      </w:r>
      <w:r>
        <w:rPr>
          <w:spacing w:val="-5"/>
        </w:rPr>
        <w:t> </w:t>
      </w:r>
      <w:r>
        <w:rPr/>
        <w:t>клинических</w:t>
      </w:r>
      <w:r>
        <w:rPr>
          <w:spacing w:val="-4"/>
        </w:rPr>
        <w:t> </w:t>
      </w:r>
      <w:r>
        <w:rPr>
          <w:spacing w:val="-2"/>
        </w:rPr>
        <w:t>рекомендаций</w:t>
      </w:r>
    </w:p>
    <w:p>
      <w:pPr>
        <w:pStyle w:val="BodyText"/>
        <w:spacing w:line="360" w:lineRule="auto" w:before="137"/>
        <w:ind w:left="1261" w:right="567" w:firstLine="708"/>
        <w:jc w:val="both"/>
      </w:pPr>
      <w:r>
        <w:rPr/>
        <w:t>Представленные Рекомендации разработаны на основе Рекомендаций по лечению нарушений липидного обмена Европейского общества кардиологов и Европейского общества по изучению атеросклероза 2019 года [</w:t>
      </w:r>
      <w:hyperlink w:history="true" w:anchor="_bookmark95">
        <w:r>
          <w:rPr/>
          <w:t>50</w:t>
        </w:r>
      </w:hyperlink>
      <w:r>
        <w:rPr/>
        <w:t>].</w:t>
      </w:r>
    </w:p>
    <w:p>
      <w:pPr>
        <w:pStyle w:val="BodyText"/>
        <w:spacing w:line="360" w:lineRule="auto" w:before="2"/>
        <w:ind w:left="1261" w:right="565" w:firstLine="708"/>
        <w:jc w:val="both"/>
      </w:pPr>
      <w:r>
        <w:rPr/>
        <w:t>В Рекомендациях, основанных на результатах крупнейших эпидемиологических, рандомизированных клинических исследований и метаанализов, обобщены и изложены основные принципы лечения пациентов с нарушениями липидного обмена в целом и в особых клинических ситуациях. Основная цель Рекомендаций — облегчить принятие решения при выборе оптимальной стратегии лечения конкретного пациента с дислипидемией. Тем не менее окончательное решение о лечении должно быть принято с учетом индивидуальных особенностей механизмов развития и течения заболевания.</w:t>
      </w:r>
    </w:p>
    <w:p>
      <w:pPr>
        <w:pStyle w:val="Heading3"/>
        <w:spacing w:line="275" w:lineRule="exact"/>
        <w:ind w:left="1969"/>
        <w:jc w:val="both"/>
      </w:pPr>
      <w:r>
        <w:rPr/>
        <w:t>Целевая</w:t>
      </w:r>
      <w:r>
        <w:rPr>
          <w:spacing w:val="-6"/>
        </w:rPr>
        <w:t> </w:t>
      </w:r>
      <w:r>
        <w:rPr/>
        <w:t>аудитория</w:t>
      </w:r>
      <w:r>
        <w:rPr>
          <w:spacing w:val="-4"/>
        </w:rPr>
        <w:t> </w:t>
      </w:r>
      <w:r>
        <w:rPr/>
        <w:t>данных</w:t>
      </w:r>
      <w:r>
        <w:rPr>
          <w:spacing w:val="-3"/>
        </w:rPr>
        <w:t> </w:t>
      </w:r>
      <w:r>
        <w:rPr/>
        <w:t>клинических</w:t>
      </w:r>
      <w:r>
        <w:rPr>
          <w:spacing w:val="-3"/>
        </w:rPr>
        <w:t> </w:t>
      </w:r>
      <w:r>
        <w:rPr>
          <w:spacing w:val="-2"/>
        </w:rPr>
        <w:t>рекомендаций:</w:t>
      </w:r>
    </w:p>
    <w:p>
      <w:pPr>
        <w:pStyle w:val="ListParagraph"/>
        <w:numPr>
          <w:ilvl w:val="0"/>
          <w:numId w:val="26"/>
        </w:numPr>
        <w:tabs>
          <w:tab w:pos="2210" w:val="left" w:leader="none"/>
        </w:tabs>
        <w:spacing w:line="240" w:lineRule="auto" w:before="136" w:after="0"/>
        <w:ind w:left="2209" w:right="0" w:hanging="241"/>
        <w:jc w:val="both"/>
        <w:rPr>
          <w:sz w:val="24"/>
        </w:rPr>
      </w:pPr>
      <w:r>
        <w:rPr>
          <w:spacing w:val="-2"/>
          <w:sz w:val="24"/>
        </w:rPr>
        <w:t>Врач-кардиолог.</w:t>
      </w:r>
    </w:p>
    <w:p>
      <w:pPr>
        <w:pStyle w:val="ListParagraph"/>
        <w:numPr>
          <w:ilvl w:val="0"/>
          <w:numId w:val="26"/>
        </w:numPr>
        <w:tabs>
          <w:tab w:pos="2210" w:val="left" w:leader="none"/>
        </w:tabs>
        <w:spacing w:line="240" w:lineRule="auto" w:before="140" w:after="0"/>
        <w:ind w:left="2209" w:right="0" w:hanging="241"/>
        <w:jc w:val="both"/>
        <w:rPr>
          <w:sz w:val="24"/>
        </w:rPr>
      </w:pPr>
      <w:r>
        <w:rPr>
          <w:spacing w:val="-2"/>
          <w:sz w:val="24"/>
        </w:rPr>
        <w:t>Врач-терапевт.</w:t>
      </w:r>
    </w:p>
    <w:p>
      <w:pPr>
        <w:pStyle w:val="ListParagraph"/>
        <w:numPr>
          <w:ilvl w:val="0"/>
          <w:numId w:val="26"/>
        </w:numPr>
        <w:tabs>
          <w:tab w:pos="2210" w:val="left" w:leader="none"/>
        </w:tabs>
        <w:spacing w:line="240" w:lineRule="auto" w:before="136" w:after="0"/>
        <w:ind w:left="2209" w:right="0" w:hanging="241"/>
        <w:jc w:val="both"/>
        <w:rPr>
          <w:sz w:val="24"/>
        </w:rPr>
      </w:pPr>
      <w:r>
        <w:rPr>
          <w:sz w:val="24"/>
        </w:rPr>
        <w:t>Врач</w:t>
      </w:r>
      <w:r>
        <w:rPr>
          <w:spacing w:val="-2"/>
          <w:sz w:val="24"/>
        </w:rPr>
        <w:t> </w:t>
      </w:r>
      <w:r>
        <w:rPr>
          <w:sz w:val="24"/>
        </w:rPr>
        <w:t>общей </w:t>
      </w:r>
      <w:r>
        <w:rPr>
          <w:spacing w:val="-2"/>
          <w:sz w:val="24"/>
        </w:rPr>
        <w:t>практики.</w:t>
      </w:r>
    </w:p>
    <w:p>
      <w:pPr>
        <w:pStyle w:val="ListParagraph"/>
        <w:numPr>
          <w:ilvl w:val="0"/>
          <w:numId w:val="26"/>
        </w:numPr>
        <w:tabs>
          <w:tab w:pos="2210" w:val="left" w:leader="none"/>
        </w:tabs>
        <w:spacing w:line="240" w:lineRule="auto" w:before="140" w:after="0"/>
        <w:ind w:left="2209" w:right="0" w:hanging="241"/>
        <w:jc w:val="both"/>
        <w:rPr>
          <w:sz w:val="24"/>
        </w:rPr>
      </w:pPr>
      <w:r>
        <w:rPr>
          <w:spacing w:val="-2"/>
          <w:sz w:val="24"/>
        </w:rPr>
        <w:t>Врач-эндокринолог.</w:t>
      </w:r>
    </w:p>
    <w:p>
      <w:pPr>
        <w:pStyle w:val="ListParagraph"/>
        <w:numPr>
          <w:ilvl w:val="0"/>
          <w:numId w:val="26"/>
        </w:numPr>
        <w:tabs>
          <w:tab w:pos="2210" w:val="left" w:leader="none"/>
        </w:tabs>
        <w:spacing w:line="240" w:lineRule="auto" w:before="136" w:after="0"/>
        <w:ind w:left="2209" w:right="0" w:hanging="241"/>
        <w:jc w:val="both"/>
        <w:rPr>
          <w:sz w:val="24"/>
        </w:rPr>
      </w:pPr>
      <w:r>
        <w:rPr>
          <w:spacing w:val="-2"/>
          <w:sz w:val="24"/>
        </w:rPr>
        <w:t>Врач-невролог.</w:t>
      </w:r>
    </w:p>
    <w:p>
      <w:pPr>
        <w:pStyle w:val="BodyText"/>
        <w:spacing w:line="360" w:lineRule="auto" w:before="140"/>
        <w:ind w:left="1261" w:right="566" w:firstLine="708"/>
        <w:jc w:val="both"/>
      </w:pPr>
      <w:r>
        <w:rPr/>
        <w:t>Вследствие того, что члены Российского кардиологического общества входят в состав Европейского общества кардиологов и также являются его членами, все рекомендации Европейского общества кардиологов (ЕОК) формируются с участием российских экспертов, которые являются соавторами европейских рекомендаций. Таким образом, существующие рекомендации ЕОК отражают общее мнение ведущих</w:t>
      </w:r>
      <w:r>
        <w:rPr>
          <w:spacing w:val="80"/>
        </w:rPr>
        <w:t> </w:t>
      </w:r>
      <w:r>
        <w:rPr/>
        <w:t>российских</w:t>
      </w:r>
      <w:r>
        <w:rPr>
          <w:spacing w:val="62"/>
        </w:rPr>
        <w:t> </w:t>
      </w:r>
      <w:r>
        <w:rPr/>
        <w:t>и</w:t>
      </w:r>
      <w:r>
        <w:rPr>
          <w:spacing w:val="65"/>
        </w:rPr>
        <w:t> </w:t>
      </w:r>
      <w:r>
        <w:rPr/>
        <w:t>европейских</w:t>
      </w:r>
      <w:r>
        <w:rPr>
          <w:spacing w:val="64"/>
        </w:rPr>
        <w:t> </w:t>
      </w:r>
      <w:r>
        <w:rPr/>
        <w:t>кардиологов.</w:t>
      </w:r>
      <w:r>
        <w:rPr>
          <w:spacing w:val="64"/>
        </w:rPr>
        <w:t> </w:t>
      </w:r>
      <w:r>
        <w:rPr/>
        <w:t>В связи</w:t>
      </w:r>
      <w:r>
        <w:rPr>
          <w:spacing w:val="66"/>
        </w:rPr>
        <w:t> </w:t>
      </w:r>
      <w:r>
        <w:rPr/>
        <w:t>с</w:t>
      </w:r>
      <w:r>
        <w:rPr>
          <w:spacing w:val="63"/>
        </w:rPr>
        <w:t> </w:t>
      </w:r>
      <w:r>
        <w:rPr/>
        <w:t>этим</w:t>
      </w:r>
      <w:r>
        <w:rPr>
          <w:spacing w:val="64"/>
        </w:rPr>
        <w:t> </w:t>
      </w:r>
      <w:r>
        <w:rPr/>
        <w:t>формирование</w:t>
      </w:r>
      <w:r>
        <w:rPr>
          <w:spacing w:val="63"/>
        </w:rPr>
        <w:t> </w:t>
      </w:r>
      <w:r>
        <w:rPr>
          <w:spacing w:val="-2"/>
        </w:rPr>
        <w:t>Национальных</w:t>
      </w:r>
    </w:p>
    <w:p>
      <w:pPr>
        <w:spacing w:after="0" w:line="360" w:lineRule="auto"/>
        <w:jc w:val="both"/>
        <w:sectPr>
          <w:pgSz w:w="11910" w:h="16840"/>
          <w:pgMar w:header="0" w:footer="710" w:top="1040" w:bottom="900" w:left="440" w:right="280"/>
        </w:sectPr>
      </w:pPr>
    </w:p>
    <w:p>
      <w:pPr>
        <w:pStyle w:val="BodyText"/>
        <w:spacing w:line="360" w:lineRule="auto" w:before="73"/>
        <w:ind w:left="1261" w:right="566"/>
        <w:jc w:val="both"/>
      </w:pPr>
      <w:r>
        <w:rPr/>
        <w:t>рекомендаций проводилось на основе рекомендаций ЕОК, с учетом национальной специфики, особенностей обследования, лечения, учитывающих доступность</w:t>
      </w:r>
      <w:r>
        <w:rPr>
          <w:spacing w:val="40"/>
        </w:rPr>
        <w:t> </w:t>
      </w:r>
      <w:r>
        <w:rPr/>
        <w:t>медицинской помощи. По этой причине в тексте настоящих клинических рекомендаций, одновременно использованы две шкалы оценки достоверности доказательств тезисов рекомендаций: уровни достоверности доказательств ЕОК с УУР и УДД. Добавлены</w:t>
      </w:r>
      <w:r>
        <w:rPr>
          <w:spacing w:val="40"/>
        </w:rPr>
        <w:t> </w:t>
      </w:r>
      <w:r>
        <w:rPr/>
        <w:t>классы рекомендаций ЕОК, позволяющие оценить необходимость выполнения тезиса рекомендаций (Таблицы 1, 2, 3, 4, 5).</w:t>
      </w:r>
    </w:p>
    <w:p>
      <w:pPr>
        <w:spacing w:line="360" w:lineRule="auto" w:before="2"/>
        <w:ind w:left="1261" w:right="573" w:firstLine="0"/>
        <w:jc w:val="both"/>
        <w:rPr>
          <w:b/>
          <w:sz w:val="24"/>
        </w:rPr>
      </w:pPr>
      <w:r>
        <w:rPr>
          <w:b/>
          <w:sz w:val="24"/>
        </w:rPr>
        <w:t>Таблица 1. Шкала оценки классов рекомендаций Европейского общества кардиологов (ЕОК)</w:t>
      </w:r>
    </w:p>
    <w:tbl>
      <w:tblPr>
        <w:tblW w:w="0" w:type="auto"/>
        <w:jc w:val="left"/>
        <w:tblInd w:w="12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975"/>
        <w:gridCol w:w="4961"/>
        <w:gridCol w:w="2419"/>
      </w:tblGrid>
      <w:tr>
        <w:trPr>
          <w:trHeight w:val="1256" w:hRule="atLeast"/>
        </w:trPr>
        <w:tc>
          <w:tcPr>
            <w:tcW w:w="1975" w:type="dxa"/>
          </w:tcPr>
          <w:p>
            <w:pPr>
              <w:pStyle w:val="TableParagraph"/>
              <w:spacing w:line="276" w:lineRule="auto" w:before="20"/>
              <w:ind w:left="45"/>
              <w:rPr>
                <w:b/>
                <w:sz w:val="24"/>
              </w:rPr>
            </w:pPr>
            <w:r>
              <w:rPr>
                <w:b/>
                <w:spacing w:val="-4"/>
                <w:sz w:val="24"/>
              </w:rPr>
              <w:t>Класс </w:t>
            </w:r>
            <w:r>
              <w:rPr>
                <w:b/>
                <w:spacing w:val="-2"/>
                <w:sz w:val="24"/>
              </w:rPr>
              <w:t>рекомендаций </w:t>
            </w:r>
            <w:r>
              <w:rPr>
                <w:b/>
                <w:spacing w:val="-4"/>
                <w:sz w:val="24"/>
              </w:rPr>
              <w:t>ЕОК</w:t>
            </w:r>
          </w:p>
        </w:tc>
        <w:tc>
          <w:tcPr>
            <w:tcW w:w="4961" w:type="dxa"/>
          </w:tcPr>
          <w:p>
            <w:pPr>
              <w:pStyle w:val="TableParagraph"/>
              <w:spacing w:before="20"/>
              <w:ind w:left="45"/>
              <w:rPr>
                <w:b/>
                <w:sz w:val="24"/>
              </w:rPr>
            </w:pPr>
            <w:r>
              <w:rPr>
                <w:b/>
                <w:spacing w:val="-2"/>
                <w:sz w:val="24"/>
              </w:rPr>
              <w:t>Определение</w:t>
            </w:r>
          </w:p>
        </w:tc>
        <w:tc>
          <w:tcPr>
            <w:tcW w:w="2419" w:type="dxa"/>
          </w:tcPr>
          <w:p>
            <w:pPr>
              <w:pStyle w:val="TableParagraph"/>
              <w:spacing w:line="276" w:lineRule="auto" w:before="20"/>
              <w:ind w:left="45" w:right="740"/>
              <w:rPr>
                <w:b/>
                <w:sz w:val="24"/>
              </w:rPr>
            </w:pPr>
            <w:r>
              <w:rPr>
                <w:b/>
                <w:spacing w:val="-2"/>
                <w:sz w:val="24"/>
              </w:rPr>
              <w:t>Предлагаемая формулировка</w:t>
            </w:r>
          </w:p>
        </w:tc>
      </w:tr>
      <w:tr>
        <w:trPr>
          <w:trHeight w:val="1244" w:hRule="atLeast"/>
        </w:trPr>
        <w:tc>
          <w:tcPr>
            <w:tcW w:w="1975" w:type="dxa"/>
          </w:tcPr>
          <w:p>
            <w:pPr>
              <w:pStyle w:val="TableParagraph"/>
              <w:spacing w:before="20"/>
              <w:ind w:left="90"/>
              <w:rPr>
                <w:sz w:val="24"/>
              </w:rPr>
            </w:pPr>
            <w:r>
              <w:rPr>
                <w:sz w:val="24"/>
              </w:rPr>
              <w:t>I</w:t>
            </w:r>
          </w:p>
        </w:tc>
        <w:tc>
          <w:tcPr>
            <w:tcW w:w="4961" w:type="dxa"/>
          </w:tcPr>
          <w:p>
            <w:pPr>
              <w:pStyle w:val="TableParagraph"/>
              <w:spacing w:before="20"/>
              <w:ind w:left="91"/>
              <w:rPr>
                <w:sz w:val="24"/>
              </w:rPr>
            </w:pPr>
            <w:r>
              <w:rPr>
                <w:sz w:val="24"/>
              </w:rPr>
              <w:t>Доказано</w:t>
            </w:r>
            <w:r>
              <w:rPr>
                <w:spacing w:val="-8"/>
                <w:sz w:val="24"/>
              </w:rPr>
              <w:t> </w:t>
            </w:r>
            <w:r>
              <w:rPr>
                <w:sz w:val="24"/>
              </w:rPr>
              <w:t>или</w:t>
            </w:r>
            <w:r>
              <w:rPr>
                <w:spacing w:val="-7"/>
                <w:sz w:val="24"/>
              </w:rPr>
              <w:t> </w:t>
            </w:r>
            <w:r>
              <w:rPr>
                <w:sz w:val="24"/>
              </w:rPr>
              <w:t>общепризнано,</w:t>
            </w:r>
            <w:r>
              <w:rPr>
                <w:spacing w:val="-8"/>
                <w:sz w:val="24"/>
              </w:rPr>
              <w:t> </w:t>
            </w:r>
            <w:r>
              <w:rPr>
                <w:sz w:val="24"/>
              </w:rPr>
              <w:t>что диагностическая процедура, </w:t>
            </w:r>
            <w:r>
              <w:rPr>
                <w:spacing w:val="-2"/>
                <w:sz w:val="24"/>
              </w:rPr>
              <w:t>вмешательство/лечение</w:t>
            </w:r>
            <w:r>
              <w:rPr>
                <w:spacing w:val="-3"/>
                <w:sz w:val="24"/>
              </w:rPr>
              <w:t> </w:t>
            </w:r>
            <w:r>
              <w:rPr>
                <w:spacing w:val="-2"/>
                <w:sz w:val="24"/>
              </w:rPr>
              <w:t>являются </w:t>
            </w:r>
            <w:r>
              <w:rPr>
                <w:sz w:val="24"/>
              </w:rPr>
              <w:t>эффективными и полезными</w:t>
            </w:r>
          </w:p>
        </w:tc>
        <w:tc>
          <w:tcPr>
            <w:tcW w:w="2419" w:type="dxa"/>
          </w:tcPr>
          <w:p>
            <w:pPr>
              <w:pStyle w:val="TableParagraph"/>
              <w:spacing w:before="20"/>
              <w:ind w:left="90"/>
              <w:rPr>
                <w:sz w:val="24"/>
              </w:rPr>
            </w:pPr>
            <w:r>
              <w:rPr>
                <w:spacing w:val="-4"/>
                <w:sz w:val="24"/>
              </w:rPr>
              <w:t>Рекомендовано/ </w:t>
            </w:r>
            <w:r>
              <w:rPr>
                <w:spacing w:val="-2"/>
                <w:sz w:val="24"/>
              </w:rPr>
              <w:t>показано</w:t>
            </w:r>
          </w:p>
        </w:tc>
      </w:tr>
      <w:tr>
        <w:trPr>
          <w:trHeight w:val="971" w:hRule="atLeast"/>
        </w:trPr>
        <w:tc>
          <w:tcPr>
            <w:tcW w:w="1975" w:type="dxa"/>
            <w:tcBorders>
              <w:bottom w:val="single" w:sz="4" w:space="0" w:color="000000"/>
            </w:tcBorders>
          </w:tcPr>
          <w:p>
            <w:pPr>
              <w:pStyle w:val="TableParagraph"/>
              <w:spacing w:before="20"/>
              <w:ind w:left="90"/>
              <w:rPr>
                <w:sz w:val="24"/>
              </w:rPr>
            </w:pPr>
            <w:r>
              <w:rPr>
                <w:spacing w:val="-5"/>
                <w:sz w:val="24"/>
              </w:rPr>
              <w:t>II</w:t>
            </w:r>
          </w:p>
        </w:tc>
        <w:tc>
          <w:tcPr>
            <w:tcW w:w="4961" w:type="dxa"/>
            <w:tcBorders>
              <w:bottom w:val="single" w:sz="4" w:space="0" w:color="000000"/>
            </w:tcBorders>
          </w:tcPr>
          <w:p>
            <w:pPr>
              <w:pStyle w:val="TableParagraph"/>
              <w:spacing w:before="20"/>
              <w:ind w:left="91"/>
              <w:rPr>
                <w:sz w:val="24"/>
              </w:rPr>
            </w:pPr>
            <w:r>
              <w:rPr>
                <w:sz w:val="24"/>
              </w:rPr>
              <w:t>Противоречивые</w:t>
            </w:r>
            <w:r>
              <w:rPr>
                <w:spacing w:val="-12"/>
                <w:sz w:val="24"/>
              </w:rPr>
              <w:t> </w:t>
            </w:r>
            <w:r>
              <w:rPr>
                <w:sz w:val="24"/>
              </w:rPr>
              <w:t>данные</w:t>
            </w:r>
            <w:r>
              <w:rPr>
                <w:spacing w:val="-12"/>
                <w:sz w:val="24"/>
              </w:rPr>
              <w:t> </w:t>
            </w:r>
            <w:r>
              <w:rPr>
                <w:sz w:val="24"/>
              </w:rPr>
              <w:t>и/или</w:t>
            </w:r>
            <w:r>
              <w:rPr>
                <w:spacing w:val="-11"/>
                <w:sz w:val="24"/>
              </w:rPr>
              <w:t> </w:t>
            </w:r>
            <w:r>
              <w:rPr>
                <w:sz w:val="24"/>
              </w:rPr>
              <w:t>мнения</w:t>
            </w:r>
            <w:r>
              <w:rPr>
                <w:spacing w:val="-12"/>
                <w:sz w:val="24"/>
              </w:rPr>
              <w:t> </w:t>
            </w:r>
            <w:r>
              <w:rPr>
                <w:sz w:val="24"/>
              </w:rPr>
              <w:t>об эффективности/пользе диагностической процедуры, вмешательства, лечения</w:t>
            </w:r>
          </w:p>
        </w:tc>
        <w:tc>
          <w:tcPr>
            <w:tcW w:w="2419" w:type="dxa"/>
            <w:tcBorders>
              <w:bottom w:val="single" w:sz="4" w:space="0" w:color="000000"/>
            </w:tcBorders>
          </w:tcPr>
          <w:p>
            <w:pPr>
              <w:pStyle w:val="TableParagraph"/>
              <w:spacing w:before="20"/>
              <w:ind w:left="90" w:right="740"/>
              <w:rPr>
                <w:sz w:val="24"/>
              </w:rPr>
            </w:pPr>
            <w:r>
              <w:rPr>
                <w:spacing w:val="-2"/>
                <w:sz w:val="24"/>
              </w:rPr>
              <w:t>Целесообразно применять</w:t>
            </w:r>
          </w:p>
        </w:tc>
      </w:tr>
      <w:tr>
        <w:trPr>
          <w:trHeight w:val="973" w:hRule="atLeast"/>
        </w:trPr>
        <w:tc>
          <w:tcPr>
            <w:tcW w:w="1975" w:type="dxa"/>
            <w:tcBorders>
              <w:top w:val="single" w:sz="4" w:space="0" w:color="000000"/>
              <w:bottom w:val="single" w:sz="4" w:space="0" w:color="000000"/>
            </w:tcBorders>
          </w:tcPr>
          <w:p>
            <w:pPr>
              <w:pStyle w:val="TableParagraph"/>
              <w:spacing w:before="20"/>
              <w:ind w:left="90"/>
              <w:rPr>
                <w:sz w:val="24"/>
              </w:rPr>
            </w:pPr>
            <w:r>
              <w:rPr>
                <w:spacing w:val="-5"/>
                <w:sz w:val="24"/>
              </w:rPr>
              <w:t>IIa</w:t>
            </w:r>
          </w:p>
        </w:tc>
        <w:tc>
          <w:tcPr>
            <w:tcW w:w="4961" w:type="dxa"/>
            <w:tcBorders>
              <w:top w:val="single" w:sz="4" w:space="0" w:color="000000"/>
              <w:bottom w:val="single" w:sz="4" w:space="0" w:color="000000"/>
            </w:tcBorders>
          </w:tcPr>
          <w:p>
            <w:pPr>
              <w:pStyle w:val="TableParagraph"/>
              <w:spacing w:before="20"/>
              <w:ind w:left="91" w:right="669"/>
              <w:rPr>
                <w:sz w:val="24"/>
              </w:rPr>
            </w:pPr>
            <w:r>
              <w:rPr>
                <w:sz w:val="24"/>
              </w:rPr>
              <w:t>Большинство данных/мнений в пользу эффективности/пользы</w:t>
            </w:r>
            <w:r>
              <w:rPr>
                <w:spacing w:val="-15"/>
                <w:sz w:val="24"/>
              </w:rPr>
              <w:t> </w:t>
            </w:r>
            <w:r>
              <w:rPr>
                <w:sz w:val="24"/>
              </w:rPr>
              <w:t>диагностической процедуры, вмешательства, лечения</w:t>
            </w:r>
          </w:p>
        </w:tc>
        <w:tc>
          <w:tcPr>
            <w:tcW w:w="2419" w:type="dxa"/>
            <w:tcBorders>
              <w:top w:val="single" w:sz="4" w:space="0" w:color="000000"/>
              <w:bottom w:val="single" w:sz="4" w:space="0" w:color="000000"/>
            </w:tcBorders>
          </w:tcPr>
          <w:p>
            <w:pPr>
              <w:pStyle w:val="TableParagraph"/>
              <w:spacing w:before="20"/>
              <w:ind w:left="90" w:right="740"/>
              <w:rPr>
                <w:sz w:val="24"/>
              </w:rPr>
            </w:pPr>
            <w:r>
              <w:rPr>
                <w:spacing w:val="-2"/>
                <w:sz w:val="24"/>
              </w:rPr>
              <w:t>Целесообразно применять</w:t>
            </w:r>
          </w:p>
        </w:tc>
      </w:tr>
      <w:tr>
        <w:trPr>
          <w:trHeight w:val="971" w:hRule="atLeast"/>
        </w:trPr>
        <w:tc>
          <w:tcPr>
            <w:tcW w:w="1975" w:type="dxa"/>
            <w:tcBorders>
              <w:top w:val="single" w:sz="4" w:space="0" w:color="000000"/>
            </w:tcBorders>
          </w:tcPr>
          <w:p>
            <w:pPr>
              <w:pStyle w:val="TableParagraph"/>
              <w:spacing w:before="18"/>
              <w:ind w:left="90"/>
              <w:rPr>
                <w:sz w:val="24"/>
              </w:rPr>
            </w:pPr>
            <w:r>
              <w:rPr>
                <w:spacing w:val="-5"/>
                <w:sz w:val="24"/>
              </w:rPr>
              <w:t>IIb</w:t>
            </w:r>
          </w:p>
        </w:tc>
        <w:tc>
          <w:tcPr>
            <w:tcW w:w="4961" w:type="dxa"/>
            <w:tcBorders>
              <w:top w:val="single" w:sz="4" w:space="0" w:color="000000"/>
            </w:tcBorders>
          </w:tcPr>
          <w:p>
            <w:pPr>
              <w:pStyle w:val="TableParagraph"/>
              <w:spacing w:before="18"/>
              <w:ind w:left="91" w:right="688"/>
              <w:rPr>
                <w:sz w:val="24"/>
              </w:rPr>
            </w:pPr>
            <w:r>
              <w:rPr>
                <w:sz w:val="24"/>
              </w:rPr>
              <w:t>Эффективность/польза</w:t>
            </w:r>
            <w:r>
              <w:rPr>
                <w:spacing w:val="-15"/>
                <w:sz w:val="24"/>
              </w:rPr>
              <w:t> </w:t>
            </w:r>
            <w:r>
              <w:rPr>
                <w:sz w:val="24"/>
              </w:rPr>
              <w:t>диагностической процедуры, вмешательства, лечения установлены менее убедительно</w:t>
            </w:r>
          </w:p>
        </w:tc>
        <w:tc>
          <w:tcPr>
            <w:tcW w:w="2419" w:type="dxa"/>
            <w:tcBorders>
              <w:top w:val="single" w:sz="4" w:space="0" w:color="000000"/>
            </w:tcBorders>
          </w:tcPr>
          <w:p>
            <w:pPr>
              <w:pStyle w:val="TableParagraph"/>
              <w:spacing w:before="18"/>
              <w:ind w:left="90" w:right="740"/>
              <w:rPr>
                <w:sz w:val="24"/>
              </w:rPr>
            </w:pPr>
            <w:r>
              <w:rPr>
                <w:spacing w:val="-2"/>
                <w:sz w:val="24"/>
              </w:rPr>
              <w:t>Можно применять</w:t>
            </w:r>
          </w:p>
        </w:tc>
      </w:tr>
      <w:tr>
        <w:trPr>
          <w:trHeight w:val="1434" w:hRule="atLeast"/>
        </w:trPr>
        <w:tc>
          <w:tcPr>
            <w:tcW w:w="1975" w:type="dxa"/>
          </w:tcPr>
          <w:p>
            <w:pPr>
              <w:pStyle w:val="TableParagraph"/>
              <w:spacing w:before="18"/>
              <w:ind w:left="90"/>
              <w:rPr>
                <w:sz w:val="24"/>
              </w:rPr>
            </w:pPr>
            <w:r>
              <w:rPr>
                <w:spacing w:val="-5"/>
                <w:sz w:val="24"/>
              </w:rPr>
              <w:t>III</w:t>
            </w:r>
          </w:p>
        </w:tc>
        <w:tc>
          <w:tcPr>
            <w:tcW w:w="4961" w:type="dxa"/>
          </w:tcPr>
          <w:p>
            <w:pPr>
              <w:pStyle w:val="TableParagraph"/>
              <w:spacing w:before="18"/>
              <w:ind w:left="91"/>
              <w:rPr>
                <w:sz w:val="24"/>
              </w:rPr>
            </w:pPr>
            <w:r>
              <w:rPr>
                <w:sz w:val="24"/>
              </w:rPr>
              <w:t>Данные или единое мнение, что диагностическая</w:t>
            </w:r>
            <w:r>
              <w:rPr>
                <w:spacing w:val="-15"/>
                <w:sz w:val="24"/>
              </w:rPr>
              <w:t> </w:t>
            </w:r>
            <w:r>
              <w:rPr>
                <w:sz w:val="24"/>
              </w:rPr>
              <w:t>процедура,</w:t>
            </w:r>
            <w:r>
              <w:rPr>
                <w:spacing w:val="-15"/>
                <w:sz w:val="24"/>
              </w:rPr>
              <w:t> </w:t>
            </w:r>
            <w:r>
              <w:rPr>
                <w:sz w:val="24"/>
              </w:rPr>
              <w:t>вмешательство, лечение</w:t>
            </w:r>
            <w:r>
              <w:rPr>
                <w:spacing w:val="-10"/>
                <w:sz w:val="24"/>
              </w:rPr>
              <w:t> </w:t>
            </w:r>
            <w:r>
              <w:rPr>
                <w:sz w:val="24"/>
              </w:rPr>
              <w:t>бесполезны/неэффективны,</w:t>
            </w:r>
            <w:r>
              <w:rPr>
                <w:spacing w:val="-9"/>
                <w:sz w:val="24"/>
              </w:rPr>
              <w:t> </w:t>
            </w:r>
            <w:r>
              <w:rPr>
                <w:sz w:val="24"/>
              </w:rPr>
              <w:t>а</w:t>
            </w:r>
            <w:r>
              <w:rPr>
                <w:spacing w:val="-10"/>
                <w:sz w:val="24"/>
              </w:rPr>
              <w:t> </w:t>
            </w:r>
            <w:r>
              <w:rPr>
                <w:sz w:val="24"/>
              </w:rPr>
              <w:t>в</w:t>
            </w:r>
            <w:r>
              <w:rPr>
                <w:spacing w:val="-10"/>
                <w:sz w:val="24"/>
              </w:rPr>
              <w:t> </w:t>
            </w:r>
            <w:r>
              <w:rPr>
                <w:sz w:val="24"/>
              </w:rPr>
              <w:t>ряде случаев могут приносить вред</w:t>
            </w:r>
          </w:p>
        </w:tc>
        <w:tc>
          <w:tcPr>
            <w:tcW w:w="2419" w:type="dxa"/>
          </w:tcPr>
          <w:p>
            <w:pPr>
              <w:pStyle w:val="TableParagraph"/>
              <w:spacing w:line="278" w:lineRule="auto" w:before="18"/>
              <w:ind w:left="90"/>
              <w:rPr>
                <w:sz w:val="24"/>
              </w:rPr>
            </w:pPr>
            <w:r>
              <w:rPr>
                <w:spacing w:val="-2"/>
                <w:sz w:val="24"/>
              </w:rPr>
              <w:t>Не</w:t>
            </w:r>
            <w:r>
              <w:rPr>
                <w:spacing w:val="-13"/>
                <w:sz w:val="24"/>
              </w:rPr>
              <w:t> </w:t>
            </w:r>
            <w:r>
              <w:rPr>
                <w:spacing w:val="-2"/>
                <w:sz w:val="24"/>
              </w:rPr>
              <w:t>рекомендуется применять</w:t>
            </w:r>
          </w:p>
        </w:tc>
      </w:tr>
    </w:tbl>
    <w:p>
      <w:pPr>
        <w:pStyle w:val="BodyText"/>
        <w:spacing w:before="3"/>
        <w:ind w:left="0"/>
        <w:rPr>
          <w:b/>
          <w:sz w:val="36"/>
        </w:rPr>
      </w:pPr>
    </w:p>
    <w:p>
      <w:pPr>
        <w:spacing w:line="360" w:lineRule="auto" w:before="0"/>
        <w:ind w:left="1261" w:right="568" w:firstLine="0"/>
        <w:jc w:val="both"/>
        <w:rPr>
          <w:b/>
          <w:sz w:val="24"/>
        </w:rPr>
      </w:pPr>
      <w:r>
        <w:rPr>
          <w:b/>
          <w:sz w:val="24"/>
        </w:rPr>
        <w:t>Таблица 2. Шкала оценки уровней достоверности доказательств Европейского общества кардиологов (ЕОК)</w:t>
      </w:r>
    </w:p>
    <w:p>
      <w:pPr>
        <w:pStyle w:val="BodyText"/>
        <w:ind w:left="0"/>
        <w:rPr>
          <w:b/>
          <w:sz w:val="20"/>
        </w:rPr>
      </w:pPr>
    </w:p>
    <w:p>
      <w:pPr>
        <w:pStyle w:val="BodyText"/>
        <w:ind w:left="0"/>
        <w:rPr>
          <w:b/>
          <w:sz w:val="16"/>
        </w:rPr>
      </w:pPr>
    </w:p>
    <w:tbl>
      <w:tblPr>
        <w:tblW w:w="0" w:type="auto"/>
        <w:jc w:val="left"/>
        <w:tblInd w:w="12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438"/>
        <w:gridCol w:w="7793"/>
      </w:tblGrid>
      <w:tr>
        <w:trPr>
          <w:trHeight w:val="575" w:hRule="atLeast"/>
        </w:trPr>
        <w:tc>
          <w:tcPr>
            <w:tcW w:w="1438" w:type="dxa"/>
          </w:tcPr>
          <w:p>
            <w:pPr>
              <w:pStyle w:val="TableParagraph"/>
              <w:ind w:left="0"/>
              <w:rPr>
                <w:sz w:val="24"/>
              </w:rPr>
            </w:pPr>
          </w:p>
        </w:tc>
        <w:tc>
          <w:tcPr>
            <w:tcW w:w="7793" w:type="dxa"/>
          </w:tcPr>
          <w:p>
            <w:pPr>
              <w:pStyle w:val="TableParagraph"/>
              <w:spacing w:before="1"/>
              <w:ind w:left="68"/>
              <w:rPr>
                <w:b/>
                <w:sz w:val="24"/>
              </w:rPr>
            </w:pPr>
            <w:r>
              <w:rPr>
                <w:b/>
                <w:sz w:val="24"/>
              </w:rPr>
              <w:t>Уровни</w:t>
            </w:r>
            <w:r>
              <w:rPr>
                <w:b/>
                <w:spacing w:val="-4"/>
                <w:sz w:val="24"/>
              </w:rPr>
              <w:t> </w:t>
            </w:r>
            <w:r>
              <w:rPr>
                <w:b/>
                <w:sz w:val="24"/>
              </w:rPr>
              <w:t>достоверности</w:t>
            </w:r>
            <w:r>
              <w:rPr>
                <w:b/>
                <w:spacing w:val="-3"/>
                <w:sz w:val="24"/>
              </w:rPr>
              <w:t> </w:t>
            </w:r>
            <w:r>
              <w:rPr>
                <w:b/>
                <w:sz w:val="24"/>
              </w:rPr>
              <w:t>доказательств</w:t>
            </w:r>
            <w:r>
              <w:rPr>
                <w:b/>
                <w:spacing w:val="-4"/>
                <w:sz w:val="24"/>
              </w:rPr>
              <w:t> </w:t>
            </w:r>
            <w:r>
              <w:rPr>
                <w:b/>
                <w:spacing w:val="-5"/>
                <w:sz w:val="24"/>
              </w:rPr>
              <w:t>ЕОК</w:t>
            </w:r>
          </w:p>
        </w:tc>
      </w:tr>
      <w:tr>
        <w:trPr>
          <w:trHeight w:val="719" w:hRule="atLeast"/>
        </w:trPr>
        <w:tc>
          <w:tcPr>
            <w:tcW w:w="1438" w:type="dxa"/>
          </w:tcPr>
          <w:p>
            <w:pPr>
              <w:pStyle w:val="TableParagraph"/>
              <w:spacing w:before="152"/>
              <w:ind w:left="21"/>
              <w:jc w:val="center"/>
              <w:rPr>
                <w:sz w:val="24"/>
              </w:rPr>
            </w:pPr>
            <w:r>
              <w:rPr>
                <w:sz w:val="24"/>
              </w:rPr>
              <w:t>A</w:t>
            </w:r>
          </w:p>
        </w:tc>
        <w:tc>
          <w:tcPr>
            <w:tcW w:w="7793" w:type="dxa"/>
          </w:tcPr>
          <w:p>
            <w:pPr>
              <w:pStyle w:val="TableParagraph"/>
              <w:tabs>
                <w:tab w:pos="1453" w:val="left" w:leader="none"/>
                <w:tab w:pos="3709" w:val="left" w:leader="none"/>
                <w:tab w:pos="6324" w:val="left" w:leader="none"/>
              </w:tabs>
              <w:spacing w:before="73"/>
              <w:ind w:left="143" w:right="122"/>
              <w:rPr>
                <w:sz w:val="24"/>
              </w:rPr>
            </w:pPr>
            <w:r>
              <w:rPr>
                <w:spacing w:val="-2"/>
                <w:sz w:val="24"/>
              </w:rPr>
              <w:t>Данные</w:t>
            </w:r>
            <w:r>
              <w:rPr>
                <w:sz w:val="24"/>
              </w:rPr>
              <w:tab/>
            </w:r>
            <w:r>
              <w:rPr>
                <w:spacing w:val="-2"/>
                <w:sz w:val="24"/>
              </w:rPr>
              <w:t>многочисленных</w:t>
            </w:r>
            <w:r>
              <w:rPr>
                <w:sz w:val="24"/>
              </w:rPr>
              <w:tab/>
            </w:r>
            <w:r>
              <w:rPr>
                <w:spacing w:val="-2"/>
                <w:sz w:val="24"/>
              </w:rPr>
              <w:t>рандомизированных</w:t>
            </w:r>
            <w:r>
              <w:rPr>
                <w:sz w:val="24"/>
              </w:rPr>
              <w:tab/>
            </w:r>
            <w:r>
              <w:rPr>
                <w:spacing w:val="-2"/>
                <w:sz w:val="24"/>
              </w:rPr>
              <w:t>клинических </w:t>
            </w:r>
            <w:r>
              <w:rPr>
                <w:sz w:val="24"/>
              </w:rPr>
              <w:t>исследований или метаанализов</w:t>
            </w:r>
          </w:p>
        </w:tc>
      </w:tr>
      <w:tr>
        <w:trPr>
          <w:trHeight w:val="719" w:hRule="atLeast"/>
        </w:trPr>
        <w:tc>
          <w:tcPr>
            <w:tcW w:w="1438" w:type="dxa"/>
          </w:tcPr>
          <w:p>
            <w:pPr>
              <w:pStyle w:val="TableParagraph"/>
              <w:spacing w:before="152"/>
              <w:ind w:left="18"/>
              <w:jc w:val="center"/>
              <w:rPr>
                <w:sz w:val="24"/>
              </w:rPr>
            </w:pPr>
            <w:r>
              <w:rPr>
                <w:sz w:val="24"/>
              </w:rPr>
              <w:t>B</w:t>
            </w:r>
          </w:p>
        </w:tc>
        <w:tc>
          <w:tcPr>
            <w:tcW w:w="7793" w:type="dxa"/>
          </w:tcPr>
          <w:p>
            <w:pPr>
              <w:pStyle w:val="TableParagraph"/>
              <w:tabs>
                <w:tab w:pos="1206" w:val="left" w:leader="none"/>
                <w:tab w:pos="1827" w:val="left" w:leader="none"/>
                <w:tab w:pos="2480" w:val="left" w:leader="none"/>
                <w:tab w:pos="2999" w:val="left" w:leader="none"/>
                <w:tab w:pos="3498" w:val="left" w:leader="none"/>
                <w:tab w:pos="4146" w:val="left" w:leader="none"/>
                <w:tab w:pos="4513" w:val="left" w:leader="none"/>
                <w:tab w:pos="5314" w:val="left" w:leader="none"/>
                <w:tab w:pos="5490" w:val="left" w:leader="none"/>
              </w:tabs>
              <w:spacing w:before="70"/>
              <w:ind w:left="143" w:right="123"/>
              <w:rPr>
                <w:sz w:val="24"/>
              </w:rPr>
            </w:pPr>
            <w:r>
              <w:rPr>
                <w:spacing w:val="-2"/>
                <w:sz w:val="24"/>
              </w:rPr>
              <w:t>Данные</w:t>
            </w:r>
            <w:r>
              <w:rPr>
                <w:sz w:val="24"/>
              </w:rPr>
              <w:tab/>
            </w:r>
            <w:r>
              <w:rPr>
                <w:spacing w:val="-2"/>
                <w:sz w:val="24"/>
              </w:rPr>
              <w:t>получены</w:t>
            </w:r>
            <w:r>
              <w:rPr>
                <w:sz w:val="24"/>
              </w:rPr>
              <w:tab/>
            </w:r>
            <w:r>
              <w:rPr>
                <w:spacing w:val="-6"/>
                <w:sz w:val="24"/>
              </w:rPr>
              <w:t>по</w:t>
            </w:r>
            <w:r>
              <w:rPr>
                <w:sz w:val="24"/>
              </w:rPr>
              <w:tab/>
            </w:r>
            <w:r>
              <w:rPr>
                <w:spacing w:val="-2"/>
                <w:sz w:val="24"/>
              </w:rPr>
              <w:t>результатам</w:t>
            </w:r>
            <w:r>
              <w:rPr>
                <w:sz w:val="24"/>
              </w:rPr>
              <w:tab/>
            </w:r>
            <w:r>
              <w:rPr>
                <w:spacing w:val="-2"/>
                <w:sz w:val="24"/>
              </w:rPr>
              <w:t>одного</w:t>
            </w:r>
            <w:r>
              <w:rPr>
                <w:sz w:val="24"/>
              </w:rPr>
              <w:tab/>
              <w:tab/>
            </w:r>
            <w:r>
              <w:rPr>
                <w:spacing w:val="-2"/>
                <w:sz w:val="24"/>
              </w:rPr>
              <w:t>рандомизированного клинического</w:t>
            </w:r>
            <w:r>
              <w:rPr>
                <w:sz w:val="24"/>
              </w:rPr>
              <w:tab/>
            </w:r>
            <w:r>
              <w:rPr>
                <w:spacing w:val="-2"/>
                <w:sz w:val="24"/>
              </w:rPr>
              <w:t>исследования</w:t>
            </w:r>
            <w:r>
              <w:rPr>
                <w:sz w:val="24"/>
              </w:rPr>
              <w:tab/>
            </w:r>
            <w:r>
              <w:rPr>
                <w:spacing w:val="-5"/>
                <w:sz w:val="24"/>
              </w:rPr>
              <w:t>или</w:t>
            </w:r>
            <w:r>
              <w:rPr>
                <w:sz w:val="24"/>
              </w:rPr>
              <w:tab/>
            </w:r>
            <w:r>
              <w:rPr>
                <w:spacing w:val="-2"/>
                <w:sz w:val="24"/>
              </w:rPr>
              <w:t>крупных</w:t>
            </w:r>
            <w:r>
              <w:rPr>
                <w:sz w:val="24"/>
              </w:rPr>
              <w:tab/>
            </w:r>
            <w:r>
              <w:rPr>
                <w:spacing w:val="-2"/>
                <w:sz w:val="24"/>
              </w:rPr>
              <w:t>нерандомизированных</w:t>
            </w:r>
          </w:p>
        </w:tc>
      </w:tr>
    </w:tbl>
    <w:p>
      <w:pPr>
        <w:spacing w:after="0"/>
        <w:rPr>
          <w:sz w:val="24"/>
        </w:rPr>
        <w:sectPr>
          <w:pgSz w:w="11910" w:h="16840"/>
          <w:pgMar w:header="0" w:footer="710" w:top="1040" w:bottom="900" w:left="440" w:right="280"/>
        </w:sectPr>
      </w:pPr>
    </w:p>
    <w:tbl>
      <w:tblPr>
        <w:tblW w:w="0" w:type="auto"/>
        <w:jc w:val="left"/>
        <w:tblInd w:w="12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438"/>
        <w:gridCol w:w="7793"/>
      </w:tblGrid>
      <w:tr>
        <w:trPr>
          <w:trHeight w:val="719" w:hRule="atLeast"/>
        </w:trPr>
        <w:tc>
          <w:tcPr>
            <w:tcW w:w="1438" w:type="dxa"/>
          </w:tcPr>
          <w:p>
            <w:pPr>
              <w:pStyle w:val="TableParagraph"/>
              <w:ind w:left="0"/>
              <w:rPr>
                <w:sz w:val="24"/>
              </w:rPr>
            </w:pPr>
          </w:p>
        </w:tc>
        <w:tc>
          <w:tcPr>
            <w:tcW w:w="7793" w:type="dxa"/>
          </w:tcPr>
          <w:p>
            <w:pPr>
              <w:pStyle w:val="TableParagraph"/>
              <w:spacing w:before="73"/>
              <w:ind w:left="143"/>
              <w:rPr>
                <w:sz w:val="24"/>
              </w:rPr>
            </w:pPr>
            <w:r>
              <w:rPr>
                <w:spacing w:val="-2"/>
                <w:sz w:val="24"/>
              </w:rPr>
              <w:t>исследований</w:t>
            </w:r>
          </w:p>
        </w:tc>
      </w:tr>
      <w:tr>
        <w:trPr>
          <w:trHeight w:val="577" w:hRule="atLeast"/>
        </w:trPr>
        <w:tc>
          <w:tcPr>
            <w:tcW w:w="1438" w:type="dxa"/>
          </w:tcPr>
          <w:p>
            <w:pPr>
              <w:pStyle w:val="TableParagraph"/>
              <w:spacing w:before="80"/>
              <w:ind w:left="18"/>
              <w:jc w:val="center"/>
              <w:rPr>
                <w:sz w:val="24"/>
              </w:rPr>
            </w:pPr>
            <w:r>
              <w:rPr>
                <w:sz w:val="24"/>
              </w:rPr>
              <w:t>C</w:t>
            </w:r>
          </w:p>
        </w:tc>
        <w:tc>
          <w:tcPr>
            <w:tcW w:w="7793" w:type="dxa"/>
          </w:tcPr>
          <w:p>
            <w:pPr>
              <w:pStyle w:val="TableParagraph"/>
              <w:tabs>
                <w:tab w:pos="1969" w:val="left" w:leader="none"/>
                <w:tab w:pos="3016" w:val="left" w:leader="none"/>
                <w:tab w:pos="4331" w:val="left" w:leader="none"/>
                <w:tab w:pos="5197" w:val="left" w:leader="none"/>
                <w:tab w:pos="6642" w:val="left" w:leader="none"/>
              </w:tabs>
              <w:spacing w:before="1"/>
              <w:ind w:left="140" w:right="-15"/>
              <w:rPr>
                <w:sz w:val="24"/>
              </w:rPr>
            </w:pPr>
            <w:r>
              <w:rPr>
                <w:spacing w:val="-2"/>
                <w:sz w:val="24"/>
              </w:rPr>
              <w:t>Согласованное</w:t>
            </w:r>
            <w:r>
              <w:rPr>
                <w:sz w:val="24"/>
              </w:rPr>
              <w:tab/>
            </w:r>
            <w:r>
              <w:rPr>
                <w:spacing w:val="-2"/>
                <w:sz w:val="24"/>
              </w:rPr>
              <w:t>мнение</w:t>
            </w:r>
            <w:r>
              <w:rPr>
                <w:sz w:val="24"/>
              </w:rPr>
              <w:tab/>
            </w:r>
            <w:r>
              <w:rPr>
                <w:spacing w:val="-2"/>
                <w:sz w:val="24"/>
              </w:rPr>
              <w:t>экспертов</w:t>
            </w:r>
            <w:r>
              <w:rPr>
                <w:sz w:val="24"/>
              </w:rPr>
              <w:tab/>
            </w:r>
            <w:r>
              <w:rPr>
                <w:spacing w:val="-4"/>
                <w:sz w:val="24"/>
              </w:rPr>
              <w:t>и/или</w:t>
            </w:r>
            <w:r>
              <w:rPr>
                <w:sz w:val="24"/>
              </w:rPr>
              <w:tab/>
            </w:r>
            <w:r>
              <w:rPr>
                <w:spacing w:val="-2"/>
                <w:sz w:val="24"/>
              </w:rPr>
              <w:t>результаты</w:t>
            </w:r>
            <w:r>
              <w:rPr>
                <w:sz w:val="24"/>
              </w:rPr>
              <w:tab/>
            </w:r>
            <w:r>
              <w:rPr>
                <w:spacing w:val="-2"/>
                <w:sz w:val="24"/>
              </w:rPr>
              <w:t>небольших </w:t>
            </w:r>
            <w:r>
              <w:rPr>
                <w:sz w:val="24"/>
              </w:rPr>
              <w:t>исследований, ретроспективных исследований, регистров</w:t>
            </w:r>
          </w:p>
        </w:tc>
      </w:tr>
    </w:tbl>
    <w:p>
      <w:pPr>
        <w:pStyle w:val="BodyText"/>
        <w:spacing w:before="3"/>
        <w:ind w:left="0"/>
        <w:rPr>
          <w:b/>
          <w:sz w:val="29"/>
        </w:rPr>
      </w:pPr>
    </w:p>
    <w:p>
      <w:pPr>
        <w:spacing w:line="360" w:lineRule="auto" w:before="90"/>
        <w:ind w:left="1261" w:right="568" w:firstLine="0"/>
        <w:jc w:val="both"/>
        <w:rPr>
          <w:b/>
          <w:sz w:val="24"/>
        </w:rPr>
      </w:pPr>
      <w:r>
        <w:rPr>
          <w:b/>
          <w:sz w:val="24"/>
        </w:rPr>
        <w:t>Таблица 3. Шкала оценки уровней достоверности доказательств (УДД) для методов профилактики, лечения и реабилитации (профилактических, лечебных, реабилитационных вмешательств)</w:t>
      </w:r>
    </w:p>
    <w:p>
      <w:pPr>
        <w:pStyle w:val="BodyText"/>
        <w:spacing w:before="2"/>
        <w:ind w:left="0"/>
        <w:rPr>
          <w:b/>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74"/>
        <w:gridCol w:w="8224"/>
      </w:tblGrid>
      <w:tr>
        <w:trPr>
          <w:trHeight w:val="1655" w:hRule="atLeast"/>
        </w:trPr>
        <w:tc>
          <w:tcPr>
            <w:tcW w:w="8898" w:type="dxa"/>
            <w:gridSpan w:val="2"/>
          </w:tcPr>
          <w:p>
            <w:pPr>
              <w:pStyle w:val="TableParagraph"/>
              <w:spacing w:line="275" w:lineRule="exact"/>
              <w:jc w:val="both"/>
              <w:rPr>
                <w:b/>
                <w:sz w:val="24"/>
              </w:rPr>
            </w:pPr>
            <w:r>
              <w:rPr>
                <w:b/>
                <w:sz w:val="24"/>
              </w:rPr>
              <w:t>Уровни</w:t>
            </w:r>
            <w:r>
              <w:rPr>
                <w:b/>
                <w:spacing w:val="-4"/>
                <w:sz w:val="24"/>
              </w:rPr>
              <w:t> </w:t>
            </w:r>
            <w:r>
              <w:rPr>
                <w:b/>
                <w:sz w:val="24"/>
              </w:rPr>
              <w:t>достоверности</w:t>
            </w:r>
            <w:r>
              <w:rPr>
                <w:b/>
                <w:spacing w:val="-3"/>
                <w:sz w:val="24"/>
              </w:rPr>
              <w:t> </w:t>
            </w:r>
            <w:r>
              <w:rPr>
                <w:b/>
                <w:sz w:val="24"/>
              </w:rPr>
              <w:t>доказательств</w:t>
            </w:r>
            <w:r>
              <w:rPr>
                <w:b/>
                <w:spacing w:val="-4"/>
                <w:sz w:val="24"/>
              </w:rPr>
              <w:t> </w:t>
            </w:r>
            <w:r>
              <w:rPr>
                <w:b/>
                <w:spacing w:val="-2"/>
                <w:sz w:val="24"/>
              </w:rPr>
              <w:t>(УДД)</w:t>
            </w:r>
          </w:p>
          <w:p>
            <w:pPr>
              <w:pStyle w:val="TableParagraph"/>
              <w:spacing w:line="270" w:lineRule="atLeast"/>
              <w:ind w:right="90"/>
              <w:jc w:val="both"/>
              <w:rPr>
                <w:sz w:val="24"/>
              </w:rPr>
            </w:pPr>
            <w:r>
              <w:rPr>
                <w:sz w:val="24"/>
              </w:rPr>
              <w:t>Приказ Министерства здравоохранения Российской Федерации от 28.02.2019 № 103н</w:t>
            </w:r>
            <w:r>
              <w:rPr>
                <w:spacing w:val="-1"/>
                <w:sz w:val="24"/>
              </w:rPr>
              <w:t> </w:t>
            </w:r>
            <w:r>
              <w:rPr>
                <w:sz w:val="24"/>
              </w:rPr>
              <w:t>«Об</w:t>
            </w:r>
            <w:r>
              <w:rPr>
                <w:spacing w:val="-2"/>
                <w:sz w:val="24"/>
              </w:rPr>
              <w:t> </w:t>
            </w:r>
            <w:r>
              <w:rPr>
                <w:sz w:val="24"/>
              </w:rPr>
              <w:t>утверждении</w:t>
            </w:r>
            <w:r>
              <w:rPr>
                <w:spacing w:val="-3"/>
                <w:sz w:val="24"/>
              </w:rPr>
              <w:t> </w:t>
            </w:r>
            <w:r>
              <w:rPr>
                <w:sz w:val="24"/>
              </w:rPr>
              <w:t>порядка</w:t>
            </w:r>
            <w:r>
              <w:rPr>
                <w:spacing w:val="-3"/>
                <w:sz w:val="24"/>
              </w:rPr>
              <w:t> </w:t>
            </w:r>
            <w:r>
              <w:rPr>
                <w:sz w:val="24"/>
              </w:rPr>
              <w:t>и</w:t>
            </w:r>
            <w:r>
              <w:rPr>
                <w:spacing w:val="-3"/>
                <w:sz w:val="24"/>
              </w:rPr>
              <w:t> </w:t>
            </w:r>
            <w:r>
              <w:rPr>
                <w:sz w:val="24"/>
              </w:rPr>
              <w:t>сроков</w:t>
            </w:r>
            <w:r>
              <w:rPr>
                <w:spacing w:val="-3"/>
                <w:sz w:val="24"/>
              </w:rPr>
              <w:t> </w:t>
            </w:r>
            <w:r>
              <w:rPr>
                <w:sz w:val="24"/>
              </w:rPr>
              <w:t>разработки</w:t>
            </w:r>
            <w:r>
              <w:rPr>
                <w:spacing w:val="-3"/>
                <w:sz w:val="24"/>
              </w:rPr>
              <w:t> </w:t>
            </w:r>
            <w:r>
              <w:rPr>
                <w:sz w:val="24"/>
              </w:rPr>
              <w:t>клинических</w:t>
            </w:r>
            <w:r>
              <w:rPr>
                <w:spacing w:val="-2"/>
                <w:sz w:val="24"/>
              </w:rPr>
              <w:t> </w:t>
            </w:r>
            <w:r>
              <w:rPr>
                <w:sz w:val="24"/>
              </w:rPr>
              <w:t>рекомендаций,</w:t>
            </w:r>
            <w:r>
              <w:rPr>
                <w:spacing w:val="-4"/>
                <w:sz w:val="24"/>
              </w:rPr>
              <w:t> </w:t>
            </w:r>
            <w:r>
              <w:rPr>
                <w:sz w:val="24"/>
              </w:rPr>
              <w:t>их пересмотра, типовой формы клинических рекомендаций и требований к их структуре, составу и научнойобоснованности включаемой в клинические рекомендации информации» (Зарегистрирован 08.05.2019 № 54588)</w:t>
            </w:r>
          </w:p>
        </w:tc>
      </w:tr>
      <w:tr>
        <w:trPr>
          <w:trHeight w:val="551" w:hRule="atLeast"/>
        </w:trPr>
        <w:tc>
          <w:tcPr>
            <w:tcW w:w="674" w:type="dxa"/>
          </w:tcPr>
          <w:p>
            <w:pPr>
              <w:pStyle w:val="TableParagraph"/>
              <w:spacing w:line="275" w:lineRule="exact"/>
              <w:rPr>
                <w:sz w:val="24"/>
              </w:rPr>
            </w:pPr>
            <w:r>
              <w:rPr>
                <w:sz w:val="24"/>
              </w:rPr>
              <w:t>1</w:t>
            </w:r>
          </w:p>
        </w:tc>
        <w:tc>
          <w:tcPr>
            <w:tcW w:w="8224" w:type="dxa"/>
          </w:tcPr>
          <w:p>
            <w:pPr>
              <w:pStyle w:val="TableParagraph"/>
              <w:spacing w:line="276" w:lineRule="exact"/>
              <w:ind w:left="108" w:right="93"/>
              <w:rPr>
                <w:sz w:val="24"/>
              </w:rPr>
            </w:pPr>
            <w:r>
              <w:rPr>
                <w:sz w:val="24"/>
              </w:rPr>
              <w:t>Систематический</w:t>
            </w:r>
            <w:r>
              <w:rPr>
                <w:spacing w:val="40"/>
                <w:sz w:val="24"/>
              </w:rPr>
              <w:t> </w:t>
            </w:r>
            <w:r>
              <w:rPr>
                <w:sz w:val="24"/>
              </w:rPr>
              <w:t>обзор</w:t>
            </w:r>
            <w:r>
              <w:rPr>
                <w:spacing w:val="40"/>
                <w:sz w:val="24"/>
              </w:rPr>
              <w:t> </w:t>
            </w:r>
            <w:r>
              <w:rPr>
                <w:sz w:val="24"/>
              </w:rPr>
              <w:t>рандомизированных</w:t>
            </w:r>
            <w:r>
              <w:rPr>
                <w:spacing w:val="40"/>
                <w:sz w:val="24"/>
              </w:rPr>
              <w:t> </w:t>
            </w:r>
            <w:r>
              <w:rPr>
                <w:sz w:val="24"/>
              </w:rPr>
              <w:t>клинических</w:t>
            </w:r>
            <w:r>
              <w:rPr>
                <w:spacing w:val="40"/>
                <w:sz w:val="24"/>
              </w:rPr>
              <w:t> </w:t>
            </w:r>
            <w:r>
              <w:rPr>
                <w:sz w:val="24"/>
              </w:rPr>
              <w:t>исследований</w:t>
            </w:r>
            <w:r>
              <w:rPr>
                <w:spacing w:val="40"/>
                <w:sz w:val="24"/>
              </w:rPr>
              <w:t> </w:t>
            </w:r>
            <w:r>
              <w:rPr>
                <w:sz w:val="24"/>
              </w:rPr>
              <w:t>с применением метаанализа</w:t>
            </w:r>
          </w:p>
        </w:tc>
      </w:tr>
      <w:tr>
        <w:trPr>
          <w:trHeight w:val="827" w:hRule="atLeast"/>
        </w:trPr>
        <w:tc>
          <w:tcPr>
            <w:tcW w:w="674" w:type="dxa"/>
          </w:tcPr>
          <w:p>
            <w:pPr>
              <w:pStyle w:val="TableParagraph"/>
              <w:spacing w:line="275" w:lineRule="exact"/>
              <w:rPr>
                <w:sz w:val="24"/>
              </w:rPr>
            </w:pPr>
            <w:r>
              <w:rPr>
                <w:sz w:val="24"/>
              </w:rPr>
              <w:t>2</w:t>
            </w:r>
          </w:p>
        </w:tc>
        <w:tc>
          <w:tcPr>
            <w:tcW w:w="8224" w:type="dxa"/>
          </w:tcPr>
          <w:p>
            <w:pPr>
              <w:pStyle w:val="TableParagraph"/>
              <w:spacing w:line="276" w:lineRule="exact"/>
              <w:ind w:left="108" w:right="92"/>
              <w:jc w:val="both"/>
              <w:rPr>
                <w:sz w:val="24"/>
              </w:rPr>
            </w:pPr>
            <w:r>
              <w:rPr>
                <w:sz w:val="24"/>
              </w:rPr>
              <w:t>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p>
        </w:tc>
      </w:tr>
      <w:tr>
        <w:trPr>
          <w:trHeight w:val="557" w:hRule="atLeast"/>
        </w:trPr>
        <w:tc>
          <w:tcPr>
            <w:tcW w:w="674" w:type="dxa"/>
          </w:tcPr>
          <w:p>
            <w:pPr>
              <w:pStyle w:val="TableParagraph"/>
              <w:spacing w:line="274" w:lineRule="exact"/>
              <w:rPr>
                <w:sz w:val="24"/>
              </w:rPr>
            </w:pPr>
            <w:r>
              <w:rPr>
                <w:sz w:val="24"/>
              </w:rPr>
              <w:t>3</w:t>
            </w:r>
          </w:p>
        </w:tc>
        <w:tc>
          <w:tcPr>
            <w:tcW w:w="8224" w:type="dxa"/>
          </w:tcPr>
          <w:p>
            <w:pPr>
              <w:pStyle w:val="TableParagraph"/>
              <w:spacing w:line="276" w:lineRule="exact"/>
              <w:ind w:left="108" w:right="93"/>
              <w:rPr>
                <w:sz w:val="24"/>
              </w:rPr>
            </w:pPr>
            <w:r>
              <w:rPr>
                <w:sz w:val="24"/>
              </w:rPr>
              <w:t>Нерандомизированные сравнительные исследования, в том числе когортные </w:t>
            </w:r>
            <w:r>
              <w:rPr>
                <w:spacing w:val="-2"/>
                <w:sz w:val="24"/>
              </w:rPr>
              <w:t>исследования</w:t>
            </w:r>
          </w:p>
        </w:tc>
      </w:tr>
      <w:tr>
        <w:trPr>
          <w:trHeight w:val="553" w:hRule="atLeast"/>
        </w:trPr>
        <w:tc>
          <w:tcPr>
            <w:tcW w:w="674" w:type="dxa"/>
          </w:tcPr>
          <w:p>
            <w:pPr>
              <w:pStyle w:val="TableParagraph"/>
              <w:spacing w:line="275" w:lineRule="exact"/>
              <w:rPr>
                <w:sz w:val="24"/>
              </w:rPr>
            </w:pPr>
            <w:r>
              <w:rPr>
                <w:sz w:val="24"/>
              </w:rPr>
              <w:t>4</w:t>
            </w:r>
          </w:p>
        </w:tc>
        <w:tc>
          <w:tcPr>
            <w:tcW w:w="8224" w:type="dxa"/>
          </w:tcPr>
          <w:p>
            <w:pPr>
              <w:pStyle w:val="TableParagraph"/>
              <w:spacing w:line="276" w:lineRule="exact"/>
              <w:ind w:left="108" w:right="93"/>
              <w:rPr>
                <w:sz w:val="24"/>
              </w:rPr>
            </w:pPr>
            <w:r>
              <w:rPr>
                <w:sz w:val="24"/>
              </w:rPr>
              <w:t>Несравнительные</w:t>
            </w:r>
            <w:r>
              <w:rPr>
                <w:spacing w:val="40"/>
                <w:sz w:val="24"/>
              </w:rPr>
              <w:t> </w:t>
            </w:r>
            <w:r>
              <w:rPr>
                <w:sz w:val="24"/>
              </w:rPr>
              <w:t>исследования,</w:t>
            </w:r>
            <w:r>
              <w:rPr>
                <w:spacing w:val="40"/>
                <w:sz w:val="24"/>
              </w:rPr>
              <w:t> </w:t>
            </w:r>
            <w:r>
              <w:rPr>
                <w:sz w:val="24"/>
              </w:rPr>
              <w:t>описание</w:t>
            </w:r>
            <w:r>
              <w:rPr>
                <w:spacing w:val="40"/>
                <w:sz w:val="24"/>
              </w:rPr>
              <w:t> </w:t>
            </w:r>
            <w:r>
              <w:rPr>
                <w:sz w:val="24"/>
              </w:rPr>
              <w:t>клинического</w:t>
            </w:r>
            <w:r>
              <w:rPr>
                <w:spacing w:val="40"/>
                <w:sz w:val="24"/>
              </w:rPr>
              <w:t> </w:t>
            </w:r>
            <w:r>
              <w:rPr>
                <w:sz w:val="24"/>
              </w:rPr>
              <w:t>случая</w:t>
            </w:r>
            <w:r>
              <w:rPr>
                <w:spacing w:val="40"/>
                <w:sz w:val="24"/>
              </w:rPr>
              <w:t> </w:t>
            </w:r>
            <w:r>
              <w:rPr>
                <w:sz w:val="24"/>
              </w:rPr>
              <w:t>или</w:t>
            </w:r>
            <w:r>
              <w:rPr>
                <w:spacing w:val="40"/>
                <w:sz w:val="24"/>
              </w:rPr>
              <w:t> </w:t>
            </w:r>
            <w:r>
              <w:rPr>
                <w:sz w:val="24"/>
              </w:rPr>
              <w:t>серии случаев, исследование «случай–контроль»</w:t>
            </w:r>
          </w:p>
        </w:tc>
      </w:tr>
      <w:tr>
        <w:trPr>
          <w:trHeight w:val="688" w:hRule="atLeast"/>
        </w:trPr>
        <w:tc>
          <w:tcPr>
            <w:tcW w:w="674" w:type="dxa"/>
          </w:tcPr>
          <w:p>
            <w:pPr>
              <w:pStyle w:val="TableParagraph"/>
              <w:spacing w:line="275" w:lineRule="exact"/>
              <w:rPr>
                <w:sz w:val="24"/>
              </w:rPr>
            </w:pPr>
            <w:r>
              <w:rPr>
                <w:sz w:val="24"/>
              </w:rPr>
              <w:t>5</w:t>
            </w:r>
          </w:p>
        </w:tc>
        <w:tc>
          <w:tcPr>
            <w:tcW w:w="8224" w:type="dxa"/>
          </w:tcPr>
          <w:p>
            <w:pPr>
              <w:pStyle w:val="TableParagraph"/>
              <w:tabs>
                <w:tab w:pos="1317" w:val="left" w:leader="none"/>
                <w:tab w:pos="2212" w:val="left" w:leader="none"/>
                <w:tab w:pos="3864" w:val="left" w:leader="none"/>
                <w:tab w:pos="5309" w:val="left" w:leader="none"/>
                <w:tab w:pos="6581" w:val="left" w:leader="none"/>
              </w:tabs>
              <w:ind w:left="108" w:right="93"/>
              <w:rPr>
                <w:sz w:val="24"/>
              </w:rPr>
            </w:pPr>
            <w:r>
              <w:rPr>
                <w:spacing w:val="-2"/>
                <w:sz w:val="24"/>
              </w:rPr>
              <w:t>Имеется</w:t>
            </w:r>
            <w:r>
              <w:rPr>
                <w:sz w:val="24"/>
              </w:rPr>
              <w:tab/>
            </w:r>
            <w:r>
              <w:rPr>
                <w:spacing w:val="-4"/>
                <w:sz w:val="24"/>
              </w:rPr>
              <w:t>лишь</w:t>
            </w:r>
            <w:r>
              <w:rPr>
                <w:sz w:val="24"/>
              </w:rPr>
              <w:tab/>
            </w:r>
            <w:r>
              <w:rPr>
                <w:spacing w:val="-2"/>
                <w:sz w:val="24"/>
              </w:rPr>
              <w:t>обоснование</w:t>
            </w:r>
            <w:r>
              <w:rPr>
                <w:sz w:val="24"/>
              </w:rPr>
              <w:tab/>
            </w:r>
            <w:r>
              <w:rPr>
                <w:spacing w:val="-2"/>
                <w:sz w:val="24"/>
              </w:rPr>
              <w:t>механизма</w:t>
            </w:r>
            <w:r>
              <w:rPr>
                <w:sz w:val="24"/>
              </w:rPr>
              <w:tab/>
            </w:r>
            <w:r>
              <w:rPr>
                <w:spacing w:val="-2"/>
                <w:sz w:val="24"/>
              </w:rPr>
              <w:t>действия</w:t>
            </w:r>
            <w:r>
              <w:rPr>
                <w:sz w:val="24"/>
              </w:rPr>
              <w:tab/>
            </w:r>
            <w:r>
              <w:rPr>
                <w:spacing w:val="-2"/>
                <w:sz w:val="24"/>
              </w:rPr>
              <w:t>вмешательства </w:t>
            </w:r>
            <w:r>
              <w:rPr>
                <w:sz w:val="24"/>
              </w:rPr>
              <w:t>(доклинические исследования) или мнение экспертов</w:t>
            </w:r>
          </w:p>
        </w:tc>
      </w:tr>
    </w:tbl>
    <w:p>
      <w:pPr>
        <w:pStyle w:val="BodyText"/>
        <w:spacing w:before="4"/>
        <w:ind w:left="0"/>
        <w:rPr>
          <w:b/>
          <w:sz w:val="16"/>
        </w:rPr>
      </w:pPr>
    </w:p>
    <w:p>
      <w:pPr>
        <w:spacing w:line="360" w:lineRule="auto" w:before="90"/>
        <w:ind w:left="1261" w:right="0" w:firstLine="0"/>
        <w:jc w:val="left"/>
        <w:rPr>
          <w:b/>
          <w:sz w:val="24"/>
        </w:rPr>
      </w:pPr>
      <w:r>
        <w:rPr>
          <w:b/>
          <w:sz w:val="24"/>
        </w:rPr>
        <w:t>Таблица</w:t>
      </w:r>
      <w:r>
        <w:rPr>
          <w:b/>
          <w:spacing w:val="-4"/>
          <w:sz w:val="24"/>
        </w:rPr>
        <w:t> </w:t>
      </w:r>
      <w:r>
        <w:rPr>
          <w:b/>
          <w:sz w:val="24"/>
        </w:rPr>
        <w:t>4.</w:t>
      </w:r>
      <w:r>
        <w:rPr>
          <w:b/>
          <w:spacing w:val="-4"/>
          <w:sz w:val="24"/>
        </w:rPr>
        <w:t> </w:t>
      </w:r>
      <w:r>
        <w:rPr>
          <w:b/>
          <w:sz w:val="24"/>
        </w:rPr>
        <w:t>Шкала</w:t>
      </w:r>
      <w:r>
        <w:rPr>
          <w:b/>
          <w:spacing w:val="-4"/>
          <w:sz w:val="24"/>
        </w:rPr>
        <w:t> </w:t>
      </w:r>
      <w:r>
        <w:rPr>
          <w:b/>
          <w:sz w:val="24"/>
        </w:rPr>
        <w:t>оценки</w:t>
      </w:r>
      <w:r>
        <w:rPr>
          <w:b/>
          <w:spacing w:val="-4"/>
          <w:sz w:val="24"/>
        </w:rPr>
        <w:t> </w:t>
      </w:r>
      <w:r>
        <w:rPr>
          <w:b/>
          <w:sz w:val="24"/>
        </w:rPr>
        <w:t>уровней</w:t>
      </w:r>
      <w:r>
        <w:rPr>
          <w:b/>
          <w:spacing w:val="-4"/>
          <w:sz w:val="24"/>
        </w:rPr>
        <w:t> </w:t>
      </w:r>
      <w:r>
        <w:rPr>
          <w:b/>
          <w:sz w:val="24"/>
        </w:rPr>
        <w:t>достоверности</w:t>
      </w:r>
      <w:r>
        <w:rPr>
          <w:b/>
          <w:spacing w:val="-4"/>
          <w:sz w:val="24"/>
        </w:rPr>
        <w:t> </w:t>
      </w:r>
      <w:r>
        <w:rPr>
          <w:b/>
          <w:sz w:val="24"/>
        </w:rPr>
        <w:t>доказательств</w:t>
      </w:r>
      <w:r>
        <w:rPr>
          <w:b/>
          <w:spacing w:val="-5"/>
          <w:sz w:val="24"/>
        </w:rPr>
        <w:t> </w:t>
      </w:r>
      <w:r>
        <w:rPr>
          <w:b/>
          <w:sz w:val="24"/>
        </w:rPr>
        <w:t>(УДД)</w:t>
      </w:r>
      <w:r>
        <w:rPr>
          <w:b/>
          <w:spacing w:val="-5"/>
          <w:sz w:val="24"/>
        </w:rPr>
        <w:t> </w:t>
      </w:r>
      <w:r>
        <w:rPr>
          <w:b/>
          <w:sz w:val="24"/>
        </w:rPr>
        <w:t>для</w:t>
      </w:r>
      <w:r>
        <w:rPr>
          <w:b/>
          <w:spacing w:val="-5"/>
          <w:sz w:val="24"/>
        </w:rPr>
        <w:t> </w:t>
      </w:r>
      <w:r>
        <w:rPr>
          <w:b/>
          <w:sz w:val="24"/>
        </w:rPr>
        <w:t>методов диагностики (диагностических вмешательств)</w:t>
      </w:r>
    </w:p>
    <w:p>
      <w:pPr>
        <w:pStyle w:val="BodyText"/>
        <w:spacing w:before="1"/>
        <w:ind w:left="0"/>
        <w:rPr>
          <w:b/>
        </w:rPr>
      </w:pPr>
    </w:p>
    <w:tbl>
      <w:tblPr>
        <w:tblW w:w="0" w:type="auto"/>
        <w:jc w:val="left"/>
        <w:tblInd w:w="12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24"/>
        <w:gridCol w:w="8448"/>
      </w:tblGrid>
      <w:tr>
        <w:trPr>
          <w:trHeight w:val="755" w:hRule="atLeast"/>
        </w:trPr>
        <w:tc>
          <w:tcPr>
            <w:tcW w:w="624" w:type="dxa"/>
          </w:tcPr>
          <w:p>
            <w:pPr>
              <w:pStyle w:val="TableParagraph"/>
              <w:spacing w:before="99"/>
              <w:ind w:left="227" w:right="124" w:hanging="87"/>
              <w:rPr>
                <w:b/>
                <w:sz w:val="24"/>
              </w:rPr>
            </w:pPr>
            <w:r>
              <w:rPr>
                <w:b/>
                <w:spacing w:val="-6"/>
                <w:sz w:val="24"/>
              </w:rPr>
              <w:t>УД </w:t>
            </w:r>
            <w:r>
              <w:rPr>
                <w:b/>
                <w:spacing w:val="-10"/>
                <w:sz w:val="24"/>
              </w:rPr>
              <w:t>Д</w:t>
            </w:r>
          </w:p>
        </w:tc>
        <w:tc>
          <w:tcPr>
            <w:tcW w:w="8448" w:type="dxa"/>
          </w:tcPr>
          <w:p>
            <w:pPr>
              <w:pStyle w:val="TableParagraph"/>
              <w:spacing w:before="99"/>
              <w:ind w:left="3453" w:right="3444"/>
              <w:jc w:val="center"/>
              <w:rPr>
                <w:b/>
                <w:sz w:val="24"/>
              </w:rPr>
            </w:pPr>
            <w:r>
              <w:rPr>
                <w:b/>
                <w:spacing w:val="-2"/>
                <w:sz w:val="24"/>
              </w:rPr>
              <w:t>Расшифровка</w:t>
            </w:r>
          </w:p>
        </w:tc>
      </w:tr>
      <w:tr>
        <w:trPr>
          <w:trHeight w:val="1031" w:hRule="atLeast"/>
        </w:trPr>
        <w:tc>
          <w:tcPr>
            <w:tcW w:w="624" w:type="dxa"/>
          </w:tcPr>
          <w:p>
            <w:pPr>
              <w:pStyle w:val="TableParagraph"/>
              <w:spacing w:before="99"/>
              <w:ind w:left="205" w:right="198"/>
              <w:jc w:val="center"/>
              <w:rPr>
                <w:sz w:val="24"/>
              </w:rPr>
            </w:pPr>
            <w:r>
              <w:rPr>
                <w:spacing w:val="-5"/>
                <w:sz w:val="24"/>
              </w:rPr>
              <w:t>1.</w:t>
            </w:r>
          </w:p>
        </w:tc>
        <w:tc>
          <w:tcPr>
            <w:tcW w:w="8448" w:type="dxa"/>
          </w:tcPr>
          <w:p>
            <w:pPr>
              <w:pStyle w:val="TableParagraph"/>
              <w:spacing w:before="99"/>
              <w:ind w:left="62" w:right="48"/>
              <w:jc w:val="both"/>
              <w:rPr>
                <w:sz w:val="24"/>
              </w:rPr>
            </w:pPr>
            <w:r>
              <w:rPr>
                <w:sz w:val="24"/>
              </w:rPr>
              <w:t>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w:t>
            </w:r>
          </w:p>
        </w:tc>
      </w:tr>
      <w:tr>
        <w:trPr>
          <w:trHeight w:val="1307" w:hRule="atLeast"/>
        </w:trPr>
        <w:tc>
          <w:tcPr>
            <w:tcW w:w="624" w:type="dxa"/>
          </w:tcPr>
          <w:p>
            <w:pPr>
              <w:pStyle w:val="TableParagraph"/>
              <w:spacing w:before="102"/>
              <w:ind w:left="205" w:right="198"/>
              <w:jc w:val="center"/>
              <w:rPr>
                <w:sz w:val="24"/>
              </w:rPr>
            </w:pPr>
            <w:r>
              <w:rPr>
                <w:spacing w:val="-5"/>
                <w:sz w:val="24"/>
              </w:rPr>
              <w:t>2.</w:t>
            </w:r>
          </w:p>
        </w:tc>
        <w:tc>
          <w:tcPr>
            <w:tcW w:w="8448" w:type="dxa"/>
          </w:tcPr>
          <w:p>
            <w:pPr>
              <w:pStyle w:val="TableParagraph"/>
              <w:spacing w:before="102"/>
              <w:ind w:left="62" w:right="47"/>
              <w:jc w:val="both"/>
              <w:rPr>
                <w:sz w:val="24"/>
              </w:rPr>
            </w:pPr>
            <w:r>
              <w:rPr>
                <w:sz w:val="24"/>
              </w:rPr>
              <w:t>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p>
        </w:tc>
      </w:tr>
      <w:tr>
        <w:trPr>
          <w:trHeight w:val="1307" w:hRule="atLeast"/>
        </w:trPr>
        <w:tc>
          <w:tcPr>
            <w:tcW w:w="624" w:type="dxa"/>
          </w:tcPr>
          <w:p>
            <w:pPr>
              <w:pStyle w:val="TableParagraph"/>
              <w:spacing w:before="102"/>
              <w:ind w:left="205" w:right="198"/>
              <w:jc w:val="center"/>
              <w:rPr>
                <w:sz w:val="24"/>
              </w:rPr>
            </w:pPr>
            <w:r>
              <w:rPr>
                <w:spacing w:val="-5"/>
                <w:sz w:val="24"/>
              </w:rPr>
              <w:t>3.</w:t>
            </w:r>
          </w:p>
        </w:tc>
        <w:tc>
          <w:tcPr>
            <w:tcW w:w="8448" w:type="dxa"/>
          </w:tcPr>
          <w:p>
            <w:pPr>
              <w:pStyle w:val="TableParagraph"/>
              <w:spacing w:before="102"/>
              <w:ind w:left="62" w:right="47"/>
              <w:jc w:val="both"/>
              <w:rPr>
                <w:sz w:val="24"/>
              </w:rPr>
            </w:pPr>
            <w:r>
              <w:rPr>
                <w:sz w:val="24"/>
              </w:rPr>
              <w:t>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w:t>
            </w:r>
            <w:r>
              <w:rPr>
                <w:spacing w:val="-1"/>
                <w:sz w:val="24"/>
              </w:rPr>
              <w:t> </w:t>
            </w:r>
            <w:r>
              <w:rPr>
                <w:sz w:val="24"/>
              </w:rPr>
              <w:t>или нерандомизированные</w:t>
            </w:r>
            <w:r>
              <w:rPr>
                <w:spacing w:val="-1"/>
                <w:sz w:val="24"/>
              </w:rPr>
              <w:t> </w:t>
            </w:r>
            <w:r>
              <w:rPr>
                <w:sz w:val="24"/>
              </w:rPr>
              <w:t>сравнительные</w:t>
            </w:r>
            <w:r>
              <w:rPr>
                <w:spacing w:val="-1"/>
                <w:sz w:val="24"/>
              </w:rPr>
              <w:t> </w:t>
            </w:r>
            <w:r>
              <w:rPr>
                <w:sz w:val="24"/>
              </w:rPr>
              <w:t>исследования, в том числе когортные исследования</w:t>
            </w:r>
          </w:p>
        </w:tc>
      </w:tr>
      <w:tr>
        <w:trPr>
          <w:trHeight w:val="479" w:hRule="atLeast"/>
        </w:trPr>
        <w:tc>
          <w:tcPr>
            <w:tcW w:w="624" w:type="dxa"/>
          </w:tcPr>
          <w:p>
            <w:pPr>
              <w:pStyle w:val="TableParagraph"/>
              <w:spacing w:before="102"/>
              <w:ind w:left="205" w:right="198"/>
              <w:jc w:val="center"/>
              <w:rPr>
                <w:sz w:val="24"/>
              </w:rPr>
            </w:pPr>
            <w:r>
              <w:rPr>
                <w:spacing w:val="-5"/>
                <w:sz w:val="24"/>
              </w:rPr>
              <w:t>4.</w:t>
            </w:r>
          </w:p>
        </w:tc>
        <w:tc>
          <w:tcPr>
            <w:tcW w:w="8448" w:type="dxa"/>
          </w:tcPr>
          <w:p>
            <w:pPr>
              <w:pStyle w:val="TableParagraph"/>
              <w:spacing w:before="102"/>
              <w:ind w:left="62"/>
              <w:rPr>
                <w:sz w:val="24"/>
              </w:rPr>
            </w:pPr>
            <w:r>
              <w:rPr>
                <w:sz w:val="24"/>
              </w:rPr>
              <w:t>Несравнительные</w:t>
            </w:r>
            <w:r>
              <w:rPr>
                <w:spacing w:val="-4"/>
                <w:sz w:val="24"/>
              </w:rPr>
              <w:t> </w:t>
            </w:r>
            <w:r>
              <w:rPr>
                <w:sz w:val="24"/>
              </w:rPr>
              <w:t>исследования,</w:t>
            </w:r>
            <w:r>
              <w:rPr>
                <w:spacing w:val="-2"/>
                <w:sz w:val="24"/>
              </w:rPr>
              <w:t> </w:t>
            </w:r>
            <w:r>
              <w:rPr>
                <w:sz w:val="24"/>
              </w:rPr>
              <w:t>описание</w:t>
            </w:r>
            <w:r>
              <w:rPr>
                <w:spacing w:val="-4"/>
                <w:sz w:val="24"/>
              </w:rPr>
              <w:t> </w:t>
            </w:r>
            <w:r>
              <w:rPr>
                <w:sz w:val="24"/>
              </w:rPr>
              <w:t>клинического</w:t>
            </w:r>
            <w:r>
              <w:rPr>
                <w:spacing w:val="-2"/>
                <w:sz w:val="24"/>
              </w:rPr>
              <w:t> случая</w:t>
            </w:r>
          </w:p>
        </w:tc>
      </w:tr>
    </w:tbl>
    <w:p>
      <w:pPr>
        <w:spacing w:after="0"/>
        <w:rPr>
          <w:sz w:val="24"/>
        </w:rPr>
        <w:sectPr>
          <w:type w:val="continuous"/>
          <w:pgSz w:w="11910" w:h="16840"/>
          <w:pgMar w:header="0" w:footer="710" w:top="1100" w:bottom="900" w:left="440" w:right="280"/>
        </w:sectPr>
      </w:pPr>
    </w:p>
    <w:tbl>
      <w:tblPr>
        <w:tblW w:w="0" w:type="auto"/>
        <w:jc w:val="left"/>
        <w:tblInd w:w="12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24"/>
        <w:gridCol w:w="8448"/>
      </w:tblGrid>
      <w:tr>
        <w:trPr>
          <w:trHeight w:val="481" w:hRule="atLeast"/>
        </w:trPr>
        <w:tc>
          <w:tcPr>
            <w:tcW w:w="624" w:type="dxa"/>
          </w:tcPr>
          <w:p>
            <w:pPr>
              <w:pStyle w:val="TableParagraph"/>
              <w:spacing w:before="102"/>
              <w:ind w:left="205" w:right="198"/>
              <w:jc w:val="center"/>
              <w:rPr>
                <w:sz w:val="24"/>
              </w:rPr>
            </w:pPr>
            <w:r>
              <w:rPr>
                <w:spacing w:val="-5"/>
                <w:sz w:val="24"/>
              </w:rPr>
              <w:t>5.</w:t>
            </w:r>
          </w:p>
        </w:tc>
        <w:tc>
          <w:tcPr>
            <w:tcW w:w="8448" w:type="dxa"/>
          </w:tcPr>
          <w:p>
            <w:pPr>
              <w:pStyle w:val="TableParagraph"/>
              <w:spacing w:before="102"/>
              <w:ind w:left="62"/>
              <w:rPr>
                <w:sz w:val="24"/>
              </w:rPr>
            </w:pPr>
            <w:r>
              <w:rPr>
                <w:sz w:val="24"/>
              </w:rPr>
              <w:t>Имеется</w:t>
            </w:r>
            <w:r>
              <w:rPr>
                <w:spacing w:val="-3"/>
                <w:sz w:val="24"/>
              </w:rPr>
              <w:t> </w:t>
            </w:r>
            <w:r>
              <w:rPr>
                <w:sz w:val="24"/>
              </w:rPr>
              <w:t>лишь</w:t>
            </w:r>
            <w:r>
              <w:rPr>
                <w:spacing w:val="-1"/>
                <w:sz w:val="24"/>
              </w:rPr>
              <w:t> </w:t>
            </w:r>
            <w:r>
              <w:rPr>
                <w:sz w:val="24"/>
              </w:rPr>
              <w:t>обоснование</w:t>
            </w:r>
            <w:r>
              <w:rPr>
                <w:spacing w:val="-2"/>
                <w:sz w:val="24"/>
              </w:rPr>
              <w:t> </w:t>
            </w:r>
            <w:r>
              <w:rPr>
                <w:sz w:val="24"/>
              </w:rPr>
              <w:t>механизма</w:t>
            </w:r>
            <w:r>
              <w:rPr>
                <w:spacing w:val="-2"/>
                <w:sz w:val="24"/>
              </w:rPr>
              <w:t> </w:t>
            </w:r>
            <w:r>
              <w:rPr>
                <w:sz w:val="24"/>
              </w:rPr>
              <w:t>действия</w:t>
            </w:r>
            <w:r>
              <w:rPr>
                <w:spacing w:val="-1"/>
                <w:sz w:val="24"/>
              </w:rPr>
              <w:t> </w:t>
            </w:r>
            <w:r>
              <w:rPr>
                <w:sz w:val="24"/>
              </w:rPr>
              <w:t>или</w:t>
            </w:r>
            <w:r>
              <w:rPr>
                <w:spacing w:val="-1"/>
                <w:sz w:val="24"/>
              </w:rPr>
              <w:t> </w:t>
            </w:r>
            <w:r>
              <w:rPr>
                <w:sz w:val="24"/>
              </w:rPr>
              <w:t>мнение</w:t>
            </w:r>
            <w:r>
              <w:rPr>
                <w:spacing w:val="-1"/>
                <w:sz w:val="24"/>
              </w:rPr>
              <w:t> </w:t>
            </w:r>
            <w:r>
              <w:rPr>
                <w:spacing w:val="-2"/>
                <w:sz w:val="24"/>
              </w:rPr>
              <w:t>экспертов</w:t>
            </w:r>
          </w:p>
        </w:tc>
      </w:tr>
    </w:tbl>
    <w:p>
      <w:pPr>
        <w:pStyle w:val="BodyText"/>
        <w:ind w:left="0"/>
        <w:rPr>
          <w:b/>
          <w:sz w:val="20"/>
        </w:rPr>
      </w:pPr>
    </w:p>
    <w:p>
      <w:pPr>
        <w:pStyle w:val="BodyText"/>
        <w:spacing w:before="4"/>
        <w:ind w:left="0"/>
        <w:rPr>
          <w:b/>
          <w:sz w:val="21"/>
        </w:rPr>
      </w:pPr>
    </w:p>
    <w:p>
      <w:pPr>
        <w:spacing w:line="360" w:lineRule="auto" w:before="90"/>
        <w:ind w:left="1261" w:right="567" w:firstLine="0"/>
        <w:jc w:val="both"/>
        <w:rPr>
          <w:b/>
          <w:sz w:val="24"/>
        </w:rPr>
      </w:pPr>
      <w:r>
        <w:rPr>
          <w:b/>
          <w:sz w:val="24"/>
        </w:rPr>
        <w:t>Таблица 5. Шкала оценки уровней убедительности рекомендаций(УУР) для методов профилактики, диагностики, лечения и реабилитации (профилактических, диагностических, лечебных, реабилитационных вмешательств)</w:t>
      </w:r>
    </w:p>
    <w:p>
      <w:pPr>
        <w:pStyle w:val="BodyText"/>
        <w:ind w:left="0"/>
        <w:rPr>
          <w:b/>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74"/>
        <w:gridCol w:w="8260"/>
      </w:tblGrid>
      <w:tr>
        <w:trPr>
          <w:trHeight w:val="1655" w:hRule="atLeast"/>
        </w:trPr>
        <w:tc>
          <w:tcPr>
            <w:tcW w:w="8934" w:type="dxa"/>
            <w:gridSpan w:val="2"/>
          </w:tcPr>
          <w:p>
            <w:pPr>
              <w:pStyle w:val="TableParagraph"/>
              <w:tabs>
                <w:tab w:pos="1355" w:val="left" w:leader="none"/>
                <w:tab w:pos="3362" w:val="left" w:leader="none"/>
                <w:tab w:pos="5203" w:val="left" w:leader="none"/>
                <w:tab w:pos="6239" w:val="left" w:leader="none"/>
                <w:tab w:pos="7358" w:val="left" w:leader="none"/>
              </w:tabs>
              <w:spacing w:line="276" w:lineRule="exact"/>
              <w:ind w:right="96"/>
              <w:rPr>
                <w:sz w:val="24"/>
              </w:rPr>
            </w:pPr>
            <w:r>
              <w:rPr>
                <w:spacing w:val="-2"/>
                <w:sz w:val="24"/>
              </w:rPr>
              <w:t>Уровень</w:t>
            </w:r>
            <w:r>
              <w:rPr>
                <w:sz w:val="24"/>
              </w:rPr>
              <w:tab/>
            </w:r>
            <w:r>
              <w:rPr>
                <w:spacing w:val="-2"/>
                <w:sz w:val="24"/>
              </w:rPr>
              <w:t>убедительности</w:t>
            </w:r>
            <w:r>
              <w:rPr>
                <w:sz w:val="24"/>
              </w:rPr>
              <w:tab/>
            </w:r>
            <w:r>
              <w:rPr>
                <w:spacing w:val="-2"/>
                <w:sz w:val="24"/>
              </w:rPr>
              <w:t>рекомендации</w:t>
            </w:r>
            <w:r>
              <w:rPr>
                <w:sz w:val="24"/>
              </w:rPr>
              <w:tab/>
            </w:r>
            <w:r>
              <w:rPr>
                <w:spacing w:val="-2"/>
                <w:sz w:val="24"/>
              </w:rPr>
              <w:t>(УРР),</w:t>
            </w:r>
            <w:r>
              <w:rPr>
                <w:sz w:val="24"/>
              </w:rPr>
              <w:tab/>
            </w:r>
            <w:r>
              <w:rPr>
                <w:spacing w:val="-2"/>
                <w:sz w:val="24"/>
              </w:rPr>
              <w:t>Приказ</w:t>
            </w:r>
            <w:r>
              <w:rPr>
                <w:sz w:val="24"/>
              </w:rPr>
              <w:tab/>
            </w:r>
            <w:r>
              <w:rPr>
                <w:spacing w:val="-2"/>
                <w:sz w:val="24"/>
              </w:rPr>
              <w:t>Министерства </w:t>
            </w:r>
            <w:r>
              <w:rPr>
                <w:sz w:val="24"/>
              </w:rPr>
              <w:t>здравоохранения</w:t>
            </w:r>
            <w:r>
              <w:rPr>
                <w:spacing w:val="40"/>
                <w:sz w:val="24"/>
              </w:rPr>
              <w:t> </w:t>
            </w:r>
            <w:r>
              <w:rPr>
                <w:sz w:val="24"/>
              </w:rPr>
              <w:t>Российской</w:t>
            </w:r>
            <w:r>
              <w:rPr>
                <w:spacing w:val="40"/>
                <w:sz w:val="24"/>
              </w:rPr>
              <w:t> </w:t>
            </w:r>
            <w:r>
              <w:rPr>
                <w:sz w:val="24"/>
              </w:rPr>
              <w:t>Федерации</w:t>
            </w:r>
            <w:r>
              <w:rPr>
                <w:spacing w:val="40"/>
                <w:sz w:val="24"/>
              </w:rPr>
              <w:t> </w:t>
            </w:r>
            <w:r>
              <w:rPr>
                <w:sz w:val="24"/>
              </w:rPr>
              <w:t>от</w:t>
            </w:r>
            <w:r>
              <w:rPr>
                <w:spacing w:val="40"/>
                <w:sz w:val="24"/>
              </w:rPr>
              <w:t> </w:t>
            </w:r>
            <w:r>
              <w:rPr>
                <w:sz w:val="24"/>
              </w:rPr>
              <w:t>28.02.2019</w:t>
            </w:r>
            <w:r>
              <w:rPr>
                <w:spacing w:val="40"/>
                <w:sz w:val="24"/>
              </w:rPr>
              <w:t> </w:t>
            </w:r>
            <w:r>
              <w:rPr>
                <w:sz w:val="24"/>
              </w:rPr>
              <w:t>№</w:t>
            </w:r>
            <w:r>
              <w:rPr>
                <w:spacing w:val="40"/>
                <w:sz w:val="24"/>
              </w:rPr>
              <w:t> </w:t>
            </w:r>
            <w:r>
              <w:rPr>
                <w:sz w:val="24"/>
              </w:rPr>
              <w:t>103н</w:t>
            </w:r>
            <w:r>
              <w:rPr>
                <w:spacing w:val="40"/>
                <w:sz w:val="24"/>
              </w:rPr>
              <w:t> </w:t>
            </w:r>
            <w:r>
              <w:rPr>
                <w:sz w:val="24"/>
              </w:rPr>
              <w:t>«Об</w:t>
            </w:r>
            <w:r>
              <w:rPr>
                <w:spacing w:val="39"/>
                <w:sz w:val="24"/>
              </w:rPr>
              <w:t> </w:t>
            </w:r>
            <w:r>
              <w:rPr>
                <w:sz w:val="24"/>
              </w:rPr>
              <w:t>утверждении порядка</w:t>
            </w:r>
            <w:r>
              <w:rPr>
                <w:spacing w:val="31"/>
                <w:sz w:val="24"/>
              </w:rPr>
              <w:t> </w:t>
            </w:r>
            <w:r>
              <w:rPr>
                <w:sz w:val="24"/>
              </w:rPr>
              <w:t>и</w:t>
            </w:r>
            <w:r>
              <w:rPr>
                <w:spacing w:val="30"/>
                <w:sz w:val="24"/>
              </w:rPr>
              <w:t> </w:t>
            </w:r>
            <w:r>
              <w:rPr>
                <w:sz w:val="24"/>
              </w:rPr>
              <w:t>сроков</w:t>
            </w:r>
            <w:r>
              <w:rPr>
                <w:spacing w:val="31"/>
                <w:sz w:val="24"/>
              </w:rPr>
              <w:t> </w:t>
            </w:r>
            <w:r>
              <w:rPr>
                <w:sz w:val="24"/>
              </w:rPr>
              <w:t>разработки</w:t>
            </w:r>
            <w:r>
              <w:rPr>
                <w:spacing w:val="30"/>
                <w:sz w:val="24"/>
              </w:rPr>
              <w:t> </w:t>
            </w:r>
            <w:r>
              <w:rPr>
                <w:sz w:val="24"/>
              </w:rPr>
              <w:t>клинических</w:t>
            </w:r>
            <w:r>
              <w:rPr>
                <w:spacing w:val="31"/>
                <w:sz w:val="24"/>
              </w:rPr>
              <w:t> </w:t>
            </w:r>
            <w:r>
              <w:rPr>
                <w:sz w:val="24"/>
              </w:rPr>
              <w:t>рекомендаций,</w:t>
            </w:r>
            <w:r>
              <w:rPr>
                <w:spacing w:val="29"/>
                <w:sz w:val="24"/>
              </w:rPr>
              <w:t> </w:t>
            </w:r>
            <w:r>
              <w:rPr>
                <w:sz w:val="24"/>
              </w:rPr>
              <w:t>их</w:t>
            </w:r>
            <w:r>
              <w:rPr>
                <w:spacing w:val="29"/>
                <w:sz w:val="24"/>
              </w:rPr>
              <w:t> </w:t>
            </w:r>
            <w:r>
              <w:rPr>
                <w:sz w:val="24"/>
              </w:rPr>
              <w:t>пересмотра,</w:t>
            </w:r>
            <w:r>
              <w:rPr>
                <w:spacing w:val="31"/>
                <w:sz w:val="24"/>
              </w:rPr>
              <w:t> </w:t>
            </w:r>
            <w:r>
              <w:rPr>
                <w:sz w:val="24"/>
              </w:rPr>
              <w:t>типовой формы клинических рекомендаций и требований к их структуре, составу и научной обоснованности включаемой в клинические рекомендации информации» (Зарегистрирован 08.05.2019 № 54588)</w:t>
            </w:r>
          </w:p>
        </w:tc>
      </w:tr>
      <w:tr>
        <w:trPr>
          <w:trHeight w:val="1103" w:hRule="atLeast"/>
        </w:trPr>
        <w:tc>
          <w:tcPr>
            <w:tcW w:w="674" w:type="dxa"/>
          </w:tcPr>
          <w:p>
            <w:pPr>
              <w:pStyle w:val="TableParagraph"/>
              <w:spacing w:before="1"/>
              <w:rPr>
                <w:sz w:val="24"/>
              </w:rPr>
            </w:pPr>
            <w:r>
              <w:rPr>
                <w:sz w:val="24"/>
              </w:rPr>
              <w:t>А</w:t>
            </w:r>
          </w:p>
        </w:tc>
        <w:tc>
          <w:tcPr>
            <w:tcW w:w="8260" w:type="dxa"/>
          </w:tcPr>
          <w:p>
            <w:pPr>
              <w:pStyle w:val="TableParagraph"/>
              <w:spacing w:before="1"/>
              <w:ind w:left="108" w:right="95"/>
              <w:jc w:val="both"/>
              <w:rPr>
                <w:sz w:val="24"/>
              </w:rPr>
            </w:pPr>
            <w:r>
              <w:rPr>
                <w:sz w:val="24"/>
              </w:rPr>
              <w:t>Сильная рекомендация (все рассматриваемые критерии эффективности (исходы) являются важными, все исследования имеют высокое или удовлетворительное</w:t>
            </w:r>
            <w:r>
              <w:rPr>
                <w:spacing w:val="61"/>
                <w:sz w:val="24"/>
              </w:rPr>
              <w:t>   </w:t>
            </w:r>
            <w:r>
              <w:rPr>
                <w:sz w:val="24"/>
              </w:rPr>
              <w:t>методологическое</w:t>
            </w:r>
            <w:r>
              <w:rPr>
                <w:spacing w:val="62"/>
                <w:sz w:val="24"/>
              </w:rPr>
              <w:t>   </w:t>
            </w:r>
            <w:r>
              <w:rPr>
                <w:sz w:val="24"/>
              </w:rPr>
              <w:t>качество,</w:t>
            </w:r>
            <w:r>
              <w:rPr>
                <w:spacing w:val="62"/>
                <w:sz w:val="24"/>
              </w:rPr>
              <w:t>   </w:t>
            </w:r>
            <w:r>
              <w:rPr>
                <w:sz w:val="24"/>
              </w:rPr>
              <w:t>их</w:t>
            </w:r>
            <w:r>
              <w:rPr>
                <w:spacing w:val="63"/>
                <w:sz w:val="24"/>
              </w:rPr>
              <w:t>   </w:t>
            </w:r>
            <w:r>
              <w:rPr>
                <w:sz w:val="24"/>
              </w:rPr>
              <w:t>выводы</w:t>
            </w:r>
            <w:r>
              <w:rPr>
                <w:spacing w:val="62"/>
                <w:sz w:val="24"/>
              </w:rPr>
              <w:t>   </w:t>
            </w:r>
            <w:r>
              <w:rPr>
                <w:spacing w:val="-5"/>
                <w:sz w:val="24"/>
              </w:rPr>
              <w:t>по</w:t>
            </w:r>
          </w:p>
          <w:p>
            <w:pPr>
              <w:pStyle w:val="TableParagraph"/>
              <w:spacing w:line="254" w:lineRule="exact"/>
              <w:ind w:left="108"/>
              <w:jc w:val="both"/>
              <w:rPr>
                <w:sz w:val="24"/>
              </w:rPr>
            </w:pPr>
            <w:r>
              <w:rPr>
                <w:sz w:val="24"/>
              </w:rPr>
              <w:t>интересующим</w:t>
            </w:r>
            <w:r>
              <w:rPr>
                <w:spacing w:val="-2"/>
                <w:sz w:val="24"/>
              </w:rPr>
              <w:t> </w:t>
            </w:r>
            <w:r>
              <w:rPr>
                <w:sz w:val="24"/>
              </w:rPr>
              <w:t>исходам</w:t>
            </w:r>
            <w:r>
              <w:rPr>
                <w:spacing w:val="-2"/>
                <w:sz w:val="24"/>
              </w:rPr>
              <w:t> </w:t>
            </w:r>
            <w:r>
              <w:rPr>
                <w:sz w:val="24"/>
              </w:rPr>
              <w:t>являются</w:t>
            </w:r>
            <w:r>
              <w:rPr>
                <w:spacing w:val="-1"/>
                <w:sz w:val="24"/>
              </w:rPr>
              <w:t> </w:t>
            </w:r>
            <w:r>
              <w:rPr>
                <w:spacing w:val="-2"/>
                <w:sz w:val="24"/>
              </w:rPr>
              <w:t>согласованными)</w:t>
            </w:r>
          </w:p>
        </w:tc>
      </w:tr>
      <w:tr>
        <w:trPr>
          <w:trHeight w:val="1362" w:hRule="atLeast"/>
        </w:trPr>
        <w:tc>
          <w:tcPr>
            <w:tcW w:w="674" w:type="dxa"/>
          </w:tcPr>
          <w:p>
            <w:pPr>
              <w:pStyle w:val="TableParagraph"/>
              <w:spacing w:before="1"/>
              <w:rPr>
                <w:sz w:val="24"/>
              </w:rPr>
            </w:pPr>
            <w:r>
              <w:rPr>
                <w:sz w:val="24"/>
              </w:rPr>
              <w:t>В</w:t>
            </w:r>
          </w:p>
        </w:tc>
        <w:tc>
          <w:tcPr>
            <w:tcW w:w="8260" w:type="dxa"/>
          </w:tcPr>
          <w:p>
            <w:pPr>
              <w:pStyle w:val="TableParagraph"/>
              <w:spacing w:before="1"/>
              <w:ind w:left="108" w:right="95"/>
              <w:jc w:val="both"/>
              <w:rPr>
                <w:sz w:val="24"/>
              </w:rPr>
            </w:pPr>
            <w:r>
              <w:rPr>
                <w:sz w:val="24"/>
              </w:rPr>
              <w:t>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w:t>
            </w:r>
          </w:p>
        </w:tc>
      </w:tr>
      <w:tr>
        <w:trPr>
          <w:trHeight w:val="1396" w:hRule="atLeast"/>
        </w:trPr>
        <w:tc>
          <w:tcPr>
            <w:tcW w:w="674" w:type="dxa"/>
          </w:tcPr>
          <w:p>
            <w:pPr>
              <w:pStyle w:val="TableParagraph"/>
              <w:spacing w:line="275" w:lineRule="exact"/>
              <w:rPr>
                <w:sz w:val="24"/>
              </w:rPr>
            </w:pPr>
            <w:r>
              <w:rPr>
                <w:sz w:val="24"/>
              </w:rPr>
              <w:t>С</w:t>
            </w:r>
          </w:p>
        </w:tc>
        <w:tc>
          <w:tcPr>
            <w:tcW w:w="8260" w:type="dxa"/>
          </w:tcPr>
          <w:p>
            <w:pPr>
              <w:pStyle w:val="TableParagraph"/>
              <w:ind w:left="108" w:right="94"/>
              <w:jc w:val="both"/>
              <w:rPr>
                <w:sz w:val="24"/>
              </w:rPr>
            </w:pPr>
            <w:r>
              <w:rPr>
                <w:sz w:val="24"/>
              </w:rPr>
              <w:t>Слабая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согласованными)</w:t>
            </w:r>
          </w:p>
        </w:tc>
      </w:tr>
    </w:tbl>
    <w:p>
      <w:pPr>
        <w:pStyle w:val="BodyText"/>
        <w:ind w:left="0"/>
        <w:rPr>
          <w:b/>
          <w:sz w:val="20"/>
        </w:rPr>
      </w:pPr>
    </w:p>
    <w:p>
      <w:pPr>
        <w:pStyle w:val="BodyText"/>
        <w:ind w:left="0"/>
        <w:rPr>
          <w:b/>
          <w:sz w:val="20"/>
        </w:rPr>
      </w:pPr>
    </w:p>
    <w:p>
      <w:pPr>
        <w:pStyle w:val="BodyText"/>
        <w:spacing w:before="3"/>
        <w:ind w:left="0"/>
        <w:rPr>
          <w:b/>
        </w:rPr>
      </w:pPr>
    </w:p>
    <w:p>
      <w:pPr>
        <w:spacing w:before="90"/>
        <w:ind w:left="1969" w:right="0" w:firstLine="0"/>
        <w:jc w:val="both"/>
        <w:rPr>
          <w:b/>
          <w:sz w:val="24"/>
        </w:rPr>
      </w:pPr>
      <w:r>
        <w:rPr>
          <w:b/>
          <w:sz w:val="24"/>
        </w:rPr>
        <w:t>Порядок</w:t>
      </w:r>
      <w:r>
        <w:rPr>
          <w:b/>
          <w:spacing w:val="-6"/>
          <w:sz w:val="24"/>
        </w:rPr>
        <w:t> </w:t>
      </w:r>
      <w:r>
        <w:rPr>
          <w:b/>
          <w:sz w:val="24"/>
        </w:rPr>
        <w:t>обновления</w:t>
      </w:r>
      <w:r>
        <w:rPr>
          <w:b/>
          <w:spacing w:val="-5"/>
          <w:sz w:val="24"/>
        </w:rPr>
        <w:t> </w:t>
      </w:r>
      <w:r>
        <w:rPr>
          <w:b/>
          <w:sz w:val="24"/>
        </w:rPr>
        <w:t>клинических</w:t>
      </w:r>
      <w:r>
        <w:rPr>
          <w:b/>
          <w:spacing w:val="-4"/>
          <w:sz w:val="24"/>
        </w:rPr>
        <w:t> </w:t>
      </w:r>
      <w:r>
        <w:rPr>
          <w:b/>
          <w:spacing w:val="-2"/>
          <w:sz w:val="24"/>
        </w:rPr>
        <w:t>рекомендаций</w:t>
      </w:r>
    </w:p>
    <w:p>
      <w:pPr>
        <w:pStyle w:val="BodyText"/>
        <w:spacing w:line="360" w:lineRule="auto" w:before="139"/>
        <w:ind w:left="1261" w:right="566" w:firstLine="708"/>
        <w:jc w:val="both"/>
      </w:pPr>
      <w:r>
        <w:rPr/>
        <w:t>Механизм обновления клинических рекомендаций предусматривает их систематическую актуализацию — не реже чем один раз в три года или при появлении новой информации о тактике ведения пациентов с данным заболеванием. Решение об обновлении принимает МЗ РФ на основе предложений, представленных медицинскими некоммерческими профессиональными организациями. Сформированные предложения должны учитывать результаты комплексной оценки лекарственных препаратов, медицинских изделий, а также результаты клинической апробации.</w:t>
      </w:r>
    </w:p>
    <w:p>
      <w:pPr>
        <w:spacing w:after="0" w:line="360" w:lineRule="auto"/>
        <w:jc w:val="both"/>
        <w:sectPr>
          <w:type w:val="continuous"/>
          <w:pgSz w:w="11910" w:h="16840"/>
          <w:pgMar w:header="0" w:footer="710" w:top="1100" w:bottom="900" w:left="440" w:right="280"/>
        </w:sectPr>
      </w:pPr>
    </w:p>
    <w:p>
      <w:pPr>
        <w:pStyle w:val="Heading3"/>
        <w:spacing w:line="360" w:lineRule="auto" w:before="68"/>
        <w:ind w:left="1688" w:right="1000" w:hanging="1"/>
        <w:jc w:val="center"/>
      </w:pPr>
      <w:bookmarkStart w:name="Приложение А3. Справочные материалы, вкл" w:id="340"/>
      <w:bookmarkEnd w:id="340"/>
      <w:r>
        <w:rPr>
          <w:b w:val="0"/>
        </w:rPr>
      </w:r>
      <w:bookmarkStart w:name="_bookmark289" w:id="341"/>
      <w:bookmarkEnd w:id="341"/>
      <w:r>
        <w:rPr>
          <w:b w:val="0"/>
        </w:rPr>
      </w:r>
      <w:r>
        <w:rPr/>
        <w:t>Приложение</w:t>
      </w:r>
      <w:r>
        <w:rPr>
          <w:spacing w:val="-5"/>
        </w:rPr>
        <w:t> </w:t>
      </w:r>
      <w:r>
        <w:rPr/>
        <w:t>А3.</w:t>
      </w:r>
      <w:r>
        <w:rPr>
          <w:spacing w:val="-4"/>
        </w:rPr>
        <w:t> </w:t>
      </w:r>
      <w:r>
        <w:rPr/>
        <w:t>Справочные</w:t>
      </w:r>
      <w:r>
        <w:rPr>
          <w:spacing w:val="-5"/>
        </w:rPr>
        <w:t> </w:t>
      </w:r>
      <w:r>
        <w:rPr/>
        <w:t>материалы,</w:t>
      </w:r>
      <w:r>
        <w:rPr>
          <w:spacing w:val="-4"/>
        </w:rPr>
        <w:t> </w:t>
      </w:r>
      <w:r>
        <w:rPr/>
        <w:t>включая</w:t>
      </w:r>
      <w:r>
        <w:rPr>
          <w:spacing w:val="-5"/>
        </w:rPr>
        <w:t> </w:t>
      </w:r>
      <w:r>
        <w:rPr/>
        <w:t>соответствие</w:t>
      </w:r>
      <w:r>
        <w:rPr>
          <w:spacing w:val="-3"/>
        </w:rPr>
        <w:t> </w:t>
      </w:r>
      <w:r>
        <w:rPr/>
        <w:t>показаний</w:t>
      </w:r>
      <w:r>
        <w:rPr>
          <w:spacing w:val="-4"/>
        </w:rPr>
        <w:t> </w:t>
      </w:r>
      <w:r>
        <w:rPr/>
        <w:t>к применению</w:t>
      </w:r>
      <w:r>
        <w:rPr>
          <w:spacing w:val="-5"/>
        </w:rPr>
        <w:t> </w:t>
      </w:r>
      <w:r>
        <w:rPr/>
        <w:t>и</w:t>
      </w:r>
      <w:r>
        <w:rPr>
          <w:spacing w:val="-6"/>
        </w:rPr>
        <w:t> </w:t>
      </w:r>
      <w:r>
        <w:rPr/>
        <w:t>противопоказаний,</w:t>
      </w:r>
      <w:r>
        <w:rPr>
          <w:spacing w:val="-5"/>
        </w:rPr>
        <w:t> </w:t>
      </w:r>
      <w:r>
        <w:rPr/>
        <w:t>способов</w:t>
      </w:r>
      <w:r>
        <w:rPr>
          <w:spacing w:val="-4"/>
        </w:rPr>
        <w:t> </w:t>
      </w:r>
      <w:r>
        <w:rPr/>
        <w:t>применения</w:t>
      </w:r>
      <w:r>
        <w:rPr>
          <w:spacing w:val="-7"/>
        </w:rPr>
        <w:t> </w:t>
      </w:r>
      <w:r>
        <w:rPr/>
        <w:t>и</w:t>
      </w:r>
      <w:r>
        <w:rPr>
          <w:spacing w:val="-4"/>
        </w:rPr>
        <w:t> </w:t>
      </w:r>
      <w:r>
        <w:rPr/>
        <w:t>доз</w:t>
      </w:r>
      <w:r>
        <w:rPr>
          <w:spacing w:val="-5"/>
        </w:rPr>
        <w:t> </w:t>
      </w:r>
      <w:r>
        <w:rPr/>
        <w:t>лекарственных препаратов инструкции по применению лекарственного препарата</w:t>
      </w:r>
    </w:p>
    <w:p>
      <w:pPr>
        <w:pStyle w:val="ListParagraph"/>
        <w:numPr>
          <w:ilvl w:val="0"/>
          <w:numId w:val="27"/>
        </w:numPr>
        <w:tabs>
          <w:tab w:pos="1519" w:val="left" w:leader="none"/>
        </w:tabs>
        <w:spacing w:line="360" w:lineRule="auto" w:before="0" w:after="0"/>
        <w:ind w:left="1261" w:right="566" w:firstLine="0"/>
        <w:jc w:val="both"/>
        <w:rPr>
          <w:sz w:val="24"/>
        </w:rPr>
      </w:pPr>
      <w:r>
        <w:rPr>
          <w:sz w:val="24"/>
        </w:rPr>
        <w:t>Приказ Министерства здравоохранения Российской Федерации от 15 ноября 2012 г. № 918н «Об утверждении Порядка оказания медицинской помощи больным с сердечно- сосудистыми заболеваниями».</w:t>
      </w:r>
    </w:p>
    <w:p>
      <w:pPr>
        <w:pStyle w:val="ListParagraph"/>
        <w:numPr>
          <w:ilvl w:val="0"/>
          <w:numId w:val="27"/>
        </w:numPr>
        <w:tabs>
          <w:tab w:pos="1502" w:val="left" w:leader="none"/>
        </w:tabs>
        <w:spacing w:line="240" w:lineRule="auto" w:before="1" w:after="0"/>
        <w:ind w:left="1501" w:right="0" w:hanging="241"/>
        <w:jc w:val="both"/>
        <w:rPr>
          <w:sz w:val="24"/>
        </w:rPr>
      </w:pPr>
      <w:r>
        <w:rPr>
          <w:sz w:val="24"/>
        </w:rPr>
        <w:t>Приказ</w:t>
      </w:r>
      <w:r>
        <w:rPr>
          <w:spacing w:val="-1"/>
          <w:sz w:val="24"/>
        </w:rPr>
        <w:t> </w:t>
      </w:r>
      <w:r>
        <w:rPr>
          <w:sz w:val="24"/>
        </w:rPr>
        <w:t>Минестерства</w:t>
      </w:r>
      <w:r>
        <w:rPr>
          <w:spacing w:val="-2"/>
          <w:sz w:val="24"/>
        </w:rPr>
        <w:t> </w:t>
      </w:r>
      <w:r>
        <w:rPr>
          <w:sz w:val="24"/>
        </w:rPr>
        <w:t>здравоохранения</w:t>
      </w:r>
      <w:r>
        <w:rPr>
          <w:spacing w:val="-1"/>
          <w:sz w:val="24"/>
        </w:rPr>
        <w:t> </w:t>
      </w:r>
      <w:r>
        <w:rPr>
          <w:sz w:val="24"/>
        </w:rPr>
        <w:t>Российской</w:t>
      </w:r>
      <w:r>
        <w:rPr>
          <w:spacing w:val="-1"/>
          <w:sz w:val="24"/>
        </w:rPr>
        <w:t> </w:t>
      </w:r>
      <w:r>
        <w:rPr>
          <w:sz w:val="24"/>
        </w:rPr>
        <w:t>Федерации от</w:t>
      </w:r>
      <w:r>
        <w:rPr>
          <w:spacing w:val="-1"/>
          <w:sz w:val="24"/>
        </w:rPr>
        <w:t> </w:t>
      </w:r>
      <w:r>
        <w:rPr>
          <w:sz w:val="24"/>
        </w:rPr>
        <w:t>10</w:t>
      </w:r>
      <w:r>
        <w:rPr>
          <w:spacing w:val="-1"/>
          <w:sz w:val="24"/>
        </w:rPr>
        <w:t> </w:t>
      </w:r>
      <w:r>
        <w:rPr>
          <w:sz w:val="24"/>
        </w:rPr>
        <w:t>мая</w:t>
      </w:r>
      <w:r>
        <w:rPr>
          <w:spacing w:val="-2"/>
          <w:sz w:val="24"/>
        </w:rPr>
        <w:t> </w:t>
      </w:r>
      <w:r>
        <w:rPr>
          <w:sz w:val="24"/>
        </w:rPr>
        <w:t>2017</w:t>
      </w:r>
      <w:r>
        <w:rPr>
          <w:spacing w:val="-1"/>
          <w:sz w:val="24"/>
        </w:rPr>
        <w:t> </w:t>
      </w:r>
      <w:r>
        <w:rPr>
          <w:sz w:val="24"/>
        </w:rPr>
        <w:t>г.</w:t>
      </w:r>
      <w:r>
        <w:rPr>
          <w:spacing w:val="-2"/>
          <w:sz w:val="24"/>
        </w:rPr>
        <w:t> </w:t>
      </w:r>
      <w:r>
        <w:rPr>
          <w:sz w:val="24"/>
        </w:rPr>
        <w:t>№</w:t>
      </w:r>
      <w:r>
        <w:rPr>
          <w:spacing w:val="-2"/>
          <w:sz w:val="24"/>
        </w:rPr>
        <w:t> </w:t>
      </w:r>
      <w:r>
        <w:rPr>
          <w:spacing w:val="-4"/>
          <w:sz w:val="24"/>
        </w:rPr>
        <w:t>203н</w:t>
      </w:r>
    </w:p>
    <w:p>
      <w:pPr>
        <w:pStyle w:val="BodyText"/>
        <w:spacing w:before="136"/>
        <w:ind w:left="1261"/>
        <w:jc w:val="both"/>
      </w:pPr>
      <w:r>
        <w:rPr/>
        <w:t>«Об</w:t>
      </w:r>
      <w:r>
        <w:rPr>
          <w:spacing w:val="-4"/>
        </w:rPr>
        <w:t> </w:t>
      </w:r>
      <w:r>
        <w:rPr/>
        <w:t>утверждении</w:t>
      </w:r>
      <w:r>
        <w:rPr>
          <w:spacing w:val="-1"/>
        </w:rPr>
        <w:t> </w:t>
      </w:r>
      <w:r>
        <w:rPr/>
        <w:t>критериев</w:t>
      </w:r>
      <w:r>
        <w:rPr>
          <w:spacing w:val="-2"/>
        </w:rPr>
        <w:t> </w:t>
      </w:r>
      <w:r>
        <w:rPr/>
        <w:t>оценки</w:t>
      </w:r>
      <w:r>
        <w:rPr>
          <w:spacing w:val="-1"/>
        </w:rPr>
        <w:t> </w:t>
      </w:r>
      <w:r>
        <w:rPr/>
        <w:t>качества</w:t>
      </w:r>
      <w:r>
        <w:rPr>
          <w:spacing w:val="-4"/>
        </w:rPr>
        <w:t> </w:t>
      </w:r>
      <w:r>
        <w:rPr/>
        <w:t>медицинской </w:t>
      </w:r>
      <w:r>
        <w:rPr>
          <w:spacing w:val="-2"/>
        </w:rPr>
        <w:t>помощи».</w:t>
      </w:r>
    </w:p>
    <w:p>
      <w:pPr>
        <w:pStyle w:val="ListParagraph"/>
        <w:numPr>
          <w:ilvl w:val="0"/>
          <w:numId w:val="27"/>
        </w:numPr>
        <w:tabs>
          <w:tab w:pos="1538" w:val="left" w:leader="none"/>
        </w:tabs>
        <w:spacing w:line="240" w:lineRule="auto" w:before="140" w:after="0"/>
        <w:ind w:left="1537" w:right="0" w:hanging="277"/>
        <w:jc w:val="both"/>
        <w:rPr>
          <w:sz w:val="24"/>
        </w:rPr>
      </w:pPr>
      <w:r>
        <w:rPr>
          <w:sz w:val="24"/>
        </w:rPr>
        <w:t>Приказ</w:t>
      </w:r>
      <w:r>
        <w:rPr>
          <w:spacing w:val="36"/>
          <w:sz w:val="24"/>
        </w:rPr>
        <w:t> </w:t>
      </w:r>
      <w:r>
        <w:rPr>
          <w:sz w:val="24"/>
        </w:rPr>
        <w:t>Министерства</w:t>
      </w:r>
      <w:r>
        <w:rPr>
          <w:spacing w:val="34"/>
          <w:sz w:val="24"/>
        </w:rPr>
        <w:t> </w:t>
      </w:r>
      <w:r>
        <w:rPr>
          <w:sz w:val="24"/>
        </w:rPr>
        <w:t>здравоохранения</w:t>
      </w:r>
      <w:r>
        <w:rPr>
          <w:spacing w:val="35"/>
          <w:sz w:val="24"/>
        </w:rPr>
        <w:t> </w:t>
      </w:r>
      <w:r>
        <w:rPr>
          <w:sz w:val="24"/>
        </w:rPr>
        <w:t>Российской</w:t>
      </w:r>
      <w:r>
        <w:rPr>
          <w:spacing w:val="36"/>
          <w:sz w:val="24"/>
        </w:rPr>
        <w:t> </w:t>
      </w:r>
      <w:r>
        <w:rPr>
          <w:sz w:val="24"/>
        </w:rPr>
        <w:t>Федерации</w:t>
      </w:r>
      <w:r>
        <w:rPr>
          <w:spacing w:val="35"/>
          <w:sz w:val="24"/>
        </w:rPr>
        <w:t> </w:t>
      </w:r>
      <w:r>
        <w:rPr>
          <w:sz w:val="24"/>
        </w:rPr>
        <w:t>от</w:t>
      </w:r>
      <w:r>
        <w:rPr>
          <w:spacing w:val="35"/>
          <w:sz w:val="24"/>
        </w:rPr>
        <w:t> </w:t>
      </w:r>
      <w:r>
        <w:rPr>
          <w:sz w:val="24"/>
        </w:rPr>
        <w:t>28.02.2019</w:t>
      </w:r>
      <w:r>
        <w:rPr>
          <w:spacing w:val="35"/>
          <w:sz w:val="24"/>
        </w:rPr>
        <w:t> </w:t>
      </w:r>
      <w:r>
        <w:rPr>
          <w:sz w:val="24"/>
        </w:rPr>
        <w:t>№</w:t>
      </w:r>
      <w:r>
        <w:rPr>
          <w:spacing w:val="35"/>
          <w:sz w:val="24"/>
        </w:rPr>
        <w:t> </w:t>
      </w:r>
      <w:r>
        <w:rPr>
          <w:spacing w:val="-4"/>
          <w:sz w:val="24"/>
        </w:rPr>
        <w:t>103н</w:t>
      </w:r>
    </w:p>
    <w:p>
      <w:pPr>
        <w:pStyle w:val="BodyText"/>
        <w:spacing w:line="360" w:lineRule="auto" w:before="137"/>
        <w:ind w:left="1261" w:right="567"/>
        <w:jc w:val="both"/>
      </w:pPr>
      <w:r>
        <w:rPr/>
        <w:t>«Об утверждении порядка и сроков разработки клинических рекомендаций, их пересмотра, типовой формы клинических рекомендаций и требований к их структуре, составу и научной обоснованности включаемой в клинические рекомендации информации» (Зарегистрирован 08.05.2019 № 54588)</w:t>
      </w:r>
    </w:p>
    <w:p>
      <w:pPr>
        <w:pStyle w:val="BodyText"/>
        <w:spacing w:before="1"/>
        <w:ind w:left="0"/>
        <w:rPr>
          <w:sz w:val="36"/>
        </w:rPr>
      </w:pPr>
    </w:p>
    <w:p>
      <w:pPr>
        <w:pStyle w:val="Heading3"/>
        <w:spacing w:line="360" w:lineRule="auto"/>
        <w:ind w:right="619"/>
        <w:jc w:val="both"/>
      </w:pPr>
      <w:r>
        <w:rPr/>
        <w:t>Таблица</w:t>
      </w:r>
      <w:r>
        <w:rPr>
          <w:spacing w:val="-5"/>
        </w:rPr>
        <w:t> </w:t>
      </w:r>
      <w:r>
        <w:rPr/>
        <w:t>А3.1.</w:t>
      </w:r>
      <w:r>
        <w:rPr>
          <w:spacing w:val="-5"/>
        </w:rPr>
        <w:t> </w:t>
      </w:r>
      <w:r>
        <w:rPr/>
        <w:t>Классификация</w:t>
      </w:r>
      <w:r>
        <w:rPr>
          <w:spacing w:val="-8"/>
        </w:rPr>
        <w:t> </w:t>
      </w:r>
      <w:r>
        <w:rPr/>
        <w:t>дислипидемий</w:t>
      </w:r>
      <w:r>
        <w:rPr>
          <w:spacing w:val="-5"/>
        </w:rPr>
        <w:t> </w:t>
      </w:r>
      <w:r>
        <w:rPr/>
        <w:t>(ВОЗ,</w:t>
      </w:r>
      <w:r>
        <w:rPr>
          <w:spacing w:val="-5"/>
        </w:rPr>
        <w:t> </w:t>
      </w:r>
      <w:r>
        <w:rPr/>
        <w:t>адаптировано</w:t>
      </w:r>
      <w:r>
        <w:rPr>
          <w:spacing w:val="-5"/>
        </w:rPr>
        <w:t> </w:t>
      </w:r>
      <w:r>
        <w:rPr/>
        <w:t>из</w:t>
      </w:r>
      <w:r>
        <w:rPr>
          <w:spacing w:val="-6"/>
        </w:rPr>
        <w:t> </w:t>
      </w:r>
      <w:r>
        <w:rPr/>
        <w:t>классификации </w:t>
      </w:r>
      <w:r>
        <w:rPr>
          <w:spacing w:val="-2"/>
        </w:rPr>
        <w:t>Fredrickson)</w:t>
      </w:r>
    </w:p>
    <w:tbl>
      <w:tblPr>
        <w:tblW w:w="0" w:type="auto"/>
        <w:jc w:val="left"/>
        <w:tblInd w:w="12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16"/>
        <w:gridCol w:w="545"/>
        <w:gridCol w:w="2991"/>
        <w:gridCol w:w="1225"/>
        <w:gridCol w:w="1371"/>
        <w:gridCol w:w="1073"/>
        <w:gridCol w:w="1231"/>
      </w:tblGrid>
      <w:tr>
        <w:trPr>
          <w:trHeight w:val="1523" w:hRule="atLeast"/>
        </w:trPr>
        <w:tc>
          <w:tcPr>
            <w:tcW w:w="1361" w:type="dxa"/>
            <w:gridSpan w:val="2"/>
          </w:tcPr>
          <w:p>
            <w:pPr>
              <w:pStyle w:val="TableParagraph"/>
              <w:spacing w:before="71"/>
              <w:ind w:left="196"/>
              <w:rPr>
                <w:b/>
                <w:sz w:val="24"/>
              </w:rPr>
            </w:pPr>
            <w:r>
              <w:rPr>
                <w:b/>
                <w:spacing w:val="-2"/>
                <w:sz w:val="24"/>
              </w:rPr>
              <w:t>Фенотип</w:t>
            </w:r>
          </w:p>
        </w:tc>
        <w:tc>
          <w:tcPr>
            <w:tcW w:w="2991" w:type="dxa"/>
          </w:tcPr>
          <w:p>
            <w:pPr>
              <w:pStyle w:val="TableParagraph"/>
              <w:spacing w:before="71"/>
              <w:ind w:left="990"/>
              <w:rPr>
                <w:b/>
                <w:sz w:val="24"/>
              </w:rPr>
            </w:pPr>
            <w:r>
              <w:rPr>
                <w:b/>
                <w:spacing w:val="-2"/>
                <w:sz w:val="24"/>
              </w:rPr>
              <w:t>Синоним</w:t>
            </w:r>
          </w:p>
        </w:tc>
        <w:tc>
          <w:tcPr>
            <w:tcW w:w="1225" w:type="dxa"/>
          </w:tcPr>
          <w:p>
            <w:pPr>
              <w:pStyle w:val="TableParagraph"/>
              <w:spacing w:before="71"/>
              <w:ind w:left="6"/>
              <w:jc w:val="center"/>
              <w:rPr>
                <w:b/>
                <w:sz w:val="24"/>
              </w:rPr>
            </w:pPr>
            <w:r>
              <w:rPr>
                <w:b/>
                <w:spacing w:val="-2"/>
                <w:sz w:val="24"/>
              </w:rPr>
              <w:t>Повышени </w:t>
            </w:r>
            <w:r>
              <w:rPr>
                <w:b/>
                <w:sz w:val="24"/>
              </w:rPr>
              <w:t>е уровня </w:t>
            </w:r>
            <w:r>
              <w:rPr>
                <w:b/>
                <w:spacing w:val="-2"/>
                <w:sz w:val="24"/>
              </w:rPr>
              <w:t>липопроте </w:t>
            </w:r>
            <w:r>
              <w:rPr>
                <w:b/>
                <w:spacing w:val="-4"/>
                <w:sz w:val="24"/>
              </w:rPr>
              <w:t>идов </w:t>
            </w:r>
            <w:r>
              <w:rPr>
                <w:b/>
                <w:spacing w:val="-2"/>
                <w:sz w:val="24"/>
              </w:rPr>
              <w:t>плазмы</w:t>
            </w:r>
          </w:p>
        </w:tc>
        <w:tc>
          <w:tcPr>
            <w:tcW w:w="1371" w:type="dxa"/>
          </w:tcPr>
          <w:p>
            <w:pPr>
              <w:pStyle w:val="TableParagraph"/>
              <w:spacing w:before="71"/>
              <w:ind w:left="24" w:right="18"/>
              <w:jc w:val="center"/>
              <w:rPr>
                <w:b/>
                <w:sz w:val="24"/>
              </w:rPr>
            </w:pPr>
            <w:r>
              <w:rPr>
                <w:b/>
                <w:spacing w:val="-2"/>
                <w:sz w:val="24"/>
              </w:rPr>
              <w:t>Повышение уровня липидов плазмы</w:t>
            </w:r>
          </w:p>
        </w:tc>
        <w:tc>
          <w:tcPr>
            <w:tcW w:w="1073" w:type="dxa"/>
          </w:tcPr>
          <w:p>
            <w:pPr>
              <w:pStyle w:val="TableParagraph"/>
              <w:spacing w:before="71"/>
              <w:ind w:left="227" w:right="24" w:hanging="197"/>
              <w:rPr>
                <w:b/>
                <w:sz w:val="24"/>
              </w:rPr>
            </w:pPr>
            <w:r>
              <w:rPr>
                <w:b/>
                <w:spacing w:val="-2"/>
                <w:sz w:val="24"/>
              </w:rPr>
              <w:t>Атероген ность</w:t>
            </w:r>
          </w:p>
        </w:tc>
        <w:tc>
          <w:tcPr>
            <w:tcW w:w="1231" w:type="dxa"/>
          </w:tcPr>
          <w:p>
            <w:pPr>
              <w:pStyle w:val="TableParagraph"/>
              <w:spacing w:before="71"/>
              <w:ind w:left="318" w:right="162" w:hanging="144"/>
              <w:rPr>
                <w:b/>
                <w:sz w:val="24"/>
              </w:rPr>
            </w:pPr>
            <w:r>
              <w:rPr>
                <w:b/>
                <w:spacing w:val="-2"/>
                <w:sz w:val="24"/>
              </w:rPr>
              <w:t>Частота </w:t>
            </w:r>
            <w:r>
              <w:rPr>
                <w:b/>
                <w:sz w:val="24"/>
              </w:rPr>
              <w:t>(%) в</w:t>
            </w:r>
          </w:p>
          <w:p>
            <w:pPr>
              <w:pStyle w:val="TableParagraph"/>
              <w:ind w:left="196" w:right="176" w:hanging="12"/>
              <w:rPr>
                <w:b/>
                <w:sz w:val="24"/>
              </w:rPr>
            </w:pPr>
            <w:r>
              <w:rPr>
                <w:b/>
                <w:spacing w:val="-2"/>
                <w:sz w:val="24"/>
              </w:rPr>
              <w:t>структу </w:t>
            </w:r>
            <w:r>
              <w:rPr>
                <w:b/>
                <w:sz w:val="24"/>
              </w:rPr>
              <w:t>ре</w:t>
            </w:r>
            <w:r>
              <w:rPr>
                <w:b/>
                <w:spacing w:val="-1"/>
                <w:sz w:val="24"/>
              </w:rPr>
              <w:t> </w:t>
            </w:r>
            <w:r>
              <w:rPr>
                <w:b/>
                <w:spacing w:val="-5"/>
                <w:sz w:val="24"/>
              </w:rPr>
              <w:t>ДЛП</w:t>
            </w:r>
          </w:p>
        </w:tc>
      </w:tr>
      <w:tr>
        <w:trPr>
          <w:trHeight w:val="1247" w:hRule="atLeast"/>
        </w:trPr>
        <w:tc>
          <w:tcPr>
            <w:tcW w:w="816" w:type="dxa"/>
            <w:vMerge w:val="restart"/>
          </w:tcPr>
          <w:p>
            <w:pPr>
              <w:pStyle w:val="TableParagraph"/>
              <w:spacing w:before="71"/>
              <w:ind w:left="7"/>
              <w:jc w:val="center"/>
              <w:rPr>
                <w:sz w:val="24"/>
              </w:rPr>
            </w:pPr>
            <w:r>
              <w:rPr>
                <w:sz w:val="24"/>
              </w:rPr>
              <w:t>I</w:t>
            </w:r>
          </w:p>
        </w:tc>
        <w:tc>
          <w:tcPr>
            <w:tcW w:w="545" w:type="dxa"/>
          </w:tcPr>
          <w:p>
            <w:pPr>
              <w:pStyle w:val="TableParagraph"/>
              <w:spacing w:before="71"/>
              <w:ind w:left="0" w:right="208"/>
              <w:jc w:val="right"/>
              <w:rPr>
                <w:sz w:val="24"/>
              </w:rPr>
            </w:pPr>
            <w:r>
              <w:rPr>
                <w:sz w:val="24"/>
              </w:rPr>
              <w:t>a</w:t>
            </w:r>
          </w:p>
        </w:tc>
        <w:tc>
          <w:tcPr>
            <w:tcW w:w="2991" w:type="dxa"/>
          </w:tcPr>
          <w:p>
            <w:pPr>
              <w:pStyle w:val="TableParagraph"/>
              <w:spacing w:before="71"/>
              <w:ind w:left="297" w:right="286" w:firstLine="1"/>
              <w:jc w:val="center"/>
              <w:rPr>
                <w:sz w:val="24"/>
              </w:rPr>
            </w:pPr>
            <w:r>
              <w:rPr>
                <w:spacing w:val="-2"/>
                <w:sz w:val="24"/>
              </w:rPr>
              <w:t>Наследственная гиперхиломикронемия, дефицит липопротеинлипазы</w:t>
            </w:r>
          </w:p>
        </w:tc>
        <w:tc>
          <w:tcPr>
            <w:tcW w:w="1225" w:type="dxa"/>
            <w:vMerge w:val="restart"/>
          </w:tcPr>
          <w:p>
            <w:pPr>
              <w:pStyle w:val="TableParagraph"/>
              <w:spacing w:before="71"/>
              <w:ind w:left="3"/>
              <w:jc w:val="center"/>
              <w:rPr>
                <w:sz w:val="24"/>
              </w:rPr>
            </w:pPr>
            <w:r>
              <w:rPr>
                <w:spacing w:val="-5"/>
                <w:sz w:val="24"/>
              </w:rPr>
              <w:t>ХМ</w:t>
            </w:r>
          </w:p>
        </w:tc>
        <w:tc>
          <w:tcPr>
            <w:tcW w:w="1371" w:type="dxa"/>
            <w:vMerge w:val="restart"/>
          </w:tcPr>
          <w:p>
            <w:pPr>
              <w:pStyle w:val="TableParagraph"/>
              <w:spacing w:before="71"/>
              <w:ind w:left="22" w:right="18"/>
              <w:jc w:val="center"/>
              <w:rPr>
                <w:sz w:val="24"/>
              </w:rPr>
            </w:pPr>
            <w:r>
              <w:rPr>
                <w:spacing w:val="-5"/>
                <w:sz w:val="24"/>
              </w:rPr>
              <w:t>ТГ</w:t>
            </w:r>
          </w:p>
        </w:tc>
        <w:tc>
          <w:tcPr>
            <w:tcW w:w="1073" w:type="dxa"/>
            <w:vMerge w:val="restart"/>
          </w:tcPr>
          <w:p>
            <w:pPr>
              <w:pStyle w:val="TableParagraph"/>
              <w:spacing w:before="71"/>
              <w:ind w:left="3"/>
              <w:jc w:val="center"/>
              <w:rPr>
                <w:sz w:val="24"/>
              </w:rPr>
            </w:pPr>
            <w:r>
              <w:rPr>
                <w:sz w:val="24"/>
              </w:rPr>
              <w:t>?</w:t>
            </w:r>
          </w:p>
        </w:tc>
        <w:tc>
          <w:tcPr>
            <w:tcW w:w="1231" w:type="dxa"/>
            <w:vMerge w:val="restart"/>
          </w:tcPr>
          <w:p>
            <w:pPr>
              <w:pStyle w:val="TableParagraph"/>
              <w:spacing w:before="71"/>
              <w:ind w:left="468" w:right="467"/>
              <w:jc w:val="center"/>
              <w:rPr>
                <w:sz w:val="24"/>
              </w:rPr>
            </w:pPr>
            <w:r>
              <w:rPr>
                <w:spacing w:val="-5"/>
                <w:sz w:val="24"/>
              </w:rPr>
              <w:t>&lt;1</w:t>
            </w:r>
          </w:p>
        </w:tc>
      </w:tr>
      <w:tr>
        <w:trPr>
          <w:trHeight w:val="695" w:hRule="atLeast"/>
        </w:trPr>
        <w:tc>
          <w:tcPr>
            <w:tcW w:w="816" w:type="dxa"/>
            <w:vMerge/>
            <w:tcBorders>
              <w:top w:val="nil"/>
            </w:tcBorders>
          </w:tcPr>
          <w:p>
            <w:pPr>
              <w:rPr>
                <w:sz w:val="2"/>
                <w:szCs w:val="2"/>
              </w:rPr>
            </w:pPr>
          </w:p>
        </w:tc>
        <w:tc>
          <w:tcPr>
            <w:tcW w:w="545" w:type="dxa"/>
          </w:tcPr>
          <w:p>
            <w:pPr>
              <w:pStyle w:val="TableParagraph"/>
              <w:spacing w:before="71"/>
              <w:ind w:left="0" w:right="201"/>
              <w:jc w:val="right"/>
              <w:rPr>
                <w:sz w:val="24"/>
              </w:rPr>
            </w:pPr>
            <w:r>
              <w:rPr>
                <w:sz w:val="24"/>
              </w:rPr>
              <w:t>b</w:t>
            </w:r>
          </w:p>
        </w:tc>
        <w:tc>
          <w:tcPr>
            <w:tcW w:w="2991" w:type="dxa"/>
          </w:tcPr>
          <w:p>
            <w:pPr>
              <w:pStyle w:val="TableParagraph"/>
              <w:spacing w:before="71"/>
              <w:ind w:left="842" w:hanging="672"/>
              <w:rPr>
                <w:sz w:val="24"/>
              </w:rPr>
            </w:pPr>
            <w:r>
              <w:rPr>
                <w:sz w:val="24"/>
              </w:rPr>
              <w:t>Наследственный</w:t>
            </w:r>
            <w:r>
              <w:rPr>
                <w:spacing w:val="-15"/>
                <w:sz w:val="24"/>
              </w:rPr>
              <w:t> </w:t>
            </w:r>
            <w:r>
              <w:rPr>
                <w:sz w:val="24"/>
              </w:rPr>
              <w:t>дефицит апобелка CII</w:t>
            </w:r>
          </w:p>
        </w:tc>
        <w:tc>
          <w:tcPr>
            <w:tcW w:w="1225" w:type="dxa"/>
            <w:vMerge/>
            <w:tcBorders>
              <w:top w:val="nil"/>
            </w:tcBorders>
          </w:tcPr>
          <w:p>
            <w:pPr>
              <w:rPr>
                <w:sz w:val="2"/>
                <w:szCs w:val="2"/>
              </w:rPr>
            </w:pPr>
          </w:p>
        </w:tc>
        <w:tc>
          <w:tcPr>
            <w:tcW w:w="1371" w:type="dxa"/>
            <w:vMerge/>
            <w:tcBorders>
              <w:top w:val="nil"/>
            </w:tcBorders>
          </w:tcPr>
          <w:p>
            <w:pPr>
              <w:rPr>
                <w:sz w:val="2"/>
                <w:szCs w:val="2"/>
              </w:rPr>
            </w:pPr>
          </w:p>
        </w:tc>
        <w:tc>
          <w:tcPr>
            <w:tcW w:w="1073" w:type="dxa"/>
            <w:vMerge/>
            <w:tcBorders>
              <w:top w:val="nil"/>
            </w:tcBorders>
          </w:tcPr>
          <w:p>
            <w:pPr>
              <w:rPr>
                <w:sz w:val="2"/>
                <w:szCs w:val="2"/>
              </w:rPr>
            </w:pPr>
          </w:p>
        </w:tc>
        <w:tc>
          <w:tcPr>
            <w:tcW w:w="1231" w:type="dxa"/>
            <w:vMerge/>
            <w:tcBorders>
              <w:top w:val="nil"/>
            </w:tcBorders>
          </w:tcPr>
          <w:p>
            <w:pPr>
              <w:rPr>
                <w:sz w:val="2"/>
                <w:szCs w:val="2"/>
              </w:rPr>
            </w:pPr>
          </w:p>
        </w:tc>
      </w:tr>
      <w:tr>
        <w:trPr>
          <w:trHeight w:val="971" w:hRule="atLeast"/>
        </w:trPr>
        <w:tc>
          <w:tcPr>
            <w:tcW w:w="816" w:type="dxa"/>
            <w:vMerge/>
            <w:tcBorders>
              <w:top w:val="nil"/>
            </w:tcBorders>
          </w:tcPr>
          <w:p>
            <w:pPr>
              <w:rPr>
                <w:sz w:val="2"/>
                <w:szCs w:val="2"/>
              </w:rPr>
            </w:pPr>
          </w:p>
        </w:tc>
        <w:tc>
          <w:tcPr>
            <w:tcW w:w="545" w:type="dxa"/>
          </w:tcPr>
          <w:p>
            <w:pPr>
              <w:pStyle w:val="TableParagraph"/>
              <w:spacing w:before="71"/>
              <w:ind w:left="0" w:right="208"/>
              <w:jc w:val="right"/>
              <w:rPr>
                <w:sz w:val="24"/>
              </w:rPr>
            </w:pPr>
            <w:r>
              <w:rPr>
                <w:sz w:val="24"/>
              </w:rPr>
              <w:t>c</w:t>
            </w:r>
          </w:p>
        </w:tc>
        <w:tc>
          <w:tcPr>
            <w:tcW w:w="2991" w:type="dxa"/>
          </w:tcPr>
          <w:p>
            <w:pPr>
              <w:pStyle w:val="TableParagraph"/>
              <w:spacing w:before="71"/>
              <w:ind w:left="88" w:right="79"/>
              <w:jc w:val="center"/>
              <w:rPr>
                <w:sz w:val="24"/>
              </w:rPr>
            </w:pPr>
            <w:r>
              <w:rPr>
                <w:sz w:val="24"/>
              </w:rPr>
              <w:t>Гиперхиломикронемия</w:t>
            </w:r>
            <w:r>
              <w:rPr>
                <w:spacing w:val="-15"/>
                <w:sz w:val="24"/>
              </w:rPr>
              <w:t> </w:t>
            </w:r>
            <w:r>
              <w:rPr>
                <w:sz w:val="24"/>
              </w:rPr>
              <w:t>при циркуляции ингибитора </w:t>
            </w:r>
            <w:r>
              <w:rPr>
                <w:spacing w:val="-2"/>
                <w:sz w:val="24"/>
              </w:rPr>
              <w:t>Липопротеидлипазы</w:t>
            </w:r>
          </w:p>
        </w:tc>
        <w:tc>
          <w:tcPr>
            <w:tcW w:w="1225" w:type="dxa"/>
            <w:vMerge/>
            <w:tcBorders>
              <w:top w:val="nil"/>
            </w:tcBorders>
          </w:tcPr>
          <w:p>
            <w:pPr>
              <w:rPr>
                <w:sz w:val="2"/>
                <w:szCs w:val="2"/>
              </w:rPr>
            </w:pPr>
          </w:p>
        </w:tc>
        <w:tc>
          <w:tcPr>
            <w:tcW w:w="1371" w:type="dxa"/>
            <w:vMerge/>
            <w:tcBorders>
              <w:top w:val="nil"/>
            </w:tcBorders>
          </w:tcPr>
          <w:p>
            <w:pPr>
              <w:rPr>
                <w:sz w:val="2"/>
                <w:szCs w:val="2"/>
              </w:rPr>
            </w:pPr>
          </w:p>
        </w:tc>
        <w:tc>
          <w:tcPr>
            <w:tcW w:w="1073" w:type="dxa"/>
            <w:vMerge/>
            <w:tcBorders>
              <w:top w:val="nil"/>
            </w:tcBorders>
          </w:tcPr>
          <w:p>
            <w:pPr>
              <w:rPr>
                <w:sz w:val="2"/>
                <w:szCs w:val="2"/>
              </w:rPr>
            </w:pPr>
          </w:p>
        </w:tc>
        <w:tc>
          <w:tcPr>
            <w:tcW w:w="1231" w:type="dxa"/>
            <w:vMerge/>
            <w:tcBorders>
              <w:top w:val="nil"/>
            </w:tcBorders>
          </w:tcPr>
          <w:p>
            <w:pPr>
              <w:rPr>
                <w:sz w:val="2"/>
                <w:szCs w:val="2"/>
              </w:rPr>
            </w:pPr>
          </w:p>
        </w:tc>
      </w:tr>
      <w:tr>
        <w:trPr>
          <w:trHeight w:val="1247" w:hRule="atLeast"/>
        </w:trPr>
        <w:tc>
          <w:tcPr>
            <w:tcW w:w="816" w:type="dxa"/>
            <w:vMerge w:val="restart"/>
          </w:tcPr>
          <w:p>
            <w:pPr>
              <w:pStyle w:val="TableParagraph"/>
              <w:spacing w:before="71"/>
              <w:ind w:left="310" w:right="306"/>
              <w:jc w:val="center"/>
              <w:rPr>
                <w:sz w:val="24"/>
              </w:rPr>
            </w:pPr>
            <w:r>
              <w:rPr>
                <w:spacing w:val="-5"/>
                <w:sz w:val="24"/>
              </w:rPr>
              <w:t>II</w:t>
            </w:r>
          </w:p>
        </w:tc>
        <w:tc>
          <w:tcPr>
            <w:tcW w:w="545" w:type="dxa"/>
          </w:tcPr>
          <w:p>
            <w:pPr>
              <w:pStyle w:val="TableParagraph"/>
              <w:spacing w:before="71"/>
              <w:ind w:left="0" w:right="208"/>
              <w:jc w:val="right"/>
              <w:rPr>
                <w:sz w:val="24"/>
              </w:rPr>
            </w:pPr>
            <w:r>
              <w:rPr>
                <w:sz w:val="24"/>
              </w:rPr>
              <w:t>a</w:t>
            </w:r>
          </w:p>
        </w:tc>
        <w:tc>
          <w:tcPr>
            <w:tcW w:w="2991" w:type="dxa"/>
          </w:tcPr>
          <w:p>
            <w:pPr>
              <w:pStyle w:val="TableParagraph"/>
              <w:spacing w:before="71"/>
              <w:ind w:left="78" w:right="68" w:hanging="1"/>
              <w:jc w:val="center"/>
              <w:rPr>
                <w:sz w:val="24"/>
              </w:rPr>
            </w:pPr>
            <w:r>
              <w:rPr>
                <w:spacing w:val="-2"/>
                <w:sz w:val="24"/>
              </w:rPr>
              <w:t>Семейная гиперхолестеринемия, </w:t>
            </w:r>
            <w:r>
              <w:rPr>
                <w:sz w:val="24"/>
              </w:rPr>
              <w:t>полигенная</w:t>
            </w:r>
            <w:r>
              <w:rPr>
                <w:spacing w:val="-15"/>
                <w:sz w:val="24"/>
              </w:rPr>
              <w:t> </w:t>
            </w:r>
            <w:r>
              <w:rPr>
                <w:sz w:val="24"/>
              </w:rPr>
              <w:t>наследственная </w:t>
            </w:r>
            <w:r>
              <w:rPr>
                <w:spacing w:val="-2"/>
                <w:sz w:val="24"/>
              </w:rPr>
              <w:t>гиперхолестеринемия</w:t>
            </w:r>
          </w:p>
        </w:tc>
        <w:tc>
          <w:tcPr>
            <w:tcW w:w="1225" w:type="dxa"/>
          </w:tcPr>
          <w:p>
            <w:pPr>
              <w:pStyle w:val="TableParagraph"/>
              <w:spacing w:before="71"/>
              <w:ind w:left="356"/>
              <w:rPr>
                <w:sz w:val="24"/>
              </w:rPr>
            </w:pPr>
            <w:r>
              <w:rPr>
                <w:spacing w:val="-5"/>
                <w:sz w:val="24"/>
              </w:rPr>
              <w:t>ЛНП</w:t>
            </w:r>
          </w:p>
        </w:tc>
        <w:tc>
          <w:tcPr>
            <w:tcW w:w="1371" w:type="dxa"/>
          </w:tcPr>
          <w:p>
            <w:pPr>
              <w:pStyle w:val="TableParagraph"/>
              <w:spacing w:before="71"/>
              <w:ind w:left="22" w:right="18"/>
              <w:jc w:val="center"/>
              <w:rPr>
                <w:sz w:val="24"/>
              </w:rPr>
            </w:pPr>
            <w:r>
              <w:rPr>
                <w:spacing w:val="-5"/>
                <w:sz w:val="24"/>
              </w:rPr>
              <w:t>ХС</w:t>
            </w:r>
          </w:p>
        </w:tc>
        <w:tc>
          <w:tcPr>
            <w:tcW w:w="1073" w:type="dxa"/>
          </w:tcPr>
          <w:p>
            <w:pPr>
              <w:pStyle w:val="TableParagraph"/>
              <w:spacing w:before="71"/>
              <w:ind w:left="331"/>
              <w:rPr>
                <w:sz w:val="24"/>
              </w:rPr>
            </w:pPr>
            <w:r>
              <w:rPr>
                <w:spacing w:val="-5"/>
                <w:sz w:val="24"/>
              </w:rPr>
              <w:t>+++</w:t>
            </w:r>
          </w:p>
        </w:tc>
        <w:tc>
          <w:tcPr>
            <w:tcW w:w="1231" w:type="dxa"/>
          </w:tcPr>
          <w:p>
            <w:pPr>
              <w:pStyle w:val="TableParagraph"/>
              <w:spacing w:before="71"/>
              <w:ind w:left="468" w:right="466"/>
              <w:jc w:val="center"/>
              <w:rPr>
                <w:sz w:val="24"/>
              </w:rPr>
            </w:pPr>
            <w:r>
              <w:rPr>
                <w:spacing w:val="-5"/>
                <w:sz w:val="24"/>
              </w:rPr>
              <w:t>10</w:t>
            </w:r>
          </w:p>
        </w:tc>
      </w:tr>
      <w:tr>
        <w:trPr>
          <w:trHeight w:val="697" w:hRule="atLeast"/>
        </w:trPr>
        <w:tc>
          <w:tcPr>
            <w:tcW w:w="816" w:type="dxa"/>
            <w:vMerge/>
            <w:tcBorders>
              <w:top w:val="nil"/>
            </w:tcBorders>
          </w:tcPr>
          <w:p>
            <w:pPr>
              <w:rPr>
                <w:sz w:val="2"/>
                <w:szCs w:val="2"/>
              </w:rPr>
            </w:pPr>
          </w:p>
        </w:tc>
        <w:tc>
          <w:tcPr>
            <w:tcW w:w="545" w:type="dxa"/>
          </w:tcPr>
          <w:p>
            <w:pPr>
              <w:pStyle w:val="TableParagraph"/>
              <w:spacing w:before="73"/>
              <w:ind w:left="0" w:right="201"/>
              <w:jc w:val="right"/>
              <w:rPr>
                <w:sz w:val="24"/>
              </w:rPr>
            </w:pPr>
            <w:r>
              <w:rPr>
                <w:sz w:val="24"/>
              </w:rPr>
              <w:t>b</w:t>
            </w:r>
          </w:p>
        </w:tc>
        <w:tc>
          <w:tcPr>
            <w:tcW w:w="2991" w:type="dxa"/>
          </w:tcPr>
          <w:p>
            <w:pPr>
              <w:pStyle w:val="TableParagraph"/>
              <w:spacing w:before="73"/>
              <w:ind w:left="642" w:hanging="84"/>
              <w:rPr>
                <w:sz w:val="24"/>
              </w:rPr>
            </w:pPr>
            <w:r>
              <w:rPr>
                <w:spacing w:val="-2"/>
                <w:sz w:val="24"/>
              </w:rPr>
              <w:t>Комбинированная гиперлипидемия</w:t>
            </w:r>
          </w:p>
        </w:tc>
        <w:tc>
          <w:tcPr>
            <w:tcW w:w="1225" w:type="dxa"/>
          </w:tcPr>
          <w:p>
            <w:pPr>
              <w:pStyle w:val="TableParagraph"/>
              <w:spacing w:before="73"/>
              <w:ind w:left="270" w:right="258" w:firstLine="55"/>
              <w:rPr>
                <w:sz w:val="24"/>
              </w:rPr>
            </w:pPr>
            <w:r>
              <w:rPr>
                <w:spacing w:val="-4"/>
                <w:sz w:val="24"/>
              </w:rPr>
              <w:t>ЛНП, ЛОНП</w:t>
            </w:r>
          </w:p>
        </w:tc>
        <w:tc>
          <w:tcPr>
            <w:tcW w:w="1371" w:type="dxa"/>
          </w:tcPr>
          <w:p>
            <w:pPr>
              <w:pStyle w:val="TableParagraph"/>
              <w:spacing w:before="73"/>
              <w:ind w:left="24" w:right="17"/>
              <w:jc w:val="center"/>
              <w:rPr>
                <w:sz w:val="24"/>
              </w:rPr>
            </w:pPr>
            <w:r>
              <w:rPr>
                <w:sz w:val="24"/>
              </w:rPr>
              <w:t>ХС</w:t>
            </w:r>
            <w:r>
              <w:rPr>
                <w:spacing w:val="-1"/>
                <w:sz w:val="24"/>
              </w:rPr>
              <w:t> </w:t>
            </w:r>
            <w:r>
              <w:rPr>
                <w:sz w:val="24"/>
              </w:rPr>
              <w:t>и</w:t>
            </w:r>
            <w:r>
              <w:rPr>
                <w:spacing w:val="1"/>
                <w:sz w:val="24"/>
              </w:rPr>
              <w:t> </w:t>
            </w:r>
            <w:r>
              <w:rPr>
                <w:spacing w:val="-5"/>
                <w:sz w:val="24"/>
              </w:rPr>
              <w:t>ТГ</w:t>
            </w:r>
          </w:p>
        </w:tc>
        <w:tc>
          <w:tcPr>
            <w:tcW w:w="1073" w:type="dxa"/>
          </w:tcPr>
          <w:p>
            <w:pPr>
              <w:pStyle w:val="TableParagraph"/>
              <w:spacing w:before="73"/>
              <w:ind w:left="331"/>
              <w:rPr>
                <w:sz w:val="24"/>
              </w:rPr>
            </w:pPr>
            <w:r>
              <w:rPr>
                <w:spacing w:val="-5"/>
                <w:sz w:val="24"/>
              </w:rPr>
              <w:t>+++</w:t>
            </w:r>
          </w:p>
        </w:tc>
        <w:tc>
          <w:tcPr>
            <w:tcW w:w="1231" w:type="dxa"/>
          </w:tcPr>
          <w:p>
            <w:pPr>
              <w:pStyle w:val="TableParagraph"/>
              <w:spacing w:before="73"/>
              <w:ind w:left="468" w:right="466"/>
              <w:jc w:val="center"/>
              <w:rPr>
                <w:sz w:val="24"/>
              </w:rPr>
            </w:pPr>
            <w:r>
              <w:rPr>
                <w:spacing w:val="-5"/>
                <w:sz w:val="24"/>
              </w:rPr>
              <w:t>40</w:t>
            </w:r>
          </w:p>
        </w:tc>
      </w:tr>
      <w:tr>
        <w:trPr>
          <w:trHeight w:val="695" w:hRule="atLeast"/>
        </w:trPr>
        <w:tc>
          <w:tcPr>
            <w:tcW w:w="1361" w:type="dxa"/>
            <w:gridSpan w:val="2"/>
          </w:tcPr>
          <w:p>
            <w:pPr>
              <w:pStyle w:val="TableParagraph"/>
              <w:spacing w:before="71"/>
              <w:ind w:left="535" w:right="531"/>
              <w:jc w:val="center"/>
              <w:rPr>
                <w:sz w:val="24"/>
              </w:rPr>
            </w:pPr>
            <w:r>
              <w:rPr>
                <w:spacing w:val="-5"/>
                <w:sz w:val="24"/>
              </w:rPr>
              <w:t>III</w:t>
            </w:r>
          </w:p>
        </w:tc>
        <w:tc>
          <w:tcPr>
            <w:tcW w:w="2991" w:type="dxa"/>
          </w:tcPr>
          <w:p>
            <w:pPr>
              <w:pStyle w:val="TableParagraph"/>
              <w:spacing w:before="71"/>
              <w:ind w:left="582" w:right="194" w:hanging="377"/>
              <w:rPr>
                <w:sz w:val="24"/>
              </w:rPr>
            </w:pPr>
            <w:r>
              <w:rPr>
                <w:sz w:val="24"/>
              </w:rPr>
              <w:t>Наследственная</w:t>
            </w:r>
            <w:r>
              <w:rPr>
                <w:spacing w:val="-15"/>
                <w:sz w:val="24"/>
              </w:rPr>
              <w:t> </w:t>
            </w:r>
            <w:r>
              <w:rPr>
                <w:sz w:val="24"/>
              </w:rPr>
              <w:t>дисбета- </w:t>
            </w:r>
            <w:r>
              <w:rPr>
                <w:spacing w:val="-2"/>
                <w:sz w:val="24"/>
              </w:rPr>
              <w:t>липопротеидемия</w:t>
            </w:r>
          </w:p>
        </w:tc>
        <w:tc>
          <w:tcPr>
            <w:tcW w:w="1225" w:type="dxa"/>
          </w:tcPr>
          <w:p>
            <w:pPr>
              <w:pStyle w:val="TableParagraph"/>
              <w:spacing w:before="71"/>
              <w:ind w:left="356"/>
              <w:rPr>
                <w:sz w:val="24"/>
              </w:rPr>
            </w:pPr>
            <w:r>
              <w:rPr>
                <w:spacing w:val="-5"/>
                <w:sz w:val="24"/>
              </w:rPr>
              <w:t>ЛПП</w:t>
            </w:r>
          </w:p>
        </w:tc>
        <w:tc>
          <w:tcPr>
            <w:tcW w:w="1371" w:type="dxa"/>
          </w:tcPr>
          <w:p>
            <w:pPr>
              <w:pStyle w:val="TableParagraph"/>
              <w:spacing w:before="71"/>
              <w:ind w:left="24" w:right="17"/>
              <w:jc w:val="center"/>
              <w:rPr>
                <w:sz w:val="24"/>
              </w:rPr>
            </w:pPr>
            <w:r>
              <w:rPr>
                <w:sz w:val="24"/>
              </w:rPr>
              <w:t>ТГ</w:t>
            </w:r>
            <w:r>
              <w:rPr>
                <w:spacing w:val="-1"/>
                <w:sz w:val="24"/>
              </w:rPr>
              <w:t> </w:t>
            </w:r>
            <w:r>
              <w:rPr>
                <w:sz w:val="24"/>
              </w:rPr>
              <w:t>и</w:t>
            </w:r>
            <w:r>
              <w:rPr>
                <w:spacing w:val="1"/>
                <w:sz w:val="24"/>
              </w:rPr>
              <w:t> </w:t>
            </w:r>
            <w:r>
              <w:rPr>
                <w:spacing w:val="-5"/>
                <w:sz w:val="24"/>
              </w:rPr>
              <w:t>ХС</w:t>
            </w:r>
          </w:p>
        </w:tc>
        <w:tc>
          <w:tcPr>
            <w:tcW w:w="1073" w:type="dxa"/>
          </w:tcPr>
          <w:p>
            <w:pPr>
              <w:pStyle w:val="TableParagraph"/>
              <w:spacing w:before="71"/>
              <w:ind w:left="331"/>
              <w:rPr>
                <w:sz w:val="24"/>
              </w:rPr>
            </w:pPr>
            <w:r>
              <w:rPr>
                <w:spacing w:val="-5"/>
                <w:sz w:val="24"/>
              </w:rPr>
              <w:t>+++</w:t>
            </w:r>
          </w:p>
        </w:tc>
        <w:tc>
          <w:tcPr>
            <w:tcW w:w="1231" w:type="dxa"/>
          </w:tcPr>
          <w:p>
            <w:pPr>
              <w:pStyle w:val="TableParagraph"/>
              <w:spacing w:before="71"/>
              <w:ind w:left="468" w:right="467"/>
              <w:jc w:val="center"/>
              <w:rPr>
                <w:sz w:val="24"/>
              </w:rPr>
            </w:pPr>
            <w:r>
              <w:rPr>
                <w:spacing w:val="-5"/>
                <w:sz w:val="24"/>
              </w:rPr>
              <w:t>&lt;1</w:t>
            </w:r>
          </w:p>
        </w:tc>
      </w:tr>
    </w:tbl>
    <w:p>
      <w:pPr>
        <w:spacing w:after="0"/>
        <w:jc w:val="center"/>
        <w:rPr>
          <w:sz w:val="24"/>
        </w:rPr>
        <w:sectPr>
          <w:pgSz w:w="11910" w:h="16840"/>
          <w:pgMar w:header="0" w:footer="710" w:top="1460" w:bottom="1183" w:left="440" w:right="280"/>
        </w:sectPr>
      </w:pPr>
    </w:p>
    <w:tbl>
      <w:tblPr>
        <w:tblW w:w="0" w:type="auto"/>
        <w:jc w:val="left"/>
        <w:tblInd w:w="12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61"/>
        <w:gridCol w:w="2991"/>
        <w:gridCol w:w="1225"/>
        <w:gridCol w:w="1371"/>
        <w:gridCol w:w="1073"/>
        <w:gridCol w:w="1231"/>
      </w:tblGrid>
      <w:tr>
        <w:trPr>
          <w:trHeight w:val="697" w:hRule="atLeast"/>
        </w:trPr>
        <w:tc>
          <w:tcPr>
            <w:tcW w:w="1361" w:type="dxa"/>
          </w:tcPr>
          <w:p>
            <w:pPr>
              <w:pStyle w:val="TableParagraph"/>
              <w:spacing w:before="73"/>
              <w:ind w:left="535" w:right="531"/>
              <w:jc w:val="center"/>
              <w:rPr>
                <w:sz w:val="24"/>
              </w:rPr>
            </w:pPr>
            <w:r>
              <w:rPr>
                <w:spacing w:val="-5"/>
                <w:sz w:val="24"/>
              </w:rPr>
              <w:t>IV</w:t>
            </w:r>
          </w:p>
        </w:tc>
        <w:tc>
          <w:tcPr>
            <w:tcW w:w="2991" w:type="dxa"/>
          </w:tcPr>
          <w:p>
            <w:pPr>
              <w:pStyle w:val="TableParagraph"/>
              <w:spacing w:before="73"/>
              <w:ind w:left="302" w:firstLine="374"/>
              <w:rPr>
                <w:sz w:val="24"/>
              </w:rPr>
            </w:pPr>
            <w:r>
              <w:rPr>
                <w:spacing w:val="-2"/>
                <w:sz w:val="24"/>
              </w:rPr>
              <w:t>Наследственная гипертриглицеридемия</w:t>
            </w:r>
          </w:p>
        </w:tc>
        <w:tc>
          <w:tcPr>
            <w:tcW w:w="1225" w:type="dxa"/>
          </w:tcPr>
          <w:p>
            <w:pPr>
              <w:pStyle w:val="TableParagraph"/>
              <w:spacing w:before="73"/>
              <w:ind w:left="270"/>
              <w:rPr>
                <w:sz w:val="24"/>
              </w:rPr>
            </w:pPr>
            <w:r>
              <w:rPr>
                <w:spacing w:val="-4"/>
                <w:sz w:val="24"/>
              </w:rPr>
              <w:t>ЛОНП</w:t>
            </w:r>
          </w:p>
        </w:tc>
        <w:tc>
          <w:tcPr>
            <w:tcW w:w="1371" w:type="dxa"/>
          </w:tcPr>
          <w:p>
            <w:pPr>
              <w:pStyle w:val="TableParagraph"/>
              <w:spacing w:before="73"/>
              <w:ind w:left="22" w:right="18"/>
              <w:jc w:val="center"/>
              <w:rPr>
                <w:sz w:val="24"/>
              </w:rPr>
            </w:pPr>
            <w:r>
              <w:rPr>
                <w:spacing w:val="-5"/>
                <w:sz w:val="24"/>
              </w:rPr>
              <w:t>ТГ</w:t>
            </w:r>
          </w:p>
        </w:tc>
        <w:tc>
          <w:tcPr>
            <w:tcW w:w="1073" w:type="dxa"/>
          </w:tcPr>
          <w:p>
            <w:pPr>
              <w:pStyle w:val="TableParagraph"/>
              <w:spacing w:before="73"/>
              <w:ind w:left="3"/>
              <w:jc w:val="center"/>
              <w:rPr>
                <w:sz w:val="24"/>
              </w:rPr>
            </w:pPr>
            <w:r>
              <w:rPr>
                <w:sz w:val="24"/>
              </w:rPr>
              <w:t>+</w:t>
            </w:r>
          </w:p>
        </w:tc>
        <w:tc>
          <w:tcPr>
            <w:tcW w:w="1231" w:type="dxa"/>
          </w:tcPr>
          <w:p>
            <w:pPr>
              <w:pStyle w:val="TableParagraph"/>
              <w:spacing w:before="73"/>
              <w:ind w:left="468" w:right="466"/>
              <w:jc w:val="center"/>
              <w:rPr>
                <w:sz w:val="24"/>
              </w:rPr>
            </w:pPr>
            <w:r>
              <w:rPr>
                <w:spacing w:val="-5"/>
                <w:sz w:val="24"/>
              </w:rPr>
              <w:t>45</w:t>
            </w:r>
          </w:p>
        </w:tc>
      </w:tr>
      <w:tr>
        <w:trPr>
          <w:trHeight w:val="695" w:hRule="atLeast"/>
        </w:trPr>
        <w:tc>
          <w:tcPr>
            <w:tcW w:w="1361" w:type="dxa"/>
          </w:tcPr>
          <w:p>
            <w:pPr>
              <w:pStyle w:val="TableParagraph"/>
              <w:spacing w:before="71"/>
              <w:ind w:left="7"/>
              <w:jc w:val="center"/>
              <w:rPr>
                <w:sz w:val="24"/>
              </w:rPr>
            </w:pPr>
            <w:r>
              <w:rPr>
                <w:sz w:val="24"/>
              </w:rPr>
              <w:t>V</w:t>
            </w:r>
          </w:p>
        </w:tc>
        <w:tc>
          <w:tcPr>
            <w:tcW w:w="2991" w:type="dxa"/>
          </w:tcPr>
          <w:p>
            <w:pPr>
              <w:pStyle w:val="TableParagraph"/>
              <w:spacing w:before="71"/>
              <w:ind w:left="642" w:firstLine="261"/>
              <w:rPr>
                <w:sz w:val="24"/>
              </w:rPr>
            </w:pPr>
            <w:r>
              <w:rPr>
                <w:spacing w:val="-2"/>
                <w:sz w:val="24"/>
              </w:rPr>
              <w:t>Смешанная гиперлипидемия</w:t>
            </w:r>
          </w:p>
        </w:tc>
        <w:tc>
          <w:tcPr>
            <w:tcW w:w="1225" w:type="dxa"/>
          </w:tcPr>
          <w:p>
            <w:pPr>
              <w:pStyle w:val="TableParagraph"/>
              <w:spacing w:before="71"/>
              <w:ind w:left="270" w:right="258" w:firstLine="117"/>
              <w:rPr>
                <w:sz w:val="24"/>
              </w:rPr>
            </w:pPr>
            <w:r>
              <w:rPr>
                <w:spacing w:val="-4"/>
                <w:sz w:val="24"/>
              </w:rPr>
              <w:t>ХМ, ЛОНП</w:t>
            </w:r>
          </w:p>
        </w:tc>
        <w:tc>
          <w:tcPr>
            <w:tcW w:w="1371" w:type="dxa"/>
          </w:tcPr>
          <w:p>
            <w:pPr>
              <w:pStyle w:val="TableParagraph"/>
              <w:spacing w:before="71"/>
              <w:ind w:left="24" w:right="17"/>
              <w:jc w:val="center"/>
              <w:rPr>
                <w:sz w:val="24"/>
              </w:rPr>
            </w:pPr>
            <w:r>
              <w:rPr>
                <w:sz w:val="24"/>
              </w:rPr>
              <w:t>ТГ</w:t>
            </w:r>
            <w:r>
              <w:rPr>
                <w:spacing w:val="-1"/>
                <w:sz w:val="24"/>
              </w:rPr>
              <w:t> </w:t>
            </w:r>
            <w:r>
              <w:rPr>
                <w:sz w:val="24"/>
              </w:rPr>
              <w:t>и</w:t>
            </w:r>
            <w:r>
              <w:rPr>
                <w:spacing w:val="1"/>
                <w:sz w:val="24"/>
              </w:rPr>
              <w:t> </w:t>
            </w:r>
            <w:r>
              <w:rPr>
                <w:spacing w:val="-5"/>
                <w:sz w:val="24"/>
              </w:rPr>
              <w:t>ХС</w:t>
            </w:r>
          </w:p>
        </w:tc>
        <w:tc>
          <w:tcPr>
            <w:tcW w:w="1073" w:type="dxa"/>
          </w:tcPr>
          <w:p>
            <w:pPr>
              <w:pStyle w:val="TableParagraph"/>
              <w:spacing w:before="71"/>
              <w:ind w:left="3"/>
              <w:jc w:val="center"/>
              <w:rPr>
                <w:sz w:val="24"/>
              </w:rPr>
            </w:pPr>
            <w:r>
              <w:rPr>
                <w:sz w:val="24"/>
              </w:rPr>
              <w:t>+</w:t>
            </w:r>
          </w:p>
        </w:tc>
        <w:tc>
          <w:tcPr>
            <w:tcW w:w="1231" w:type="dxa"/>
          </w:tcPr>
          <w:p>
            <w:pPr>
              <w:pStyle w:val="TableParagraph"/>
              <w:spacing w:before="71"/>
              <w:ind w:left="2"/>
              <w:jc w:val="center"/>
              <w:rPr>
                <w:sz w:val="24"/>
              </w:rPr>
            </w:pPr>
            <w:r>
              <w:rPr>
                <w:sz w:val="24"/>
              </w:rPr>
              <w:t>5</w:t>
            </w:r>
          </w:p>
        </w:tc>
      </w:tr>
    </w:tbl>
    <w:p>
      <w:pPr>
        <w:pStyle w:val="BodyText"/>
        <w:spacing w:before="14"/>
        <w:ind w:left="1261" w:right="571"/>
      </w:pPr>
      <w:r>
        <w:rPr/>
        <w:t>ДЛП — дислипидемия, ОХС — общий холестерин, ЛВП — липопротеиды высокой плотности,</w:t>
      </w:r>
      <w:r>
        <w:rPr>
          <w:spacing w:val="-3"/>
        </w:rPr>
        <w:t> </w:t>
      </w:r>
      <w:r>
        <w:rPr/>
        <w:t>ЛНП</w:t>
      </w:r>
      <w:r>
        <w:rPr>
          <w:spacing w:val="-4"/>
        </w:rPr>
        <w:t> </w:t>
      </w:r>
      <w:r>
        <w:rPr/>
        <w:t>—</w:t>
      </w:r>
      <w:r>
        <w:rPr>
          <w:spacing w:val="-3"/>
        </w:rPr>
        <w:t> </w:t>
      </w:r>
      <w:r>
        <w:rPr/>
        <w:t>липопротеиды</w:t>
      </w:r>
      <w:r>
        <w:rPr>
          <w:spacing w:val="-4"/>
        </w:rPr>
        <w:t> </w:t>
      </w:r>
      <w:r>
        <w:rPr/>
        <w:t>низкой</w:t>
      </w:r>
      <w:r>
        <w:rPr>
          <w:spacing w:val="-5"/>
        </w:rPr>
        <w:t> </w:t>
      </w:r>
      <w:r>
        <w:rPr/>
        <w:t>плотности,</w:t>
      </w:r>
      <w:r>
        <w:rPr>
          <w:spacing w:val="-3"/>
        </w:rPr>
        <w:t> </w:t>
      </w:r>
      <w:r>
        <w:rPr/>
        <w:t>ТГ</w:t>
      </w:r>
      <w:r>
        <w:rPr>
          <w:spacing w:val="-3"/>
        </w:rPr>
        <w:t> </w:t>
      </w:r>
      <w:r>
        <w:rPr/>
        <w:t>—</w:t>
      </w:r>
      <w:r>
        <w:rPr>
          <w:spacing w:val="-3"/>
        </w:rPr>
        <w:t> </w:t>
      </w:r>
      <w:r>
        <w:rPr/>
        <w:t>триглицериды,</w:t>
      </w:r>
      <w:r>
        <w:rPr>
          <w:spacing w:val="-3"/>
        </w:rPr>
        <w:t> </w:t>
      </w:r>
      <w:r>
        <w:rPr/>
        <w:t>ЛОНП</w:t>
      </w:r>
      <w:r>
        <w:rPr>
          <w:spacing w:val="-4"/>
        </w:rPr>
        <w:t> </w:t>
      </w:r>
      <w:r>
        <w:rPr/>
        <w:t>— липопротеиды очень низкой плотности, ХМ — хиломикроны.</w:t>
      </w:r>
    </w:p>
    <w:p>
      <w:pPr>
        <w:pStyle w:val="BodyText"/>
        <w:ind w:left="0"/>
        <w:rPr>
          <w:sz w:val="26"/>
        </w:rPr>
      </w:pPr>
    </w:p>
    <w:p>
      <w:pPr>
        <w:pStyle w:val="BodyText"/>
        <w:ind w:left="0"/>
        <w:rPr>
          <w:sz w:val="26"/>
        </w:rPr>
      </w:pPr>
    </w:p>
    <w:p>
      <w:pPr>
        <w:pStyle w:val="Heading3"/>
        <w:spacing w:line="360" w:lineRule="auto" w:before="231"/>
      </w:pPr>
      <w:r>
        <w:rPr/>
        <w:t>Таблица</w:t>
      </w:r>
      <w:r>
        <w:rPr>
          <w:spacing w:val="80"/>
        </w:rPr>
        <w:t> </w:t>
      </w:r>
      <w:r>
        <w:rPr/>
        <w:t>А3.2.</w:t>
      </w:r>
      <w:r>
        <w:rPr>
          <w:spacing w:val="80"/>
        </w:rPr>
        <w:t> </w:t>
      </w:r>
      <w:r>
        <w:rPr/>
        <w:t>Оптимальные</w:t>
      </w:r>
      <w:r>
        <w:rPr>
          <w:spacing w:val="80"/>
        </w:rPr>
        <w:t> </w:t>
      </w:r>
      <w:r>
        <w:rPr/>
        <w:t>значения</w:t>
      </w:r>
      <w:r>
        <w:rPr>
          <w:spacing w:val="80"/>
        </w:rPr>
        <w:t> </w:t>
      </w:r>
      <w:r>
        <w:rPr/>
        <w:t>липидных</w:t>
      </w:r>
      <w:r>
        <w:rPr>
          <w:spacing w:val="80"/>
        </w:rPr>
        <w:t> </w:t>
      </w:r>
      <w:r>
        <w:rPr/>
        <w:t>параметров</w:t>
      </w:r>
      <w:r>
        <w:rPr>
          <w:spacing w:val="80"/>
        </w:rPr>
        <w:t> </w:t>
      </w:r>
      <w:r>
        <w:rPr/>
        <w:t>в</w:t>
      </w:r>
      <w:r>
        <w:rPr>
          <w:spacing w:val="80"/>
        </w:rPr>
        <w:t> </w:t>
      </w:r>
      <w:r>
        <w:rPr/>
        <w:t>зависимости</w:t>
      </w:r>
      <w:r>
        <w:rPr>
          <w:spacing w:val="80"/>
        </w:rPr>
        <w:t> </w:t>
      </w:r>
      <w:r>
        <w:rPr/>
        <w:t>от категории риска</w:t>
      </w:r>
    </w:p>
    <w:tbl>
      <w:tblPr>
        <w:tblW w:w="0" w:type="auto"/>
        <w:jc w:val="left"/>
        <w:tblInd w:w="1257" w:type="dxa"/>
        <w:tblBorders>
          <w:top w:val="single" w:sz="8" w:space="0" w:color="221F1F"/>
          <w:left w:val="single" w:sz="8" w:space="0" w:color="221F1F"/>
          <w:bottom w:val="single" w:sz="8" w:space="0" w:color="221F1F"/>
          <w:right w:val="single" w:sz="8" w:space="0" w:color="221F1F"/>
          <w:insideH w:val="single" w:sz="8" w:space="0" w:color="221F1F"/>
          <w:insideV w:val="single" w:sz="8" w:space="0" w:color="221F1F"/>
        </w:tblBorders>
        <w:tblLayout w:type="fixed"/>
        <w:tblCellMar>
          <w:top w:w="0" w:type="dxa"/>
          <w:left w:w="0" w:type="dxa"/>
          <w:bottom w:w="0" w:type="dxa"/>
          <w:right w:w="0" w:type="dxa"/>
        </w:tblCellMar>
        <w:tblLook w:val="01E0"/>
      </w:tblPr>
      <w:tblGrid>
        <w:gridCol w:w="2438"/>
        <w:gridCol w:w="1221"/>
        <w:gridCol w:w="2179"/>
        <w:gridCol w:w="1699"/>
        <w:gridCol w:w="161"/>
        <w:gridCol w:w="1541"/>
      </w:tblGrid>
      <w:tr>
        <w:trPr>
          <w:trHeight w:val="841" w:hRule="atLeast"/>
        </w:trPr>
        <w:tc>
          <w:tcPr>
            <w:tcW w:w="2438" w:type="dxa"/>
            <w:tcBorders>
              <w:right w:val="single" w:sz="8" w:space="0" w:color="929497"/>
            </w:tcBorders>
          </w:tcPr>
          <w:p>
            <w:pPr>
              <w:pStyle w:val="TableParagraph"/>
              <w:spacing w:before="1"/>
              <w:ind w:left="0"/>
              <w:rPr>
                <w:b/>
                <w:sz w:val="25"/>
              </w:rPr>
            </w:pPr>
          </w:p>
          <w:p>
            <w:pPr>
              <w:pStyle w:val="TableParagraph"/>
              <w:ind w:left="676"/>
              <w:rPr>
                <w:b/>
                <w:sz w:val="24"/>
              </w:rPr>
            </w:pPr>
            <w:r>
              <w:rPr>
                <w:b/>
                <w:spacing w:val="-2"/>
                <w:sz w:val="24"/>
              </w:rPr>
              <w:t>Параметр</w:t>
            </w:r>
          </w:p>
        </w:tc>
        <w:tc>
          <w:tcPr>
            <w:tcW w:w="1221" w:type="dxa"/>
            <w:tcBorders>
              <w:left w:val="single" w:sz="8" w:space="0" w:color="929497"/>
              <w:right w:val="single" w:sz="8" w:space="0" w:color="929497"/>
            </w:tcBorders>
          </w:tcPr>
          <w:p>
            <w:pPr>
              <w:pStyle w:val="TableParagraph"/>
              <w:spacing w:before="152"/>
              <w:ind w:left="350" w:right="167" w:hanging="161"/>
              <w:rPr>
                <w:b/>
                <w:sz w:val="24"/>
              </w:rPr>
            </w:pPr>
            <w:r>
              <w:rPr>
                <w:b/>
                <w:spacing w:val="-2"/>
                <w:sz w:val="24"/>
              </w:rPr>
              <w:t>Низкий </w:t>
            </w:r>
            <w:r>
              <w:rPr>
                <w:b/>
                <w:spacing w:val="-4"/>
                <w:sz w:val="24"/>
              </w:rPr>
              <w:t>риск</w:t>
            </w:r>
          </w:p>
        </w:tc>
        <w:tc>
          <w:tcPr>
            <w:tcW w:w="2179" w:type="dxa"/>
            <w:tcBorders>
              <w:left w:val="single" w:sz="8" w:space="0" w:color="929497"/>
              <w:right w:val="single" w:sz="8" w:space="0" w:color="929497"/>
            </w:tcBorders>
          </w:tcPr>
          <w:p>
            <w:pPr>
              <w:pStyle w:val="TableParagraph"/>
              <w:spacing w:before="152"/>
              <w:ind w:left="831" w:right="432" w:hanging="377"/>
              <w:rPr>
                <w:b/>
                <w:sz w:val="24"/>
              </w:rPr>
            </w:pPr>
            <w:r>
              <w:rPr>
                <w:b/>
                <w:spacing w:val="-4"/>
                <w:sz w:val="24"/>
              </w:rPr>
              <w:t>Умеренный риск</w:t>
            </w:r>
          </w:p>
        </w:tc>
        <w:tc>
          <w:tcPr>
            <w:tcW w:w="1860" w:type="dxa"/>
            <w:gridSpan w:val="2"/>
            <w:tcBorders>
              <w:left w:val="single" w:sz="8" w:space="0" w:color="929497"/>
              <w:right w:val="single" w:sz="8" w:space="0" w:color="929497"/>
            </w:tcBorders>
          </w:tcPr>
          <w:p>
            <w:pPr>
              <w:pStyle w:val="TableParagraph"/>
              <w:spacing w:before="152"/>
              <w:ind w:left="672" w:hanging="238"/>
              <w:rPr>
                <w:b/>
                <w:sz w:val="24"/>
              </w:rPr>
            </w:pPr>
            <w:r>
              <w:rPr>
                <w:b/>
                <w:spacing w:val="-2"/>
                <w:sz w:val="24"/>
              </w:rPr>
              <w:t>Высокий </w:t>
            </w:r>
            <w:r>
              <w:rPr>
                <w:b/>
                <w:spacing w:val="-4"/>
                <w:sz w:val="24"/>
              </w:rPr>
              <w:t>риск</w:t>
            </w:r>
          </w:p>
        </w:tc>
        <w:tc>
          <w:tcPr>
            <w:tcW w:w="1541" w:type="dxa"/>
            <w:tcBorders>
              <w:left w:val="single" w:sz="8" w:space="0" w:color="929497"/>
              <w:right w:val="single" w:sz="8" w:space="0" w:color="929497"/>
            </w:tcBorders>
          </w:tcPr>
          <w:p>
            <w:pPr>
              <w:pStyle w:val="TableParagraph"/>
              <w:spacing w:line="270" w:lineRule="atLeast"/>
              <w:ind w:left="288" w:right="270" w:firstLine="2"/>
              <w:jc w:val="center"/>
              <w:rPr>
                <w:b/>
                <w:sz w:val="24"/>
              </w:rPr>
            </w:pPr>
            <w:r>
              <w:rPr>
                <w:b/>
                <w:spacing w:val="-2"/>
                <w:sz w:val="24"/>
              </w:rPr>
              <w:t>Очень высокий </w:t>
            </w:r>
            <w:r>
              <w:rPr>
                <w:b/>
                <w:spacing w:val="-4"/>
                <w:sz w:val="24"/>
              </w:rPr>
              <w:t>риск</w:t>
            </w:r>
          </w:p>
        </w:tc>
      </w:tr>
      <w:tr>
        <w:trPr>
          <w:trHeight w:val="292" w:hRule="atLeast"/>
        </w:trPr>
        <w:tc>
          <w:tcPr>
            <w:tcW w:w="2438" w:type="dxa"/>
            <w:tcBorders>
              <w:right w:val="single" w:sz="8" w:space="0" w:color="929497"/>
            </w:tcBorders>
          </w:tcPr>
          <w:p>
            <w:pPr>
              <w:pStyle w:val="TableParagraph"/>
              <w:spacing w:line="256" w:lineRule="exact" w:before="15"/>
              <w:ind w:left="14"/>
              <w:rPr>
                <w:sz w:val="24"/>
              </w:rPr>
            </w:pPr>
            <w:r>
              <w:rPr>
                <w:sz w:val="24"/>
              </w:rPr>
              <w:t>ХС</w:t>
            </w:r>
            <w:r>
              <w:rPr>
                <w:spacing w:val="-8"/>
                <w:sz w:val="24"/>
              </w:rPr>
              <w:t> </w:t>
            </w:r>
            <w:r>
              <w:rPr>
                <w:sz w:val="24"/>
              </w:rPr>
              <w:t>ЛНП,</w:t>
            </w:r>
            <w:r>
              <w:rPr>
                <w:spacing w:val="-6"/>
                <w:sz w:val="24"/>
              </w:rPr>
              <w:t> </w:t>
            </w:r>
            <w:r>
              <w:rPr>
                <w:sz w:val="24"/>
              </w:rPr>
              <w:t>ммоль/</w:t>
            </w:r>
            <w:r>
              <w:rPr>
                <w:spacing w:val="-6"/>
                <w:sz w:val="24"/>
              </w:rPr>
              <w:t> </w:t>
            </w:r>
            <w:r>
              <w:rPr>
                <w:spacing w:val="-10"/>
                <w:sz w:val="24"/>
              </w:rPr>
              <w:t>л</w:t>
            </w:r>
          </w:p>
        </w:tc>
        <w:tc>
          <w:tcPr>
            <w:tcW w:w="1221" w:type="dxa"/>
            <w:tcBorders>
              <w:left w:val="single" w:sz="8" w:space="0" w:color="929497"/>
              <w:right w:val="single" w:sz="8" w:space="0" w:color="929497"/>
            </w:tcBorders>
          </w:tcPr>
          <w:p>
            <w:pPr>
              <w:pStyle w:val="TableParagraph"/>
              <w:spacing w:line="256" w:lineRule="exact" w:before="15"/>
              <w:ind w:left="14"/>
              <w:rPr>
                <w:b/>
                <w:sz w:val="24"/>
              </w:rPr>
            </w:pPr>
            <w:r>
              <w:rPr>
                <w:b/>
                <w:sz w:val="24"/>
              </w:rPr>
              <w:t>&lt; </w:t>
            </w:r>
            <w:r>
              <w:rPr>
                <w:b/>
                <w:spacing w:val="-5"/>
                <w:sz w:val="24"/>
              </w:rPr>
              <w:t>3,0</w:t>
            </w:r>
          </w:p>
        </w:tc>
        <w:tc>
          <w:tcPr>
            <w:tcW w:w="2179" w:type="dxa"/>
            <w:tcBorders>
              <w:left w:val="single" w:sz="8" w:space="0" w:color="929497"/>
              <w:right w:val="single" w:sz="8" w:space="0" w:color="929497"/>
            </w:tcBorders>
          </w:tcPr>
          <w:p>
            <w:pPr>
              <w:pStyle w:val="TableParagraph"/>
              <w:spacing w:line="256" w:lineRule="exact" w:before="15"/>
              <w:ind w:left="15"/>
              <w:rPr>
                <w:b/>
                <w:sz w:val="24"/>
              </w:rPr>
            </w:pPr>
            <w:r>
              <w:rPr>
                <w:b/>
                <w:spacing w:val="-4"/>
                <w:sz w:val="24"/>
              </w:rPr>
              <w:t>&lt;2,6</w:t>
            </w:r>
          </w:p>
        </w:tc>
        <w:tc>
          <w:tcPr>
            <w:tcW w:w="1860" w:type="dxa"/>
            <w:gridSpan w:val="2"/>
            <w:tcBorders>
              <w:left w:val="single" w:sz="8" w:space="0" w:color="929497"/>
              <w:right w:val="single" w:sz="8" w:space="0" w:color="929497"/>
            </w:tcBorders>
          </w:tcPr>
          <w:p>
            <w:pPr>
              <w:pStyle w:val="TableParagraph"/>
              <w:spacing w:line="256" w:lineRule="exact" w:before="15"/>
              <w:ind w:left="15"/>
              <w:rPr>
                <w:b/>
                <w:sz w:val="24"/>
              </w:rPr>
            </w:pPr>
            <w:r>
              <w:rPr>
                <w:b/>
                <w:sz w:val="24"/>
              </w:rPr>
              <w:t>&lt; </w:t>
            </w:r>
            <w:r>
              <w:rPr>
                <w:b/>
                <w:spacing w:val="-4"/>
                <w:sz w:val="24"/>
              </w:rPr>
              <w:t>1,8*</w:t>
            </w:r>
          </w:p>
        </w:tc>
        <w:tc>
          <w:tcPr>
            <w:tcW w:w="1541" w:type="dxa"/>
            <w:tcBorders>
              <w:left w:val="single" w:sz="8" w:space="0" w:color="929497"/>
              <w:right w:val="single" w:sz="8" w:space="0" w:color="929497"/>
            </w:tcBorders>
          </w:tcPr>
          <w:p>
            <w:pPr>
              <w:pStyle w:val="TableParagraph"/>
              <w:spacing w:line="256" w:lineRule="exact" w:before="15"/>
              <w:ind w:left="15"/>
              <w:rPr>
                <w:b/>
                <w:sz w:val="24"/>
              </w:rPr>
            </w:pPr>
            <w:r>
              <w:rPr>
                <w:sz w:val="24"/>
              </w:rPr>
              <w:t>&lt;</w:t>
            </w:r>
            <w:r>
              <w:rPr>
                <w:spacing w:val="-1"/>
                <w:sz w:val="24"/>
              </w:rPr>
              <w:t> </w:t>
            </w:r>
            <w:r>
              <w:rPr>
                <w:b/>
                <w:spacing w:val="-4"/>
                <w:sz w:val="24"/>
              </w:rPr>
              <w:t>1,4*</w:t>
            </w:r>
          </w:p>
        </w:tc>
      </w:tr>
      <w:tr>
        <w:trPr>
          <w:trHeight w:val="292" w:hRule="atLeast"/>
        </w:trPr>
        <w:tc>
          <w:tcPr>
            <w:tcW w:w="2438" w:type="dxa"/>
            <w:tcBorders>
              <w:right w:val="single" w:sz="8" w:space="0" w:color="929497"/>
            </w:tcBorders>
          </w:tcPr>
          <w:p>
            <w:pPr>
              <w:pStyle w:val="TableParagraph"/>
              <w:spacing w:line="256" w:lineRule="exact" w:before="15"/>
              <w:ind w:left="14"/>
              <w:rPr>
                <w:sz w:val="24"/>
              </w:rPr>
            </w:pPr>
            <w:r>
              <w:rPr>
                <w:sz w:val="24"/>
              </w:rPr>
              <w:t>ХС</w:t>
            </w:r>
            <w:r>
              <w:rPr>
                <w:spacing w:val="-6"/>
                <w:sz w:val="24"/>
              </w:rPr>
              <w:t> </w:t>
            </w:r>
            <w:r>
              <w:rPr>
                <w:sz w:val="24"/>
              </w:rPr>
              <w:t>ЛВП,</w:t>
            </w:r>
            <w:r>
              <w:rPr>
                <w:spacing w:val="-6"/>
                <w:sz w:val="24"/>
              </w:rPr>
              <w:t> </w:t>
            </w:r>
            <w:r>
              <w:rPr>
                <w:sz w:val="24"/>
              </w:rPr>
              <w:t>ммоль/</w:t>
            </w:r>
            <w:r>
              <w:rPr>
                <w:spacing w:val="-5"/>
                <w:sz w:val="24"/>
              </w:rPr>
              <w:t> </w:t>
            </w:r>
            <w:r>
              <w:rPr>
                <w:spacing w:val="-10"/>
                <w:sz w:val="24"/>
              </w:rPr>
              <w:t>л</w:t>
            </w:r>
          </w:p>
        </w:tc>
        <w:tc>
          <w:tcPr>
            <w:tcW w:w="6801" w:type="dxa"/>
            <w:gridSpan w:val="5"/>
            <w:tcBorders>
              <w:left w:val="single" w:sz="8" w:space="0" w:color="929497"/>
              <w:right w:val="single" w:sz="8" w:space="0" w:color="929497"/>
            </w:tcBorders>
          </w:tcPr>
          <w:p>
            <w:pPr>
              <w:pStyle w:val="TableParagraph"/>
              <w:spacing w:line="256" w:lineRule="exact" w:before="15"/>
              <w:ind w:left="14"/>
              <w:rPr>
                <w:sz w:val="24"/>
              </w:rPr>
            </w:pPr>
            <w:r>
              <w:rPr>
                <w:sz w:val="24"/>
              </w:rPr>
              <w:t>мужчины</w:t>
            </w:r>
            <w:r>
              <w:rPr>
                <w:spacing w:val="-6"/>
                <w:sz w:val="24"/>
              </w:rPr>
              <w:t> </w:t>
            </w:r>
            <w:r>
              <w:rPr>
                <w:sz w:val="24"/>
              </w:rPr>
              <w:t>&gt;</w:t>
            </w:r>
            <w:r>
              <w:rPr>
                <w:spacing w:val="-4"/>
                <w:sz w:val="24"/>
              </w:rPr>
              <w:t> </w:t>
            </w:r>
            <w:r>
              <w:rPr>
                <w:sz w:val="24"/>
              </w:rPr>
              <w:t>1,0;</w:t>
            </w:r>
            <w:r>
              <w:rPr>
                <w:spacing w:val="-2"/>
                <w:sz w:val="24"/>
              </w:rPr>
              <w:t> </w:t>
            </w:r>
            <w:r>
              <w:rPr>
                <w:sz w:val="24"/>
              </w:rPr>
              <w:t>женщины</w:t>
            </w:r>
            <w:r>
              <w:rPr>
                <w:spacing w:val="-4"/>
                <w:sz w:val="24"/>
              </w:rPr>
              <w:t> </w:t>
            </w:r>
            <w:r>
              <w:rPr>
                <w:sz w:val="24"/>
              </w:rPr>
              <w:t>&gt;</w:t>
            </w:r>
            <w:r>
              <w:rPr>
                <w:spacing w:val="-3"/>
                <w:sz w:val="24"/>
              </w:rPr>
              <w:t> </w:t>
            </w:r>
            <w:r>
              <w:rPr>
                <w:spacing w:val="-5"/>
                <w:sz w:val="24"/>
              </w:rPr>
              <w:t>1,2</w:t>
            </w:r>
          </w:p>
        </w:tc>
      </w:tr>
      <w:tr>
        <w:trPr>
          <w:trHeight w:val="289" w:hRule="atLeast"/>
        </w:trPr>
        <w:tc>
          <w:tcPr>
            <w:tcW w:w="2438" w:type="dxa"/>
            <w:tcBorders>
              <w:right w:val="single" w:sz="8" w:space="0" w:color="929497"/>
            </w:tcBorders>
          </w:tcPr>
          <w:p>
            <w:pPr>
              <w:pStyle w:val="TableParagraph"/>
              <w:spacing w:line="256" w:lineRule="exact" w:before="13"/>
              <w:ind w:left="14"/>
              <w:rPr>
                <w:sz w:val="24"/>
              </w:rPr>
            </w:pPr>
            <w:r>
              <w:rPr>
                <w:sz w:val="24"/>
              </w:rPr>
              <w:t>ХС</w:t>
            </w:r>
            <w:r>
              <w:rPr>
                <w:spacing w:val="-6"/>
                <w:sz w:val="24"/>
              </w:rPr>
              <w:t> </w:t>
            </w:r>
            <w:r>
              <w:rPr>
                <w:sz w:val="24"/>
              </w:rPr>
              <w:t>неЛВП,</w:t>
            </w:r>
            <w:r>
              <w:rPr>
                <w:spacing w:val="-6"/>
                <w:sz w:val="24"/>
              </w:rPr>
              <w:t> </w:t>
            </w:r>
            <w:r>
              <w:rPr>
                <w:spacing w:val="-2"/>
                <w:sz w:val="24"/>
              </w:rPr>
              <w:t>ммоль/л</w:t>
            </w:r>
          </w:p>
        </w:tc>
        <w:tc>
          <w:tcPr>
            <w:tcW w:w="3400" w:type="dxa"/>
            <w:gridSpan w:val="2"/>
            <w:tcBorders>
              <w:left w:val="single" w:sz="8" w:space="0" w:color="929497"/>
              <w:right w:val="single" w:sz="8" w:space="0" w:color="929497"/>
            </w:tcBorders>
          </w:tcPr>
          <w:p>
            <w:pPr>
              <w:pStyle w:val="TableParagraph"/>
              <w:ind w:left="0"/>
              <w:rPr>
                <w:sz w:val="20"/>
              </w:rPr>
            </w:pPr>
          </w:p>
        </w:tc>
        <w:tc>
          <w:tcPr>
            <w:tcW w:w="1699" w:type="dxa"/>
            <w:tcBorders>
              <w:left w:val="single" w:sz="8" w:space="0" w:color="929497"/>
              <w:right w:val="single" w:sz="8" w:space="0" w:color="929497"/>
            </w:tcBorders>
          </w:tcPr>
          <w:p>
            <w:pPr>
              <w:pStyle w:val="TableParagraph"/>
              <w:spacing w:line="256" w:lineRule="exact" w:before="13"/>
              <w:ind w:left="15"/>
              <w:rPr>
                <w:b/>
                <w:sz w:val="24"/>
              </w:rPr>
            </w:pPr>
            <w:r>
              <w:rPr>
                <w:b/>
                <w:spacing w:val="-4"/>
                <w:sz w:val="24"/>
              </w:rPr>
              <w:t>&lt;2,6</w:t>
            </w:r>
          </w:p>
        </w:tc>
        <w:tc>
          <w:tcPr>
            <w:tcW w:w="1702" w:type="dxa"/>
            <w:gridSpan w:val="2"/>
            <w:tcBorders>
              <w:left w:val="single" w:sz="8" w:space="0" w:color="929497"/>
              <w:right w:val="single" w:sz="8" w:space="0" w:color="929497"/>
            </w:tcBorders>
          </w:tcPr>
          <w:p>
            <w:pPr>
              <w:pStyle w:val="TableParagraph"/>
              <w:spacing w:line="256" w:lineRule="exact" w:before="13"/>
              <w:ind w:left="15"/>
              <w:rPr>
                <w:b/>
                <w:sz w:val="24"/>
              </w:rPr>
            </w:pPr>
            <w:r>
              <w:rPr>
                <w:b/>
                <w:spacing w:val="-4"/>
                <w:sz w:val="24"/>
              </w:rPr>
              <w:t>&lt;2,2</w:t>
            </w:r>
          </w:p>
        </w:tc>
      </w:tr>
      <w:tr>
        <w:trPr>
          <w:trHeight w:val="291" w:hRule="atLeast"/>
        </w:trPr>
        <w:tc>
          <w:tcPr>
            <w:tcW w:w="2438" w:type="dxa"/>
            <w:tcBorders>
              <w:right w:val="single" w:sz="8" w:space="0" w:color="929497"/>
            </w:tcBorders>
          </w:tcPr>
          <w:p>
            <w:pPr>
              <w:pStyle w:val="TableParagraph"/>
              <w:spacing w:line="256" w:lineRule="exact" w:before="15"/>
              <w:ind w:left="14"/>
              <w:rPr>
                <w:sz w:val="24"/>
              </w:rPr>
            </w:pPr>
            <w:r>
              <w:rPr>
                <w:sz w:val="24"/>
              </w:rPr>
              <w:t>ТГ,</w:t>
            </w:r>
            <w:r>
              <w:rPr>
                <w:spacing w:val="-1"/>
                <w:sz w:val="24"/>
              </w:rPr>
              <w:t> </w:t>
            </w:r>
            <w:r>
              <w:rPr>
                <w:spacing w:val="-2"/>
                <w:sz w:val="24"/>
              </w:rPr>
              <w:t>ммоль/л</w:t>
            </w:r>
          </w:p>
        </w:tc>
        <w:tc>
          <w:tcPr>
            <w:tcW w:w="6801" w:type="dxa"/>
            <w:gridSpan w:val="5"/>
            <w:tcBorders>
              <w:left w:val="single" w:sz="8" w:space="0" w:color="929497"/>
              <w:right w:val="single" w:sz="8" w:space="0" w:color="929497"/>
            </w:tcBorders>
          </w:tcPr>
          <w:p>
            <w:pPr>
              <w:pStyle w:val="TableParagraph"/>
              <w:spacing w:line="256" w:lineRule="exact" w:before="15"/>
              <w:ind w:left="14"/>
              <w:rPr>
                <w:sz w:val="24"/>
              </w:rPr>
            </w:pPr>
            <w:r>
              <w:rPr>
                <w:sz w:val="24"/>
              </w:rPr>
              <w:t>&lt;</w:t>
            </w:r>
            <w:r>
              <w:rPr>
                <w:spacing w:val="-1"/>
                <w:sz w:val="24"/>
              </w:rPr>
              <w:t> </w:t>
            </w:r>
            <w:r>
              <w:rPr>
                <w:spacing w:val="-5"/>
                <w:sz w:val="24"/>
              </w:rPr>
              <w:t>1,7</w:t>
            </w:r>
          </w:p>
        </w:tc>
      </w:tr>
      <w:tr>
        <w:trPr>
          <w:trHeight w:val="292" w:hRule="atLeast"/>
        </w:trPr>
        <w:tc>
          <w:tcPr>
            <w:tcW w:w="2438" w:type="dxa"/>
            <w:tcBorders>
              <w:right w:val="single" w:sz="8" w:space="0" w:color="929497"/>
            </w:tcBorders>
          </w:tcPr>
          <w:p>
            <w:pPr>
              <w:pStyle w:val="TableParagraph"/>
              <w:spacing w:line="259" w:lineRule="exact" w:before="13"/>
              <w:ind w:left="14"/>
              <w:rPr>
                <w:sz w:val="24"/>
              </w:rPr>
            </w:pPr>
            <w:r>
              <w:rPr>
                <w:sz w:val="24"/>
              </w:rPr>
              <w:t>Лп(а),</w:t>
            </w:r>
            <w:r>
              <w:rPr>
                <w:spacing w:val="-2"/>
                <w:sz w:val="24"/>
              </w:rPr>
              <w:t> мг/дл</w:t>
            </w:r>
          </w:p>
        </w:tc>
        <w:tc>
          <w:tcPr>
            <w:tcW w:w="3400" w:type="dxa"/>
            <w:gridSpan w:val="2"/>
            <w:tcBorders>
              <w:left w:val="single" w:sz="8" w:space="0" w:color="929497"/>
              <w:right w:val="single" w:sz="8" w:space="0" w:color="929497"/>
            </w:tcBorders>
          </w:tcPr>
          <w:p>
            <w:pPr>
              <w:pStyle w:val="TableParagraph"/>
              <w:spacing w:line="259" w:lineRule="exact" w:before="13"/>
              <w:ind w:left="14"/>
              <w:rPr>
                <w:b/>
                <w:sz w:val="24"/>
              </w:rPr>
            </w:pPr>
            <w:r>
              <w:rPr>
                <w:b/>
                <w:sz w:val="24"/>
              </w:rPr>
              <w:t>&lt; </w:t>
            </w:r>
            <w:r>
              <w:rPr>
                <w:b/>
                <w:spacing w:val="-5"/>
                <w:sz w:val="24"/>
              </w:rPr>
              <w:t>50</w:t>
            </w:r>
          </w:p>
        </w:tc>
        <w:tc>
          <w:tcPr>
            <w:tcW w:w="3401" w:type="dxa"/>
            <w:gridSpan w:val="3"/>
            <w:tcBorders>
              <w:left w:val="single" w:sz="8" w:space="0" w:color="929497"/>
              <w:right w:val="single" w:sz="8" w:space="0" w:color="929497"/>
            </w:tcBorders>
          </w:tcPr>
          <w:p>
            <w:pPr>
              <w:pStyle w:val="TableParagraph"/>
              <w:spacing w:line="259" w:lineRule="exact" w:before="13"/>
              <w:ind w:left="15"/>
              <w:rPr>
                <w:b/>
                <w:sz w:val="24"/>
              </w:rPr>
            </w:pPr>
            <w:r>
              <w:rPr>
                <w:b/>
                <w:sz w:val="24"/>
              </w:rPr>
              <w:t>&lt; </w:t>
            </w:r>
            <w:r>
              <w:rPr>
                <w:b/>
                <w:spacing w:val="-5"/>
                <w:sz w:val="24"/>
              </w:rPr>
              <w:t>30</w:t>
            </w:r>
          </w:p>
        </w:tc>
      </w:tr>
    </w:tbl>
    <w:p>
      <w:pPr>
        <w:pStyle w:val="BodyText"/>
        <w:ind w:left="1261"/>
      </w:pPr>
      <w:r>
        <w:rPr/>
        <w:t>*</w:t>
      </w:r>
      <w:r>
        <w:rPr>
          <w:spacing w:val="-1"/>
        </w:rPr>
        <w:t> </w:t>
      </w:r>
      <w:r>
        <w:rPr/>
        <w:t>И</w:t>
      </w:r>
      <w:r>
        <w:rPr>
          <w:spacing w:val="-1"/>
        </w:rPr>
        <w:t> </w:t>
      </w:r>
      <w:r>
        <w:rPr/>
        <w:t>снижение</w:t>
      </w:r>
      <w:r>
        <w:rPr>
          <w:spacing w:val="-1"/>
        </w:rPr>
        <w:t> </w:t>
      </w:r>
      <w:r>
        <w:rPr/>
        <w:t>ХС ЛНП</w:t>
      </w:r>
      <w:r>
        <w:rPr>
          <w:spacing w:val="-1"/>
        </w:rPr>
        <w:t> </w:t>
      </w:r>
      <w:r>
        <w:rPr/>
        <w:t>&gt;50%</w:t>
      </w:r>
      <w:r>
        <w:rPr>
          <w:spacing w:val="-1"/>
        </w:rPr>
        <w:t> </w:t>
      </w:r>
      <w:r>
        <w:rPr/>
        <w:t>от исходного </w:t>
      </w:r>
      <w:r>
        <w:rPr>
          <w:spacing w:val="-2"/>
        </w:rPr>
        <w:t>уровня.</w:t>
      </w:r>
    </w:p>
    <w:p>
      <w:pPr>
        <w:pStyle w:val="BodyText"/>
        <w:spacing w:before="3"/>
        <w:ind w:left="0"/>
        <w:rPr>
          <w:sz w:val="29"/>
        </w:rPr>
      </w:pPr>
    </w:p>
    <w:p>
      <w:pPr>
        <w:pStyle w:val="BodyText"/>
        <w:ind w:left="1261"/>
      </w:pPr>
      <w:r>
        <w:rPr/>
        <w:t>ЛВП</w:t>
      </w:r>
      <w:r>
        <w:rPr>
          <w:spacing w:val="14"/>
        </w:rPr>
        <w:t> </w:t>
      </w:r>
      <w:r>
        <w:rPr/>
        <w:t>—</w:t>
      </w:r>
      <w:r>
        <w:rPr>
          <w:spacing w:val="17"/>
        </w:rPr>
        <w:t> </w:t>
      </w:r>
      <w:r>
        <w:rPr/>
        <w:t>липопротеиды</w:t>
      </w:r>
      <w:r>
        <w:rPr>
          <w:spacing w:val="14"/>
        </w:rPr>
        <w:t> </w:t>
      </w:r>
      <w:r>
        <w:rPr/>
        <w:t>высокой</w:t>
      </w:r>
      <w:r>
        <w:rPr>
          <w:spacing w:val="18"/>
        </w:rPr>
        <w:t> </w:t>
      </w:r>
      <w:r>
        <w:rPr/>
        <w:t>плотности,</w:t>
      </w:r>
      <w:r>
        <w:rPr>
          <w:spacing w:val="17"/>
        </w:rPr>
        <w:t> </w:t>
      </w:r>
      <w:r>
        <w:rPr/>
        <w:t>ЛНП</w:t>
      </w:r>
      <w:r>
        <w:rPr>
          <w:spacing w:val="17"/>
        </w:rPr>
        <w:t> </w:t>
      </w:r>
      <w:r>
        <w:rPr/>
        <w:t>—</w:t>
      </w:r>
      <w:r>
        <w:rPr>
          <w:spacing w:val="17"/>
        </w:rPr>
        <w:t> </w:t>
      </w:r>
      <w:r>
        <w:rPr/>
        <w:t>липопротеиды</w:t>
      </w:r>
      <w:r>
        <w:rPr>
          <w:spacing w:val="14"/>
        </w:rPr>
        <w:t> </w:t>
      </w:r>
      <w:r>
        <w:rPr/>
        <w:t>низкой</w:t>
      </w:r>
      <w:r>
        <w:rPr>
          <w:spacing w:val="15"/>
        </w:rPr>
        <w:t> </w:t>
      </w:r>
      <w:r>
        <w:rPr/>
        <w:t>плотности,</w:t>
      </w:r>
      <w:r>
        <w:rPr>
          <w:spacing w:val="15"/>
        </w:rPr>
        <w:t> </w:t>
      </w:r>
      <w:r>
        <w:rPr>
          <w:spacing w:val="-5"/>
        </w:rPr>
        <w:t>ТГ</w:t>
      </w:r>
    </w:p>
    <w:p>
      <w:pPr>
        <w:pStyle w:val="BodyText"/>
        <w:spacing w:before="139"/>
        <w:ind w:left="1261"/>
      </w:pPr>
      <w:r>
        <w:rPr/>
        <w:t>—</w:t>
      </w:r>
      <w:r>
        <w:rPr>
          <w:spacing w:val="-1"/>
        </w:rPr>
        <w:t> </w:t>
      </w:r>
      <w:r>
        <w:rPr/>
        <w:t>триглицериды,</w:t>
      </w:r>
      <w:r>
        <w:rPr>
          <w:spacing w:val="-1"/>
        </w:rPr>
        <w:t> </w:t>
      </w:r>
      <w:r>
        <w:rPr/>
        <w:t>Лп(а)</w:t>
      </w:r>
      <w:r>
        <w:rPr>
          <w:spacing w:val="-2"/>
        </w:rPr>
        <w:t> </w:t>
      </w:r>
      <w:r>
        <w:rPr/>
        <w:t>— </w:t>
      </w:r>
      <w:r>
        <w:rPr>
          <w:spacing w:val="-2"/>
        </w:rPr>
        <w:t>липопротеид(а).</w:t>
      </w:r>
    </w:p>
    <w:p>
      <w:pPr>
        <w:pStyle w:val="BodyText"/>
        <w:ind w:left="0"/>
        <w:rPr>
          <w:sz w:val="26"/>
        </w:rPr>
      </w:pPr>
    </w:p>
    <w:p>
      <w:pPr>
        <w:pStyle w:val="BodyText"/>
        <w:ind w:left="0"/>
        <w:rPr>
          <w:sz w:val="22"/>
        </w:rPr>
      </w:pPr>
    </w:p>
    <w:p>
      <w:pPr>
        <w:spacing w:before="0"/>
        <w:ind w:left="1261" w:right="0" w:firstLine="0"/>
        <w:jc w:val="left"/>
        <w:rPr>
          <w:b/>
          <w:sz w:val="24"/>
        </w:rPr>
      </w:pPr>
      <w:r>
        <w:rPr>
          <w:b/>
          <w:sz w:val="24"/>
        </w:rPr>
        <w:t>Таблица</w:t>
      </w:r>
      <w:r>
        <w:rPr>
          <w:b/>
          <w:spacing w:val="-5"/>
          <w:sz w:val="24"/>
        </w:rPr>
        <w:t> </w:t>
      </w:r>
      <w:r>
        <w:rPr>
          <w:b/>
          <w:sz w:val="24"/>
        </w:rPr>
        <w:t>А3.3.</w:t>
      </w:r>
      <w:r>
        <w:rPr>
          <w:b/>
          <w:spacing w:val="-2"/>
          <w:sz w:val="24"/>
        </w:rPr>
        <w:t> </w:t>
      </w:r>
      <w:r>
        <w:rPr>
          <w:b/>
          <w:sz w:val="24"/>
        </w:rPr>
        <w:t>Факторы</w:t>
      </w:r>
      <w:r>
        <w:rPr>
          <w:b/>
          <w:spacing w:val="-4"/>
          <w:sz w:val="24"/>
        </w:rPr>
        <w:t> </w:t>
      </w:r>
      <w:r>
        <w:rPr>
          <w:b/>
          <w:sz w:val="24"/>
        </w:rPr>
        <w:t>риска</w:t>
      </w:r>
      <w:r>
        <w:rPr>
          <w:b/>
          <w:spacing w:val="-3"/>
          <w:sz w:val="24"/>
        </w:rPr>
        <w:t> </w:t>
      </w:r>
      <w:r>
        <w:rPr>
          <w:b/>
          <w:sz w:val="24"/>
        </w:rPr>
        <w:t>развития</w:t>
      </w:r>
      <w:r>
        <w:rPr>
          <w:b/>
          <w:spacing w:val="-6"/>
          <w:sz w:val="24"/>
        </w:rPr>
        <w:t> </w:t>
      </w:r>
      <w:r>
        <w:rPr>
          <w:b/>
          <w:sz w:val="24"/>
        </w:rPr>
        <w:t>и</w:t>
      </w:r>
      <w:r>
        <w:rPr>
          <w:b/>
          <w:spacing w:val="-2"/>
          <w:sz w:val="24"/>
        </w:rPr>
        <w:t> </w:t>
      </w:r>
      <w:r>
        <w:rPr>
          <w:b/>
          <w:sz w:val="24"/>
        </w:rPr>
        <w:t>прогрессирования</w:t>
      </w:r>
      <w:r>
        <w:rPr>
          <w:b/>
          <w:spacing w:val="-3"/>
          <w:sz w:val="24"/>
        </w:rPr>
        <w:t> </w:t>
      </w:r>
      <w:r>
        <w:rPr>
          <w:b/>
          <w:spacing w:val="-2"/>
          <w:sz w:val="24"/>
        </w:rPr>
        <w:t>атеросклероза</w:t>
      </w:r>
    </w:p>
    <w:p>
      <w:pPr>
        <w:pStyle w:val="BodyText"/>
        <w:ind w:left="0"/>
        <w:rPr>
          <w:b/>
          <w:sz w:val="12"/>
        </w:rPr>
      </w:pPr>
    </w:p>
    <w:tbl>
      <w:tblPr>
        <w:tblW w:w="0" w:type="auto"/>
        <w:jc w:val="left"/>
        <w:tblInd w:w="1261"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CellMar>
          <w:top w:w="0" w:type="dxa"/>
          <w:left w:w="0" w:type="dxa"/>
          <w:bottom w:w="0" w:type="dxa"/>
          <w:right w:w="0" w:type="dxa"/>
        </w:tblCellMar>
        <w:tblLook w:val="01E0"/>
      </w:tblPr>
      <w:tblGrid>
        <w:gridCol w:w="3125"/>
        <w:gridCol w:w="5789"/>
      </w:tblGrid>
      <w:tr>
        <w:trPr>
          <w:trHeight w:val="414" w:hRule="atLeast"/>
        </w:trPr>
        <w:tc>
          <w:tcPr>
            <w:tcW w:w="8914" w:type="dxa"/>
            <w:gridSpan w:val="2"/>
          </w:tcPr>
          <w:p>
            <w:pPr>
              <w:pStyle w:val="TableParagraph"/>
              <w:spacing w:before="1"/>
              <w:ind w:left="4"/>
              <w:rPr>
                <w:b/>
                <w:sz w:val="24"/>
              </w:rPr>
            </w:pPr>
            <w:r>
              <w:rPr>
                <w:b/>
                <w:sz w:val="24"/>
              </w:rPr>
              <w:t>Факторы</w:t>
            </w:r>
            <w:r>
              <w:rPr>
                <w:b/>
                <w:spacing w:val="-2"/>
                <w:sz w:val="24"/>
              </w:rPr>
              <w:t> риска</w:t>
            </w:r>
          </w:p>
        </w:tc>
      </w:tr>
      <w:tr>
        <w:trPr>
          <w:trHeight w:val="827" w:hRule="atLeast"/>
        </w:trPr>
        <w:tc>
          <w:tcPr>
            <w:tcW w:w="3125" w:type="dxa"/>
          </w:tcPr>
          <w:p>
            <w:pPr>
              <w:pStyle w:val="TableParagraph"/>
              <w:spacing w:before="205"/>
              <w:ind w:left="4"/>
              <w:rPr>
                <w:sz w:val="24"/>
              </w:rPr>
            </w:pPr>
            <w:r>
              <w:rPr>
                <w:spacing w:val="-2"/>
                <w:sz w:val="24"/>
              </w:rPr>
              <w:t>Возраст</w:t>
            </w:r>
          </w:p>
        </w:tc>
        <w:tc>
          <w:tcPr>
            <w:tcW w:w="5789" w:type="dxa"/>
          </w:tcPr>
          <w:p>
            <w:pPr>
              <w:pStyle w:val="TableParagraph"/>
              <w:spacing w:line="275" w:lineRule="exact"/>
              <w:ind w:left="1"/>
              <w:rPr>
                <w:sz w:val="24"/>
              </w:rPr>
            </w:pPr>
            <w:r>
              <w:rPr>
                <w:sz w:val="24"/>
              </w:rPr>
              <w:t>Мужчины</w:t>
            </w:r>
            <w:r>
              <w:rPr>
                <w:spacing w:val="-2"/>
                <w:sz w:val="24"/>
              </w:rPr>
              <w:t> </w:t>
            </w:r>
            <w:r>
              <w:rPr>
                <w:sz w:val="24"/>
              </w:rPr>
              <w:t>&gt;40 лет, женщины</w:t>
            </w:r>
            <w:r>
              <w:rPr>
                <w:spacing w:val="-1"/>
                <w:sz w:val="24"/>
              </w:rPr>
              <w:t> </w:t>
            </w:r>
            <w:r>
              <w:rPr>
                <w:sz w:val="24"/>
              </w:rPr>
              <w:t>&gt;55</w:t>
            </w:r>
            <w:r>
              <w:rPr>
                <w:spacing w:val="-1"/>
                <w:sz w:val="24"/>
              </w:rPr>
              <w:t> </w:t>
            </w:r>
            <w:r>
              <w:rPr>
                <w:sz w:val="24"/>
              </w:rPr>
              <w:t>лет или</w:t>
            </w:r>
            <w:r>
              <w:rPr>
                <w:spacing w:val="1"/>
                <w:sz w:val="24"/>
              </w:rPr>
              <w:t> </w:t>
            </w:r>
            <w:r>
              <w:rPr>
                <w:sz w:val="24"/>
              </w:rPr>
              <w:t>с</w:t>
            </w:r>
            <w:r>
              <w:rPr>
                <w:spacing w:val="-1"/>
                <w:sz w:val="24"/>
              </w:rPr>
              <w:t> </w:t>
            </w:r>
            <w:r>
              <w:rPr>
                <w:spacing w:val="-2"/>
                <w:sz w:val="24"/>
              </w:rPr>
              <w:t>ранней</w:t>
            </w:r>
          </w:p>
          <w:p>
            <w:pPr>
              <w:pStyle w:val="TableParagraph"/>
              <w:spacing w:before="139"/>
              <w:ind w:left="1"/>
              <w:rPr>
                <w:sz w:val="24"/>
              </w:rPr>
            </w:pPr>
            <w:r>
              <w:rPr>
                <w:spacing w:val="-2"/>
                <w:sz w:val="24"/>
              </w:rPr>
              <w:t>менопаузой</w:t>
            </w:r>
          </w:p>
        </w:tc>
      </w:tr>
      <w:tr>
        <w:trPr>
          <w:trHeight w:val="414" w:hRule="atLeast"/>
        </w:trPr>
        <w:tc>
          <w:tcPr>
            <w:tcW w:w="3125" w:type="dxa"/>
          </w:tcPr>
          <w:p>
            <w:pPr>
              <w:pStyle w:val="TableParagraph"/>
              <w:spacing w:line="275" w:lineRule="exact"/>
              <w:ind w:left="4"/>
              <w:rPr>
                <w:sz w:val="24"/>
              </w:rPr>
            </w:pPr>
            <w:r>
              <w:rPr>
                <w:spacing w:val="-2"/>
                <w:sz w:val="24"/>
              </w:rPr>
              <w:t>Курение</w:t>
            </w:r>
          </w:p>
        </w:tc>
        <w:tc>
          <w:tcPr>
            <w:tcW w:w="5789" w:type="dxa"/>
          </w:tcPr>
          <w:p>
            <w:pPr>
              <w:pStyle w:val="TableParagraph"/>
              <w:spacing w:line="275" w:lineRule="exact"/>
              <w:ind w:left="1"/>
              <w:rPr>
                <w:sz w:val="24"/>
              </w:rPr>
            </w:pPr>
            <w:r>
              <w:rPr>
                <w:sz w:val="24"/>
              </w:rPr>
              <w:t>Вне</w:t>
            </w:r>
            <w:r>
              <w:rPr>
                <w:spacing w:val="-2"/>
                <w:sz w:val="24"/>
              </w:rPr>
              <w:t> </w:t>
            </w:r>
            <w:r>
              <w:rPr>
                <w:sz w:val="24"/>
              </w:rPr>
              <w:t>зависимости от</w:t>
            </w:r>
            <w:r>
              <w:rPr>
                <w:spacing w:val="-2"/>
                <w:sz w:val="24"/>
              </w:rPr>
              <w:t> количества</w:t>
            </w:r>
          </w:p>
        </w:tc>
      </w:tr>
      <w:tr>
        <w:trPr>
          <w:trHeight w:val="827" w:hRule="atLeast"/>
        </w:trPr>
        <w:tc>
          <w:tcPr>
            <w:tcW w:w="3125" w:type="dxa"/>
          </w:tcPr>
          <w:p>
            <w:pPr>
              <w:pStyle w:val="TableParagraph"/>
              <w:spacing w:before="205"/>
              <w:ind w:left="4"/>
              <w:rPr>
                <w:sz w:val="24"/>
              </w:rPr>
            </w:pPr>
            <w:r>
              <w:rPr>
                <w:sz w:val="24"/>
              </w:rPr>
              <w:t>Артериальная</w:t>
            </w:r>
            <w:r>
              <w:rPr>
                <w:spacing w:val="-2"/>
                <w:sz w:val="24"/>
              </w:rPr>
              <w:t> гипертония</w:t>
            </w:r>
          </w:p>
        </w:tc>
        <w:tc>
          <w:tcPr>
            <w:tcW w:w="5789" w:type="dxa"/>
          </w:tcPr>
          <w:p>
            <w:pPr>
              <w:pStyle w:val="TableParagraph"/>
              <w:spacing w:line="275" w:lineRule="exact"/>
              <w:ind w:left="1"/>
              <w:rPr>
                <w:sz w:val="24"/>
              </w:rPr>
            </w:pPr>
            <w:r>
              <w:rPr>
                <w:sz w:val="24"/>
              </w:rPr>
              <w:t>АД</w:t>
            </w:r>
            <w:r>
              <w:rPr>
                <w:spacing w:val="-2"/>
                <w:sz w:val="24"/>
              </w:rPr>
              <w:t> </w:t>
            </w:r>
            <w:r>
              <w:rPr>
                <w:sz w:val="24"/>
              </w:rPr>
              <w:t>≥ 140/90</w:t>
            </w:r>
            <w:r>
              <w:rPr>
                <w:spacing w:val="-1"/>
                <w:sz w:val="24"/>
              </w:rPr>
              <w:t> </w:t>
            </w:r>
            <w:r>
              <w:rPr>
                <w:sz w:val="24"/>
              </w:rPr>
              <w:t>мм</w:t>
            </w:r>
            <w:r>
              <w:rPr>
                <w:spacing w:val="-1"/>
                <w:sz w:val="24"/>
              </w:rPr>
              <w:t> </w:t>
            </w:r>
            <w:r>
              <w:rPr>
                <w:sz w:val="24"/>
              </w:rPr>
              <w:t>рт. ст.</w:t>
            </w:r>
            <w:r>
              <w:rPr>
                <w:spacing w:val="1"/>
                <w:sz w:val="24"/>
              </w:rPr>
              <w:t> </w:t>
            </w:r>
            <w:r>
              <w:rPr>
                <w:sz w:val="24"/>
              </w:rPr>
              <w:t>или</w:t>
            </w:r>
            <w:r>
              <w:rPr>
                <w:spacing w:val="-2"/>
                <w:sz w:val="24"/>
              </w:rPr>
              <w:t> </w:t>
            </w:r>
            <w:r>
              <w:rPr>
                <w:sz w:val="24"/>
              </w:rPr>
              <w:t>постоянный</w:t>
            </w:r>
            <w:r>
              <w:rPr>
                <w:spacing w:val="1"/>
                <w:sz w:val="24"/>
              </w:rPr>
              <w:t> </w:t>
            </w:r>
            <w:r>
              <w:rPr>
                <w:spacing w:val="-4"/>
                <w:sz w:val="24"/>
              </w:rPr>
              <w:t>прием</w:t>
            </w:r>
          </w:p>
          <w:p>
            <w:pPr>
              <w:pStyle w:val="TableParagraph"/>
              <w:spacing w:before="137"/>
              <w:ind w:left="1"/>
              <w:rPr>
                <w:sz w:val="24"/>
              </w:rPr>
            </w:pPr>
            <w:r>
              <w:rPr>
                <w:sz w:val="24"/>
              </w:rPr>
              <w:t>антигипертензивных</w:t>
            </w:r>
            <w:r>
              <w:rPr>
                <w:spacing w:val="-4"/>
                <w:sz w:val="24"/>
              </w:rPr>
              <w:t> </w:t>
            </w:r>
            <w:r>
              <w:rPr>
                <w:spacing w:val="-2"/>
                <w:sz w:val="24"/>
              </w:rPr>
              <w:t>препаратов</w:t>
            </w:r>
          </w:p>
        </w:tc>
      </w:tr>
      <w:tr>
        <w:trPr>
          <w:trHeight w:val="827" w:hRule="atLeast"/>
        </w:trPr>
        <w:tc>
          <w:tcPr>
            <w:tcW w:w="3125" w:type="dxa"/>
          </w:tcPr>
          <w:p>
            <w:pPr>
              <w:pStyle w:val="TableParagraph"/>
              <w:spacing w:before="205"/>
              <w:ind w:left="4"/>
              <w:rPr>
                <w:sz w:val="24"/>
              </w:rPr>
            </w:pPr>
            <w:r>
              <w:rPr>
                <w:sz w:val="24"/>
              </w:rPr>
              <w:t>Сахарный</w:t>
            </w:r>
            <w:r>
              <w:rPr>
                <w:spacing w:val="-1"/>
                <w:sz w:val="24"/>
              </w:rPr>
              <w:t> </w:t>
            </w:r>
            <w:r>
              <w:rPr>
                <w:sz w:val="24"/>
              </w:rPr>
              <w:t>диабет</w:t>
            </w:r>
            <w:r>
              <w:rPr>
                <w:spacing w:val="-2"/>
                <w:sz w:val="24"/>
              </w:rPr>
              <w:t> </w:t>
            </w:r>
            <w:r>
              <w:rPr>
                <w:sz w:val="24"/>
              </w:rPr>
              <w:t>2-го</w:t>
            </w:r>
            <w:r>
              <w:rPr>
                <w:spacing w:val="-2"/>
                <w:sz w:val="24"/>
              </w:rPr>
              <w:t> </w:t>
            </w:r>
            <w:r>
              <w:rPr>
                <w:spacing w:val="-4"/>
                <w:sz w:val="24"/>
              </w:rPr>
              <w:t>типа</w:t>
            </w:r>
          </w:p>
        </w:tc>
        <w:tc>
          <w:tcPr>
            <w:tcW w:w="5789" w:type="dxa"/>
          </w:tcPr>
          <w:p>
            <w:pPr>
              <w:pStyle w:val="TableParagraph"/>
              <w:spacing w:line="275" w:lineRule="exact"/>
              <w:ind w:left="1"/>
              <w:rPr>
                <w:sz w:val="24"/>
              </w:rPr>
            </w:pPr>
            <w:r>
              <w:rPr>
                <w:sz w:val="24"/>
              </w:rPr>
              <w:t>Глюкоза</w:t>
            </w:r>
            <w:r>
              <w:rPr>
                <w:spacing w:val="-5"/>
                <w:sz w:val="24"/>
              </w:rPr>
              <w:t> </w:t>
            </w:r>
            <w:r>
              <w:rPr>
                <w:sz w:val="24"/>
              </w:rPr>
              <w:t>натощак &gt;6,1</w:t>
            </w:r>
            <w:r>
              <w:rPr>
                <w:spacing w:val="-1"/>
                <w:sz w:val="24"/>
              </w:rPr>
              <w:t> </w:t>
            </w:r>
            <w:r>
              <w:rPr>
                <w:sz w:val="24"/>
              </w:rPr>
              <w:t>и 7,0</w:t>
            </w:r>
            <w:r>
              <w:rPr>
                <w:spacing w:val="-1"/>
                <w:sz w:val="24"/>
              </w:rPr>
              <w:t> </w:t>
            </w:r>
            <w:r>
              <w:rPr>
                <w:sz w:val="24"/>
              </w:rPr>
              <w:t>ммоль/л</w:t>
            </w:r>
            <w:r>
              <w:rPr>
                <w:spacing w:val="-1"/>
                <w:sz w:val="24"/>
              </w:rPr>
              <w:t> </w:t>
            </w:r>
            <w:r>
              <w:rPr>
                <w:sz w:val="24"/>
              </w:rPr>
              <w:t>(капиллярная</w:t>
            </w:r>
            <w:r>
              <w:rPr>
                <w:spacing w:val="-1"/>
                <w:sz w:val="24"/>
              </w:rPr>
              <w:t> </w:t>
            </w:r>
            <w:r>
              <w:rPr>
                <w:spacing w:val="-10"/>
                <w:sz w:val="24"/>
              </w:rPr>
              <w:t>и</w:t>
            </w:r>
          </w:p>
          <w:p>
            <w:pPr>
              <w:pStyle w:val="TableParagraph"/>
              <w:spacing w:before="139"/>
              <w:ind w:left="1"/>
              <w:rPr>
                <w:sz w:val="24"/>
              </w:rPr>
            </w:pPr>
            <w:r>
              <w:rPr>
                <w:sz w:val="24"/>
              </w:rPr>
              <w:t>венозная кровь, </w:t>
            </w:r>
            <w:r>
              <w:rPr>
                <w:spacing w:val="-2"/>
                <w:sz w:val="24"/>
              </w:rPr>
              <w:t>соответственно)</w:t>
            </w:r>
          </w:p>
        </w:tc>
      </w:tr>
      <w:tr>
        <w:trPr>
          <w:trHeight w:val="1655" w:hRule="atLeast"/>
        </w:trPr>
        <w:tc>
          <w:tcPr>
            <w:tcW w:w="3125" w:type="dxa"/>
          </w:tcPr>
          <w:p>
            <w:pPr>
              <w:pStyle w:val="TableParagraph"/>
              <w:spacing w:line="360" w:lineRule="auto"/>
              <w:ind w:left="4" w:right="313"/>
              <w:rPr>
                <w:sz w:val="24"/>
              </w:rPr>
            </w:pPr>
            <w:r>
              <w:rPr>
                <w:sz w:val="24"/>
              </w:rPr>
              <w:t>Раннее начало ИБС у ближайших</w:t>
            </w:r>
            <w:r>
              <w:rPr>
                <w:spacing w:val="-15"/>
                <w:sz w:val="24"/>
              </w:rPr>
              <w:t> </w:t>
            </w:r>
            <w:r>
              <w:rPr>
                <w:sz w:val="24"/>
              </w:rPr>
              <w:t>родственников </w:t>
            </w:r>
            <w:r>
              <w:rPr>
                <w:spacing w:val="-2"/>
                <w:sz w:val="24"/>
              </w:rPr>
              <w:t>(отягощенная</w:t>
            </w:r>
          </w:p>
          <w:p>
            <w:pPr>
              <w:pStyle w:val="TableParagraph"/>
              <w:ind w:left="4"/>
              <w:rPr>
                <w:sz w:val="24"/>
              </w:rPr>
            </w:pPr>
            <w:r>
              <w:rPr>
                <w:spacing w:val="-2"/>
                <w:sz w:val="24"/>
              </w:rPr>
              <w:t>наследственность)</w:t>
            </w:r>
          </w:p>
        </w:tc>
        <w:tc>
          <w:tcPr>
            <w:tcW w:w="5789" w:type="dxa"/>
          </w:tcPr>
          <w:p>
            <w:pPr>
              <w:pStyle w:val="TableParagraph"/>
              <w:ind w:left="0"/>
              <w:rPr>
                <w:b/>
                <w:sz w:val="36"/>
              </w:rPr>
            </w:pPr>
          </w:p>
          <w:p>
            <w:pPr>
              <w:pStyle w:val="TableParagraph"/>
              <w:spacing w:line="360" w:lineRule="auto"/>
              <w:ind w:left="1"/>
              <w:rPr>
                <w:sz w:val="24"/>
              </w:rPr>
            </w:pPr>
            <w:r>
              <w:rPr>
                <w:sz w:val="24"/>
              </w:rPr>
              <w:t>Инфаркт</w:t>
            </w:r>
            <w:r>
              <w:rPr>
                <w:spacing w:val="-7"/>
                <w:sz w:val="24"/>
              </w:rPr>
              <w:t> </w:t>
            </w:r>
            <w:r>
              <w:rPr>
                <w:sz w:val="24"/>
              </w:rPr>
              <w:t>миокарда</w:t>
            </w:r>
            <w:r>
              <w:rPr>
                <w:spacing w:val="-8"/>
                <w:sz w:val="24"/>
              </w:rPr>
              <w:t> </w:t>
            </w:r>
            <w:r>
              <w:rPr>
                <w:sz w:val="24"/>
              </w:rPr>
              <w:t>или</w:t>
            </w:r>
            <w:r>
              <w:rPr>
                <w:spacing w:val="-9"/>
                <w:sz w:val="24"/>
              </w:rPr>
              <w:t> </w:t>
            </w:r>
            <w:r>
              <w:rPr>
                <w:sz w:val="24"/>
              </w:rPr>
              <w:t>нестабильная</w:t>
            </w:r>
            <w:r>
              <w:rPr>
                <w:spacing w:val="-7"/>
                <w:sz w:val="24"/>
              </w:rPr>
              <w:t> </w:t>
            </w:r>
            <w:r>
              <w:rPr>
                <w:sz w:val="24"/>
              </w:rPr>
              <w:t>стенокардия</w:t>
            </w:r>
            <w:r>
              <w:rPr>
                <w:spacing w:val="-7"/>
                <w:sz w:val="24"/>
              </w:rPr>
              <w:t> </w:t>
            </w:r>
            <w:r>
              <w:rPr>
                <w:sz w:val="24"/>
              </w:rPr>
              <w:t>у мужчин в возрасте &lt;55 лет, у женщин &lt;60 лет</w:t>
            </w:r>
          </w:p>
        </w:tc>
      </w:tr>
      <w:tr>
        <w:trPr>
          <w:trHeight w:val="830" w:hRule="atLeast"/>
        </w:trPr>
        <w:tc>
          <w:tcPr>
            <w:tcW w:w="3125" w:type="dxa"/>
          </w:tcPr>
          <w:p>
            <w:pPr>
              <w:pStyle w:val="TableParagraph"/>
              <w:spacing w:line="275" w:lineRule="exact"/>
              <w:ind w:left="4"/>
              <w:rPr>
                <w:sz w:val="24"/>
              </w:rPr>
            </w:pPr>
            <w:r>
              <w:rPr>
                <w:sz w:val="24"/>
              </w:rPr>
              <w:t>Семейная</w:t>
            </w:r>
            <w:r>
              <w:rPr>
                <w:spacing w:val="-2"/>
                <w:sz w:val="24"/>
              </w:rPr>
              <w:t> гиперлипидемия,</w:t>
            </w:r>
          </w:p>
          <w:p>
            <w:pPr>
              <w:pStyle w:val="TableParagraph"/>
              <w:spacing w:before="139"/>
              <w:ind w:left="4"/>
              <w:rPr>
                <w:sz w:val="24"/>
              </w:rPr>
            </w:pPr>
            <w:r>
              <w:rPr>
                <w:sz w:val="24"/>
              </w:rPr>
              <w:t>по</w:t>
            </w:r>
            <w:r>
              <w:rPr>
                <w:spacing w:val="-1"/>
                <w:sz w:val="24"/>
              </w:rPr>
              <w:t> </w:t>
            </w:r>
            <w:r>
              <w:rPr>
                <w:sz w:val="24"/>
              </w:rPr>
              <w:t>данным </w:t>
            </w:r>
            <w:r>
              <w:rPr>
                <w:spacing w:val="-2"/>
                <w:sz w:val="24"/>
              </w:rPr>
              <w:t>анамнеза</w:t>
            </w:r>
          </w:p>
        </w:tc>
        <w:tc>
          <w:tcPr>
            <w:tcW w:w="5789" w:type="dxa"/>
          </w:tcPr>
          <w:p>
            <w:pPr>
              <w:pStyle w:val="TableParagraph"/>
              <w:spacing w:before="207"/>
              <w:ind w:left="1"/>
              <w:rPr>
                <w:sz w:val="24"/>
              </w:rPr>
            </w:pPr>
            <w:r>
              <w:rPr>
                <w:sz w:val="24"/>
              </w:rPr>
              <w:t>IIа, IIb</w:t>
            </w:r>
            <w:r>
              <w:rPr>
                <w:spacing w:val="-2"/>
                <w:sz w:val="24"/>
              </w:rPr>
              <w:t> </w:t>
            </w:r>
            <w:r>
              <w:rPr>
                <w:sz w:val="24"/>
              </w:rPr>
              <w:t>и</w:t>
            </w:r>
            <w:r>
              <w:rPr>
                <w:spacing w:val="-1"/>
                <w:sz w:val="24"/>
              </w:rPr>
              <w:t> </w:t>
            </w:r>
            <w:r>
              <w:rPr>
                <w:sz w:val="24"/>
              </w:rPr>
              <w:t>III</w:t>
            </w:r>
            <w:r>
              <w:rPr>
                <w:spacing w:val="-2"/>
                <w:sz w:val="24"/>
              </w:rPr>
              <w:t> </w:t>
            </w:r>
            <w:r>
              <w:rPr>
                <w:spacing w:val="-5"/>
                <w:sz w:val="24"/>
              </w:rPr>
              <w:t>тип</w:t>
            </w:r>
          </w:p>
        </w:tc>
      </w:tr>
    </w:tbl>
    <w:p>
      <w:pPr>
        <w:spacing w:after="0"/>
        <w:rPr>
          <w:sz w:val="24"/>
        </w:rPr>
        <w:sectPr>
          <w:type w:val="continuous"/>
          <w:pgSz w:w="11910" w:h="16840"/>
          <w:pgMar w:header="0" w:footer="710" w:top="1100" w:bottom="900" w:left="440" w:right="280"/>
        </w:sectPr>
      </w:pPr>
    </w:p>
    <w:tbl>
      <w:tblPr>
        <w:tblW w:w="0" w:type="auto"/>
        <w:jc w:val="left"/>
        <w:tblInd w:w="1261"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CellMar>
          <w:top w:w="0" w:type="dxa"/>
          <w:left w:w="0" w:type="dxa"/>
          <w:bottom w:w="0" w:type="dxa"/>
          <w:right w:w="0" w:type="dxa"/>
        </w:tblCellMar>
        <w:tblLook w:val="01E0"/>
      </w:tblPr>
      <w:tblGrid>
        <w:gridCol w:w="3125"/>
        <w:gridCol w:w="5789"/>
      </w:tblGrid>
      <w:tr>
        <w:trPr>
          <w:trHeight w:val="592" w:hRule="atLeast"/>
        </w:trPr>
        <w:tc>
          <w:tcPr>
            <w:tcW w:w="3125" w:type="dxa"/>
          </w:tcPr>
          <w:p>
            <w:pPr>
              <w:pStyle w:val="TableParagraph"/>
              <w:spacing w:before="90"/>
              <w:ind w:left="4"/>
              <w:rPr>
                <w:sz w:val="24"/>
              </w:rPr>
            </w:pPr>
            <w:r>
              <w:rPr>
                <w:sz w:val="24"/>
              </w:rPr>
              <w:t>Абдоминальное</w:t>
            </w:r>
            <w:r>
              <w:rPr>
                <w:spacing w:val="-2"/>
                <w:sz w:val="24"/>
              </w:rPr>
              <w:t> ожирение</w:t>
            </w:r>
          </w:p>
        </w:tc>
        <w:tc>
          <w:tcPr>
            <w:tcW w:w="5789" w:type="dxa"/>
          </w:tcPr>
          <w:p>
            <w:pPr>
              <w:pStyle w:val="TableParagraph"/>
              <w:spacing w:before="90"/>
              <w:ind w:left="1"/>
              <w:rPr>
                <w:sz w:val="24"/>
              </w:rPr>
            </w:pPr>
            <w:r>
              <w:rPr>
                <w:sz w:val="24"/>
              </w:rPr>
              <w:t>Окружность</w:t>
            </w:r>
            <w:r>
              <w:rPr>
                <w:spacing w:val="-2"/>
                <w:sz w:val="24"/>
              </w:rPr>
              <w:t> </w:t>
            </w:r>
            <w:r>
              <w:rPr>
                <w:sz w:val="24"/>
              </w:rPr>
              <w:t>талии:</w:t>
            </w:r>
            <w:r>
              <w:rPr>
                <w:spacing w:val="-1"/>
                <w:sz w:val="24"/>
              </w:rPr>
              <w:t> </w:t>
            </w:r>
            <w:r>
              <w:rPr>
                <w:sz w:val="24"/>
              </w:rPr>
              <w:t>у</w:t>
            </w:r>
            <w:r>
              <w:rPr>
                <w:spacing w:val="-1"/>
                <w:sz w:val="24"/>
              </w:rPr>
              <w:t> </w:t>
            </w:r>
            <w:r>
              <w:rPr>
                <w:sz w:val="24"/>
              </w:rPr>
              <w:t>мужчин ≥94</w:t>
            </w:r>
            <w:r>
              <w:rPr>
                <w:spacing w:val="-1"/>
                <w:sz w:val="24"/>
              </w:rPr>
              <w:t> </w:t>
            </w:r>
            <w:r>
              <w:rPr>
                <w:sz w:val="24"/>
              </w:rPr>
              <w:t>см,</w:t>
            </w:r>
            <w:r>
              <w:rPr>
                <w:spacing w:val="-1"/>
                <w:sz w:val="24"/>
              </w:rPr>
              <w:t> </w:t>
            </w:r>
            <w:r>
              <w:rPr>
                <w:sz w:val="24"/>
              </w:rPr>
              <w:t>у</w:t>
            </w:r>
            <w:r>
              <w:rPr>
                <w:spacing w:val="-1"/>
                <w:sz w:val="24"/>
              </w:rPr>
              <w:t> </w:t>
            </w:r>
            <w:r>
              <w:rPr>
                <w:sz w:val="24"/>
              </w:rPr>
              <w:t>женщин ≥80</w:t>
            </w:r>
            <w:r>
              <w:rPr>
                <w:spacing w:val="-1"/>
                <w:sz w:val="24"/>
              </w:rPr>
              <w:t> </w:t>
            </w:r>
            <w:r>
              <w:rPr>
                <w:spacing w:val="-5"/>
                <w:sz w:val="24"/>
              </w:rPr>
              <w:t>см</w:t>
            </w:r>
          </w:p>
        </w:tc>
      </w:tr>
      <w:tr>
        <w:trPr>
          <w:trHeight w:val="827" w:hRule="atLeast"/>
        </w:trPr>
        <w:tc>
          <w:tcPr>
            <w:tcW w:w="3125" w:type="dxa"/>
          </w:tcPr>
          <w:p>
            <w:pPr>
              <w:pStyle w:val="TableParagraph"/>
              <w:spacing w:line="275" w:lineRule="exact"/>
              <w:ind w:left="4"/>
              <w:rPr>
                <w:sz w:val="24"/>
              </w:rPr>
            </w:pPr>
            <w:r>
              <w:rPr>
                <w:sz w:val="24"/>
              </w:rPr>
              <w:t>Хроническое</w:t>
            </w:r>
            <w:r>
              <w:rPr>
                <w:spacing w:val="-2"/>
                <w:sz w:val="24"/>
              </w:rPr>
              <w:t> заболевание</w:t>
            </w:r>
          </w:p>
          <w:p>
            <w:pPr>
              <w:pStyle w:val="TableParagraph"/>
              <w:spacing w:before="139"/>
              <w:ind w:left="4"/>
              <w:rPr>
                <w:sz w:val="24"/>
              </w:rPr>
            </w:pPr>
            <w:r>
              <w:rPr>
                <w:spacing w:val="-4"/>
                <w:sz w:val="24"/>
              </w:rPr>
              <w:t>почек</w:t>
            </w:r>
          </w:p>
        </w:tc>
        <w:tc>
          <w:tcPr>
            <w:tcW w:w="5789" w:type="dxa"/>
          </w:tcPr>
          <w:p>
            <w:pPr>
              <w:pStyle w:val="TableParagraph"/>
              <w:spacing w:line="275" w:lineRule="exact"/>
              <w:ind w:left="1"/>
              <w:rPr>
                <w:sz w:val="24"/>
              </w:rPr>
            </w:pPr>
            <w:r>
              <w:rPr>
                <w:sz w:val="24"/>
              </w:rPr>
              <w:t>Снижение</w:t>
            </w:r>
            <w:r>
              <w:rPr>
                <w:spacing w:val="-4"/>
                <w:sz w:val="24"/>
              </w:rPr>
              <w:t> </w:t>
            </w:r>
            <w:r>
              <w:rPr>
                <w:sz w:val="24"/>
              </w:rPr>
              <w:t>скорости</w:t>
            </w:r>
            <w:r>
              <w:rPr>
                <w:spacing w:val="-1"/>
                <w:sz w:val="24"/>
              </w:rPr>
              <w:t> </w:t>
            </w:r>
            <w:r>
              <w:rPr>
                <w:sz w:val="24"/>
              </w:rPr>
              <w:t>клубочковой</w:t>
            </w:r>
            <w:r>
              <w:rPr>
                <w:spacing w:val="-1"/>
                <w:sz w:val="24"/>
              </w:rPr>
              <w:t> </w:t>
            </w:r>
            <w:r>
              <w:rPr>
                <w:sz w:val="24"/>
              </w:rPr>
              <w:t>фильтрации</w:t>
            </w:r>
            <w:r>
              <w:rPr>
                <w:spacing w:val="-1"/>
                <w:sz w:val="24"/>
              </w:rPr>
              <w:t> </w:t>
            </w:r>
            <w:r>
              <w:rPr>
                <w:spacing w:val="-5"/>
                <w:sz w:val="24"/>
              </w:rPr>
              <w:t>&lt;60</w:t>
            </w:r>
          </w:p>
          <w:p>
            <w:pPr>
              <w:pStyle w:val="TableParagraph"/>
              <w:spacing w:before="139"/>
              <w:ind w:left="1"/>
              <w:rPr>
                <w:sz w:val="24"/>
              </w:rPr>
            </w:pPr>
            <w:r>
              <w:rPr>
                <w:spacing w:val="-2"/>
                <w:sz w:val="24"/>
              </w:rPr>
              <w:t>мл/мин</w:t>
            </w:r>
          </w:p>
        </w:tc>
      </w:tr>
      <w:tr>
        <w:trPr>
          <w:trHeight w:val="414" w:hRule="atLeast"/>
        </w:trPr>
        <w:tc>
          <w:tcPr>
            <w:tcW w:w="3125" w:type="dxa"/>
          </w:tcPr>
          <w:p>
            <w:pPr>
              <w:pStyle w:val="TableParagraph"/>
              <w:spacing w:line="275" w:lineRule="exact"/>
              <w:ind w:left="4"/>
              <w:rPr>
                <w:sz w:val="24"/>
              </w:rPr>
            </w:pPr>
            <w:r>
              <w:rPr>
                <w:spacing w:val="-2"/>
                <w:sz w:val="24"/>
              </w:rPr>
              <w:t>Ожирение</w:t>
            </w:r>
          </w:p>
        </w:tc>
        <w:tc>
          <w:tcPr>
            <w:tcW w:w="5789" w:type="dxa"/>
          </w:tcPr>
          <w:p>
            <w:pPr>
              <w:pStyle w:val="TableParagraph"/>
              <w:spacing w:line="275" w:lineRule="exact"/>
              <w:ind w:left="1"/>
              <w:rPr>
                <w:sz w:val="24"/>
              </w:rPr>
            </w:pPr>
            <w:r>
              <w:rPr>
                <w:sz w:val="24"/>
              </w:rPr>
              <w:t>Повышение</w:t>
            </w:r>
            <w:r>
              <w:rPr>
                <w:spacing w:val="-3"/>
                <w:sz w:val="24"/>
              </w:rPr>
              <w:t> </w:t>
            </w:r>
            <w:r>
              <w:rPr>
                <w:sz w:val="24"/>
              </w:rPr>
              <w:t>ИМТ</w:t>
            </w:r>
            <w:r>
              <w:rPr>
                <w:spacing w:val="-2"/>
                <w:sz w:val="24"/>
              </w:rPr>
              <w:t> </w:t>
            </w:r>
            <w:r>
              <w:rPr>
                <w:sz w:val="24"/>
              </w:rPr>
              <w:t>&gt;</w:t>
            </w:r>
            <w:r>
              <w:rPr>
                <w:spacing w:val="-2"/>
                <w:sz w:val="24"/>
              </w:rPr>
              <w:t> </w:t>
            </w:r>
            <w:r>
              <w:rPr>
                <w:sz w:val="24"/>
              </w:rPr>
              <w:t>25</w:t>
            </w:r>
            <w:r>
              <w:rPr>
                <w:spacing w:val="1"/>
                <w:sz w:val="24"/>
              </w:rPr>
              <w:t> </w:t>
            </w:r>
            <w:r>
              <w:rPr>
                <w:spacing w:val="-4"/>
                <w:sz w:val="24"/>
              </w:rPr>
              <w:t>кг/м</w:t>
            </w:r>
            <w:r>
              <w:rPr>
                <w:spacing w:val="-4"/>
                <w:sz w:val="24"/>
                <w:vertAlign w:val="superscript"/>
              </w:rPr>
              <w:t>2</w:t>
            </w:r>
          </w:p>
        </w:tc>
      </w:tr>
    </w:tbl>
    <w:p>
      <w:pPr>
        <w:pStyle w:val="BodyText"/>
        <w:ind w:left="0"/>
        <w:rPr>
          <w:b/>
          <w:sz w:val="20"/>
        </w:rPr>
      </w:pPr>
    </w:p>
    <w:p>
      <w:pPr>
        <w:pStyle w:val="BodyText"/>
        <w:ind w:left="0"/>
        <w:rPr>
          <w:b/>
          <w:sz w:val="20"/>
        </w:rPr>
      </w:pPr>
    </w:p>
    <w:p>
      <w:pPr>
        <w:spacing w:line="360" w:lineRule="auto" w:before="207"/>
        <w:ind w:left="2331" w:right="571" w:firstLine="0"/>
        <w:jc w:val="left"/>
        <w:rPr>
          <w:b/>
          <w:sz w:val="24"/>
        </w:rPr>
      </w:pPr>
      <w:bookmarkStart w:name="Приложение А3.1. Принципы диагностики и " w:id="342"/>
      <w:bookmarkEnd w:id="342"/>
      <w:r>
        <w:rPr/>
      </w:r>
      <w:bookmarkStart w:name="_bookmark290" w:id="343"/>
      <w:bookmarkEnd w:id="343"/>
      <w:r>
        <w:rPr/>
      </w:r>
      <w:r>
        <w:rPr>
          <w:b/>
          <w:sz w:val="24"/>
        </w:rPr>
        <w:t>Приложение А3.1. Принципы диагностики и оценки сердечно-сосудистого </w:t>
      </w:r>
      <w:r>
        <w:rPr>
          <w:b/>
          <w:spacing w:val="-4"/>
          <w:sz w:val="24"/>
        </w:rPr>
        <w:t>риска</w:t>
      </w:r>
    </w:p>
    <w:p>
      <w:pPr>
        <w:spacing w:before="1"/>
        <w:ind w:left="1261" w:right="0" w:firstLine="0"/>
        <w:jc w:val="left"/>
        <w:rPr>
          <w:b/>
          <w:sz w:val="24"/>
        </w:rPr>
      </w:pPr>
      <w:r>
        <w:rPr>
          <w:b/>
          <w:sz w:val="24"/>
        </w:rPr>
        <w:t>Таблица</w:t>
      </w:r>
      <w:r>
        <w:rPr>
          <w:b/>
          <w:spacing w:val="-5"/>
          <w:sz w:val="24"/>
        </w:rPr>
        <w:t> </w:t>
      </w:r>
      <w:r>
        <w:rPr>
          <w:b/>
          <w:sz w:val="24"/>
        </w:rPr>
        <w:t>А3.4.</w:t>
      </w:r>
      <w:r>
        <w:rPr>
          <w:b/>
          <w:spacing w:val="-3"/>
          <w:sz w:val="24"/>
        </w:rPr>
        <w:t> </w:t>
      </w:r>
      <w:r>
        <w:rPr>
          <w:b/>
          <w:sz w:val="24"/>
        </w:rPr>
        <w:t>Количественная</w:t>
      </w:r>
      <w:r>
        <w:rPr>
          <w:b/>
          <w:spacing w:val="-4"/>
          <w:sz w:val="24"/>
        </w:rPr>
        <w:t> </w:t>
      </w:r>
      <w:r>
        <w:rPr>
          <w:b/>
          <w:sz w:val="24"/>
        </w:rPr>
        <w:t>оценка</w:t>
      </w:r>
      <w:r>
        <w:rPr>
          <w:b/>
          <w:spacing w:val="-3"/>
          <w:sz w:val="24"/>
        </w:rPr>
        <w:t> </w:t>
      </w:r>
      <w:r>
        <w:rPr>
          <w:b/>
          <w:sz w:val="24"/>
        </w:rPr>
        <w:t>индекса</w:t>
      </w:r>
      <w:r>
        <w:rPr>
          <w:b/>
          <w:spacing w:val="-3"/>
          <w:sz w:val="24"/>
        </w:rPr>
        <w:t> </w:t>
      </w:r>
      <w:r>
        <w:rPr>
          <w:b/>
          <w:sz w:val="24"/>
        </w:rPr>
        <w:t>коронарного</w:t>
      </w:r>
      <w:r>
        <w:rPr>
          <w:b/>
          <w:spacing w:val="-2"/>
          <w:sz w:val="24"/>
        </w:rPr>
        <w:t> кальция</w:t>
      </w:r>
    </w:p>
    <w:p>
      <w:pPr>
        <w:pStyle w:val="BodyText"/>
        <w:spacing w:before="1" w:after="1"/>
        <w:ind w:left="0"/>
        <w:rPr>
          <w:b/>
          <w:sz w:val="12"/>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867"/>
        <w:gridCol w:w="5294"/>
        <w:gridCol w:w="2076"/>
      </w:tblGrid>
      <w:tr>
        <w:trPr>
          <w:trHeight w:val="1245" w:hRule="atLeast"/>
        </w:trPr>
        <w:tc>
          <w:tcPr>
            <w:tcW w:w="1867" w:type="dxa"/>
          </w:tcPr>
          <w:p>
            <w:pPr>
              <w:pStyle w:val="TableParagraph"/>
              <w:spacing w:line="360" w:lineRule="auto"/>
              <w:rPr>
                <w:b/>
                <w:sz w:val="24"/>
              </w:rPr>
            </w:pPr>
            <w:r>
              <w:rPr>
                <w:b/>
                <w:spacing w:val="-2"/>
                <w:sz w:val="24"/>
              </w:rPr>
              <w:t>Индекс коронарного</w:t>
            </w:r>
          </w:p>
          <w:p>
            <w:pPr>
              <w:pStyle w:val="TableParagraph"/>
              <w:rPr>
                <w:b/>
                <w:sz w:val="24"/>
              </w:rPr>
            </w:pPr>
            <w:r>
              <w:rPr>
                <w:b/>
                <w:spacing w:val="-2"/>
                <w:sz w:val="24"/>
              </w:rPr>
              <w:t>кальция</w:t>
            </w:r>
          </w:p>
        </w:tc>
        <w:tc>
          <w:tcPr>
            <w:tcW w:w="5294" w:type="dxa"/>
          </w:tcPr>
          <w:p>
            <w:pPr>
              <w:pStyle w:val="TableParagraph"/>
              <w:spacing w:line="275" w:lineRule="exact"/>
              <w:ind w:left="108"/>
              <w:rPr>
                <w:b/>
                <w:sz w:val="24"/>
              </w:rPr>
            </w:pPr>
            <w:r>
              <w:rPr>
                <w:b/>
                <w:sz w:val="24"/>
              </w:rPr>
              <w:t>Изменения</w:t>
            </w:r>
            <w:r>
              <w:rPr>
                <w:b/>
                <w:spacing w:val="-7"/>
                <w:sz w:val="24"/>
              </w:rPr>
              <w:t> </w:t>
            </w:r>
            <w:r>
              <w:rPr>
                <w:b/>
                <w:sz w:val="24"/>
              </w:rPr>
              <w:t>коронарных</w:t>
            </w:r>
            <w:r>
              <w:rPr>
                <w:b/>
                <w:spacing w:val="-6"/>
                <w:sz w:val="24"/>
              </w:rPr>
              <w:t> </w:t>
            </w:r>
            <w:r>
              <w:rPr>
                <w:b/>
                <w:spacing w:val="-2"/>
                <w:sz w:val="24"/>
              </w:rPr>
              <w:t>артерий</w:t>
            </w:r>
          </w:p>
        </w:tc>
        <w:tc>
          <w:tcPr>
            <w:tcW w:w="2076" w:type="dxa"/>
          </w:tcPr>
          <w:p>
            <w:pPr>
              <w:pStyle w:val="TableParagraph"/>
              <w:spacing w:line="275" w:lineRule="exact"/>
              <w:ind w:left="108"/>
              <w:rPr>
                <w:b/>
                <w:sz w:val="24"/>
              </w:rPr>
            </w:pPr>
            <w:r>
              <w:rPr>
                <w:b/>
                <w:spacing w:val="-4"/>
                <w:sz w:val="24"/>
              </w:rPr>
              <w:t>Риск</w:t>
            </w:r>
          </w:p>
        </w:tc>
      </w:tr>
      <w:tr>
        <w:trPr>
          <w:trHeight w:val="412" w:hRule="atLeast"/>
        </w:trPr>
        <w:tc>
          <w:tcPr>
            <w:tcW w:w="1867" w:type="dxa"/>
          </w:tcPr>
          <w:p>
            <w:pPr>
              <w:pStyle w:val="TableParagraph"/>
              <w:spacing w:line="275" w:lineRule="exact"/>
              <w:rPr>
                <w:sz w:val="24"/>
              </w:rPr>
            </w:pPr>
            <w:r>
              <w:rPr>
                <w:sz w:val="24"/>
              </w:rPr>
              <w:t>0</w:t>
            </w:r>
          </w:p>
        </w:tc>
        <w:tc>
          <w:tcPr>
            <w:tcW w:w="5294" w:type="dxa"/>
          </w:tcPr>
          <w:p>
            <w:pPr>
              <w:pStyle w:val="TableParagraph"/>
              <w:spacing w:line="275" w:lineRule="exact"/>
              <w:ind w:left="108"/>
              <w:rPr>
                <w:sz w:val="24"/>
              </w:rPr>
            </w:pPr>
            <w:r>
              <w:rPr>
                <w:sz w:val="24"/>
              </w:rPr>
              <w:t>Нет</w:t>
            </w:r>
            <w:r>
              <w:rPr>
                <w:spacing w:val="-1"/>
                <w:sz w:val="24"/>
              </w:rPr>
              <w:t> </w:t>
            </w:r>
            <w:r>
              <w:rPr>
                <w:sz w:val="24"/>
              </w:rPr>
              <w:t>признаков</w:t>
            </w:r>
            <w:r>
              <w:rPr>
                <w:spacing w:val="-1"/>
                <w:sz w:val="24"/>
              </w:rPr>
              <w:t> </w:t>
            </w:r>
            <w:r>
              <w:rPr>
                <w:spacing w:val="-2"/>
                <w:sz w:val="24"/>
              </w:rPr>
              <w:t>поражения</w:t>
            </w:r>
          </w:p>
        </w:tc>
        <w:tc>
          <w:tcPr>
            <w:tcW w:w="2076" w:type="dxa"/>
          </w:tcPr>
          <w:p>
            <w:pPr>
              <w:pStyle w:val="TableParagraph"/>
              <w:spacing w:line="275" w:lineRule="exact"/>
              <w:ind w:left="108"/>
              <w:rPr>
                <w:sz w:val="24"/>
              </w:rPr>
            </w:pPr>
            <w:r>
              <w:rPr>
                <w:spacing w:val="-2"/>
                <w:sz w:val="24"/>
              </w:rPr>
              <w:t>низкий</w:t>
            </w:r>
          </w:p>
        </w:tc>
      </w:tr>
      <w:tr>
        <w:trPr>
          <w:trHeight w:val="414" w:hRule="atLeast"/>
        </w:trPr>
        <w:tc>
          <w:tcPr>
            <w:tcW w:w="1867" w:type="dxa"/>
          </w:tcPr>
          <w:p>
            <w:pPr>
              <w:pStyle w:val="TableParagraph"/>
              <w:spacing w:before="1"/>
              <w:rPr>
                <w:sz w:val="24"/>
              </w:rPr>
            </w:pPr>
            <w:r>
              <w:rPr>
                <w:spacing w:val="-4"/>
                <w:sz w:val="24"/>
              </w:rPr>
              <w:t>1–10</w:t>
            </w:r>
          </w:p>
        </w:tc>
        <w:tc>
          <w:tcPr>
            <w:tcW w:w="5294" w:type="dxa"/>
          </w:tcPr>
          <w:p>
            <w:pPr>
              <w:pStyle w:val="TableParagraph"/>
              <w:spacing w:before="1"/>
              <w:ind w:left="108"/>
              <w:rPr>
                <w:sz w:val="24"/>
              </w:rPr>
            </w:pPr>
            <w:r>
              <w:rPr>
                <w:sz w:val="24"/>
              </w:rPr>
              <w:t>Минимальная</w:t>
            </w:r>
            <w:r>
              <w:rPr>
                <w:spacing w:val="-3"/>
                <w:sz w:val="24"/>
              </w:rPr>
              <w:t> </w:t>
            </w:r>
            <w:r>
              <w:rPr>
                <w:spacing w:val="-2"/>
                <w:sz w:val="24"/>
              </w:rPr>
              <w:t>кальцификация</w:t>
            </w:r>
          </w:p>
        </w:tc>
        <w:tc>
          <w:tcPr>
            <w:tcW w:w="2076" w:type="dxa"/>
          </w:tcPr>
          <w:p>
            <w:pPr>
              <w:pStyle w:val="TableParagraph"/>
              <w:spacing w:before="1"/>
              <w:ind w:left="108"/>
              <w:rPr>
                <w:sz w:val="24"/>
              </w:rPr>
            </w:pPr>
            <w:r>
              <w:rPr>
                <w:spacing w:val="-2"/>
                <w:sz w:val="24"/>
              </w:rPr>
              <w:t>умеренный</w:t>
            </w:r>
          </w:p>
        </w:tc>
      </w:tr>
      <w:tr>
        <w:trPr>
          <w:trHeight w:val="827" w:hRule="atLeast"/>
        </w:trPr>
        <w:tc>
          <w:tcPr>
            <w:tcW w:w="1867" w:type="dxa"/>
          </w:tcPr>
          <w:p>
            <w:pPr>
              <w:pStyle w:val="TableParagraph"/>
              <w:spacing w:line="275" w:lineRule="exact"/>
              <w:rPr>
                <w:sz w:val="24"/>
              </w:rPr>
            </w:pPr>
            <w:r>
              <w:rPr>
                <w:spacing w:val="-2"/>
                <w:sz w:val="24"/>
              </w:rPr>
              <w:t>11–100</w:t>
            </w:r>
          </w:p>
        </w:tc>
        <w:tc>
          <w:tcPr>
            <w:tcW w:w="5294" w:type="dxa"/>
          </w:tcPr>
          <w:p>
            <w:pPr>
              <w:pStyle w:val="TableParagraph"/>
              <w:tabs>
                <w:tab w:pos="2236" w:val="left" w:leader="none"/>
                <w:tab w:pos="4362" w:val="left" w:leader="none"/>
              </w:tabs>
              <w:spacing w:line="275" w:lineRule="exact"/>
              <w:ind w:left="108"/>
              <w:rPr>
                <w:sz w:val="24"/>
              </w:rPr>
            </w:pPr>
            <w:r>
              <w:rPr>
                <w:spacing w:val="-2"/>
                <w:sz w:val="24"/>
              </w:rPr>
              <w:t>Незначительная</w:t>
            </w:r>
            <w:r>
              <w:rPr>
                <w:sz w:val="24"/>
              </w:rPr>
              <w:tab/>
            </w:r>
            <w:r>
              <w:rPr>
                <w:spacing w:val="-2"/>
                <w:sz w:val="24"/>
              </w:rPr>
              <w:t>кальцификация.</w:t>
            </w:r>
            <w:r>
              <w:rPr>
                <w:sz w:val="24"/>
              </w:rPr>
              <w:tab/>
            </w:r>
            <w:r>
              <w:rPr>
                <w:spacing w:val="-2"/>
                <w:sz w:val="24"/>
              </w:rPr>
              <w:t>Обычно</w:t>
            </w:r>
          </w:p>
          <w:p>
            <w:pPr>
              <w:pStyle w:val="TableParagraph"/>
              <w:spacing w:before="139"/>
              <w:ind w:left="108"/>
              <w:rPr>
                <w:sz w:val="24"/>
              </w:rPr>
            </w:pPr>
            <w:r>
              <w:rPr>
                <w:sz w:val="24"/>
              </w:rPr>
              <w:t>имеются</w:t>
            </w:r>
            <w:r>
              <w:rPr>
                <w:spacing w:val="-2"/>
                <w:sz w:val="24"/>
              </w:rPr>
              <w:t> </w:t>
            </w:r>
            <w:r>
              <w:rPr>
                <w:sz w:val="24"/>
              </w:rPr>
              <w:t>атеросклеротические</w:t>
            </w:r>
            <w:r>
              <w:rPr>
                <w:spacing w:val="-2"/>
                <w:sz w:val="24"/>
              </w:rPr>
              <w:t> </w:t>
            </w:r>
            <w:r>
              <w:rPr>
                <w:sz w:val="24"/>
              </w:rPr>
              <w:t>бляшки до</w:t>
            </w:r>
            <w:r>
              <w:rPr>
                <w:spacing w:val="-1"/>
                <w:sz w:val="24"/>
              </w:rPr>
              <w:t> </w:t>
            </w:r>
            <w:r>
              <w:rPr>
                <w:spacing w:val="-5"/>
                <w:sz w:val="24"/>
              </w:rPr>
              <w:t>50%</w:t>
            </w:r>
          </w:p>
        </w:tc>
        <w:tc>
          <w:tcPr>
            <w:tcW w:w="2076" w:type="dxa"/>
          </w:tcPr>
          <w:p>
            <w:pPr>
              <w:pStyle w:val="TableParagraph"/>
              <w:spacing w:line="275" w:lineRule="exact"/>
              <w:ind w:left="108"/>
              <w:rPr>
                <w:sz w:val="24"/>
              </w:rPr>
            </w:pPr>
            <w:r>
              <w:rPr>
                <w:spacing w:val="-2"/>
                <w:sz w:val="24"/>
              </w:rPr>
              <w:t>высокий</w:t>
            </w:r>
          </w:p>
        </w:tc>
      </w:tr>
      <w:tr>
        <w:trPr>
          <w:trHeight w:val="1245" w:hRule="atLeast"/>
        </w:trPr>
        <w:tc>
          <w:tcPr>
            <w:tcW w:w="1867" w:type="dxa"/>
          </w:tcPr>
          <w:p>
            <w:pPr>
              <w:pStyle w:val="TableParagraph"/>
              <w:spacing w:line="275" w:lineRule="exact"/>
              <w:rPr>
                <w:sz w:val="24"/>
              </w:rPr>
            </w:pPr>
            <w:r>
              <w:rPr>
                <w:spacing w:val="-2"/>
                <w:sz w:val="24"/>
              </w:rPr>
              <w:t>101–400</w:t>
            </w:r>
          </w:p>
        </w:tc>
        <w:tc>
          <w:tcPr>
            <w:tcW w:w="5294" w:type="dxa"/>
          </w:tcPr>
          <w:p>
            <w:pPr>
              <w:pStyle w:val="TableParagraph"/>
              <w:spacing w:line="275" w:lineRule="exact"/>
              <w:ind w:left="108"/>
              <w:rPr>
                <w:sz w:val="24"/>
              </w:rPr>
            </w:pPr>
            <w:r>
              <w:rPr>
                <w:sz w:val="24"/>
              </w:rPr>
              <w:t>Умеренная</w:t>
            </w:r>
            <w:r>
              <w:rPr>
                <w:spacing w:val="25"/>
                <w:sz w:val="24"/>
              </w:rPr>
              <w:t> </w:t>
            </w:r>
            <w:r>
              <w:rPr>
                <w:sz w:val="24"/>
              </w:rPr>
              <w:t>кальцификация.</w:t>
            </w:r>
            <w:r>
              <w:rPr>
                <w:spacing w:val="26"/>
                <w:sz w:val="24"/>
              </w:rPr>
              <w:t> </w:t>
            </w:r>
            <w:r>
              <w:rPr>
                <w:sz w:val="24"/>
              </w:rPr>
              <w:t>Обычно</w:t>
            </w:r>
            <w:r>
              <w:rPr>
                <w:spacing w:val="24"/>
                <w:sz w:val="24"/>
              </w:rPr>
              <w:t> </w:t>
            </w:r>
            <w:r>
              <w:rPr>
                <w:sz w:val="24"/>
              </w:rPr>
              <w:t>имеются</w:t>
            </w:r>
            <w:r>
              <w:rPr>
                <w:spacing w:val="25"/>
                <w:sz w:val="24"/>
              </w:rPr>
              <w:t> </w:t>
            </w:r>
            <w:r>
              <w:rPr>
                <w:spacing w:val="-5"/>
                <w:sz w:val="24"/>
              </w:rPr>
              <w:t>2–</w:t>
            </w:r>
          </w:p>
          <w:p>
            <w:pPr>
              <w:pStyle w:val="TableParagraph"/>
              <w:tabs>
                <w:tab w:pos="451" w:val="left" w:leader="none"/>
                <w:tab w:pos="2839" w:val="left" w:leader="none"/>
                <w:tab w:pos="3847" w:val="left" w:leader="none"/>
                <w:tab w:pos="4176" w:val="left" w:leader="none"/>
              </w:tabs>
              <w:spacing w:line="410" w:lineRule="atLeast" w:before="5"/>
              <w:ind w:left="108" w:right="95"/>
              <w:rPr>
                <w:sz w:val="24"/>
              </w:rPr>
            </w:pPr>
            <w:r>
              <w:rPr>
                <w:spacing w:val="-10"/>
                <w:sz w:val="24"/>
              </w:rPr>
              <w:t>4</w:t>
            </w:r>
            <w:r>
              <w:rPr>
                <w:sz w:val="24"/>
              </w:rPr>
              <w:tab/>
            </w:r>
            <w:r>
              <w:rPr>
                <w:spacing w:val="-2"/>
                <w:sz w:val="24"/>
              </w:rPr>
              <w:t>атеросклеротические</w:t>
            </w:r>
            <w:r>
              <w:rPr>
                <w:sz w:val="24"/>
              </w:rPr>
              <w:tab/>
            </w:r>
            <w:r>
              <w:rPr>
                <w:spacing w:val="-2"/>
                <w:sz w:val="24"/>
              </w:rPr>
              <w:t>бляшки</w:t>
            </w:r>
            <w:r>
              <w:rPr>
                <w:sz w:val="24"/>
              </w:rPr>
              <w:tab/>
            </w:r>
            <w:r>
              <w:rPr>
                <w:spacing w:val="-10"/>
                <w:sz w:val="24"/>
              </w:rPr>
              <w:t>с</w:t>
            </w:r>
            <w:r>
              <w:rPr>
                <w:sz w:val="24"/>
              </w:rPr>
              <w:tab/>
            </w:r>
            <w:r>
              <w:rPr>
                <w:spacing w:val="-2"/>
                <w:sz w:val="24"/>
              </w:rPr>
              <w:t>сужением</w:t>
            </w:r>
            <w:r>
              <w:rPr>
                <w:spacing w:val="-2"/>
                <w:sz w:val="24"/>
              </w:rPr>
              <w:t> </w:t>
            </w:r>
            <w:r>
              <w:rPr>
                <w:sz w:val="24"/>
              </w:rPr>
              <w:t>коронарной артерии более 50%</w:t>
            </w:r>
          </w:p>
        </w:tc>
        <w:tc>
          <w:tcPr>
            <w:tcW w:w="2076" w:type="dxa"/>
          </w:tcPr>
          <w:p>
            <w:pPr>
              <w:pStyle w:val="TableParagraph"/>
              <w:tabs>
                <w:tab w:pos="1591" w:val="left" w:leader="none"/>
              </w:tabs>
              <w:spacing w:line="360" w:lineRule="auto"/>
              <w:ind w:left="108" w:right="94"/>
              <w:rPr>
                <w:sz w:val="24"/>
              </w:rPr>
            </w:pPr>
            <w:r>
              <w:rPr>
                <w:spacing w:val="-2"/>
                <w:sz w:val="24"/>
              </w:rPr>
              <w:t>высокий</w:t>
            </w:r>
            <w:r>
              <w:rPr>
                <w:sz w:val="24"/>
              </w:rPr>
              <w:tab/>
            </w:r>
            <w:r>
              <w:rPr>
                <w:spacing w:val="-4"/>
                <w:sz w:val="24"/>
              </w:rPr>
              <w:t>или </w:t>
            </w:r>
            <w:r>
              <w:rPr>
                <w:sz w:val="24"/>
              </w:rPr>
              <w:t>очень высокий</w:t>
            </w:r>
          </w:p>
        </w:tc>
      </w:tr>
      <w:tr>
        <w:trPr>
          <w:trHeight w:val="419" w:hRule="atLeast"/>
        </w:trPr>
        <w:tc>
          <w:tcPr>
            <w:tcW w:w="1867" w:type="dxa"/>
          </w:tcPr>
          <w:p>
            <w:pPr>
              <w:pStyle w:val="TableParagraph"/>
              <w:spacing w:line="275" w:lineRule="exact"/>
              <w:rPr>
                <w:sz w:val="24"/>
              </w:rPr>
            </w:pPr>
            <w:r>
              <w:rPr>
                <w:sz w:val="24"/>
              </w:rPr>
              <w:t>&gt;</w:t>
            </w:r>
            <w:r>
              <w:rPr>
                <w:spacing w:val="-1"/>
                <w:sz w:val="24"/>
              </w:rPr>
              <w:t> </w:t>
            </w:r>
            <w:r>
              <w:rPr>
                <w:spacing w:val="-5"/>
                <w:sz w:val="24"/>
              </w:rPr>
              <w:t>400</w:t>
            </w:r>
          </w:p>
        </w:tc>
        <w:tc>
          <w:tcPr>
            <w:tcW w:w="5294" w:type="dxa"/>
          </w:tcPr>
          <w:p>
            <w:pPr>
              <w:pStyle w:val="TableParagraph"/>
              <w:spacing w:line="275" w:lineRule="exact"/>
              <w:ind w:left="108"/>
              <w:rPr>
                <w:sz w:val="24"/>
              </w:rPr>
            </w:pPr>
            <w:r>
              <w:rPr>
                <w:sz w:val="24"/>
              </w:rPr>
              <w:t>Выраженная</w:t>
            </w:r>
            <w:r>
              <w:rPr>
                <w:spacing w:val="-4"/>
                <w:sz w:val="24"/>
              </w:rPr>
              <w:t> </w:t>
            </w:r>
            <w:r>
              <w:rPr>
                <w:spacing w:val="-2"/>
                <w:sz w:val="24"/>
              </w:rPr>
              <w:t>кальцификация</w:t>
            </w:r>
          </w:p>
        </w:tc>
        <w:tc>
          <w:tcPr>
            <w:tcW w:w="2076" w:type="dxa"/>
          </w:tcPr>
          <w:p>
            <w:pPr>
              <w:pStyle w:val="TableParagraph"/>
              <w:spacing w:line="275" w:lineRule="exact"/>
              <w:ind w:left="108"/>
              <w:rPr>
                <w:sz w:val="24"/>
              </w:rPr>
            </w:pPr>
            <w:r>
              <w:rPr>
                <w:sz w:val="24"/>
              </w:rPr>
              <w:t>очень</w:t>
            </w:r>
            <w:r>
              <w:rPr>
                <w:spacing w:val="-1"/>
                <w:sz w:val="24"/>
              </w:rPr>
              <w:t> </w:t>
            </w:r>
            <w:r>
              <w:rPr>
                <w:spacing w:val="-2"/>
                <w:sz w:val="24"/>
              </w:rPr>
              <w:t>высокий</w:t>
            </w:r>
          </w:p>
        </w:tc>
      </w:tr>
    </w:tbl>
    <w:p>
      <w:pPr>
        <w:pStyle w:val="BodyText"/>
        <w:ind w:left="0"/>
        <w:rPr>
          <w:b/>
          <w:sz w:val="26"/>
        </w:rPr>
      </w:pPr>
    </w:p>
    <w:p>
      <w:pPr>
        <w:pStyle w:val="BodyText"/>
        <w:ind w:left="0"/>
        <w:rPr>
          <w:b/>
          <w:sz w:val="26"/>
        </w:rPr>
      </w:pPr>
    </w:p>
    <w:p>
      <w:pPr>
        <w:pStyle w:val="BodyText"/>
        <w:spacing w:before="11"/>
        <w:ind w:left="0"/>
        <w:rPr>
          <w:b/>
          <w:sz w:val="30"/>
        </w:rPr>
      </w:pPr>
    </w:p>
    <w:p>
      <w:pPr>
        <w:spacing w:before="0"/>
        <w:ind w:left="1261" w:right="0" w:firstLine="0"/>
        <w:jc w:val="left"/>
        <w:rPr>
          <w:sz w:val="24"/>
        </w:rPr>
      </w:pPr>
      <w:r>
        <w:rPr>
          <w:b/>
          <w:sz w:val="24"/>
        </w:rPr>
        <w:t>Таблица</w:t>
      </w:r>
      <w:r>
        <w:rPr>
          <w:b/>
          <w:spacing w:val="-6"/>
          <w:sz w:val="24"/>
        </w:rPr>
        <w:t> </w:t>
      </w:r>
      <w:r>
        <w:rPr>
          <w:b/>
          <w:sz w:val="24"/>
        </w:rPr>
        <w:t>А3.5.</w:t>
      </w:r>
      <w:r>
        <w:rPr>
          <w:b/>
          <w:spacing w:val="-3"/>
          <w:sz w:val="24"/>
        </w:rPr>
        <w:t> </w:t>
      </w:r>
      <w:r>
        <w:rPr>
          <w:b/>
          <w:sz w:val="24"/>
        </w:rPr>
        <w:t>Основные</w:t>
      </w:r>
      <w:r>
        <w:rPr>
          <w:b/>
          <w:spacing w:val="-3"/>
          <w:sz w:val="24"/>
        </w:rPr>
        <w:t> </w:t>
      </w:r>
      <w:r>
        <w:rPr>
          <w:b/>
          <w:sz w:val="24"/>
        </w:rPr>
        <w:t>наследственные</w:t>
      </w:r>
      <w:r>
        <w:rPr>
          <w:b/>
          <w:spacing w:val="-3"/>
          <w:sz w:val="24"/>
        </w:rPr>
        <w:t> </w:t>
      </w:r>
      <w:r>
        <w:rPr>
          <w:b/>
          <w:sz w:val="24"/>
        </w:rPr>
        <w:t>(генетические)</w:t>
      </w:r>
      <w:r>
        <w:rPr>
          <w:b/>
          <w:spacing w:val="-4"/>
          <w:sz w:val="24"/>
        </w:rPr>
        <w:t> </w:t>
      </w:r>
      <w:r>
        <w:rPr>
          <w:b/>
          <w:sz w:val="24"/>
        </w:rPr>
        <w:t>дислипидемии</w:t>
      </w:r>
      <w:r>
        <w:rPr>
          <w:b/>
          <w:spacing w:val="-3"/>
          <w:sz w:val="24"/>
        </w:rPr>
        <w:t> </w:t>
      </w:r>
      <w:r>
        <w:rPr>
          <w:spacing w:val="-5"/>
          <w:sz w:val="24"/>
        </w:rPr>
        <w:t>[</w:t>
      </w:r>
      <w:hyperlink w:history="true" w:anchor="_bookmark55">
        <w:r>
          <w:rPr>
            <w:spacing w:val="-5"/>
            <w:sz w:val="24"/>
          </w:rPr>
          <w:t>9</w:t>
        </w:r>
      </w:hyperlink>
      <w:r>
        <w:rPr>
          <w:spacing w:val="-5"/>
          <w:sz w:val="24"/>
        </w:rPr>
        <w:t>]</w:t>
      </w:r>
    </w:p>
    <w:p>
      <w:pPr>
        <w:pStyle w:val="BodyText"/>
        <w:ind w:left="0"/>
        <w:rPr>
          <w:sz w:val="12"/>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31"/>
        <w:gridCol w:w="1341"/>
        <w:gridCol w:w="1732"/>
        <w:gridCol w:w="2133"/>
        <w:gridCol w:w="1732"/>
      </w:tblGrid>
      <w:tr>
        <w:trPr>
          <w:trHeight w:val="1655" w:hRule="atLeast"/>
        </w:trPr>
        <w:tc>
          <w:tcPr>
            <w:tcW w:w="2131" w:type="dxa"/>
          </w:tcPr>
          <w:p>
            <w:pPr>
              <w:pStyle w:val="TableParagraph"/>
              <w:ind w:left="0"/>
              <w:rPr>
                <w:sz w:val="36"/>
              </w:rPr>
            </w:pPr>
          </w:p>
          <w:p>
            <w:pPr>
              <w:pStyle w:val="TableParagraph"/>
              <w:rPr>
                <w:b/>
                <w:sz w:val="24"/>
              </w:rPr>
            </w:pPr>
            <w:r>
              <w:rPr>
                <w:b/>
                <w:spacing w:val="-2"/>
                <w:sz w:val="24"/>
              </w:rPr>
              <w:t>Дислипидемия</w:t>
            </w:r>
          </w:p>
        </w:tc>
        <w:tc>
          <w:tcPr>
            <w:tcW w:w="1341" w:type="dxa"/>
          </w:tcPr>
          <w:p>
            <w:pPr>
              <w:pStyle w:val="TableParagraph"/>
              <w:ind w:left="0"/>
              <w:rPr>
                <w:sz w:val="36"/>
              </w:rPr>
            </w:pPr>
          </w:p>
          <w:p>
            <w:pPr>
              <w:pStyle w:val="TableParagraph"/>
              <w:spacing w:line="360" w:lineRule="auto"/>
              <w:ind w:right="415"/>
              <w:rPr>
                <w:b/>
                <w:sz w:val="24"/>
              </w:rPr>
            </w:pPr>
            <w:r>
              <w:rPr>
                <w:b/>
                <w:spacing w:val="-2"/>
                <w:sz w:val="24"/>
              </w:rPr>
              <w:t>Дефект </w:t>
            </w:r>
            <w:r>
              <w:rPr>
                <w:b/>
                <w:spacing w:val="-4"/>
                <w:sz w:val="24"/>
              </w:rPr>
              <w:t>гена</w:t>
            </w:r>
          </w:p>
        </w:tc>
        <w:tc>
          <w:tcPr>
            <w:tcW w:w="1732" w:type="dxa"/>
          </w:tcPr>
          <w:p>
            <w:pPr>
              <w:pStyle w:val="TableParagraph"/>
              <w:spacing w:line="360" w:lineRule="auto"/>
              <w:ind w:left="106"/>
              <w:rPr>
                <w:b/>
                <w:sz w:val="24"/>
              </w:rPr>
            </w:pPr>
            <w:r>
              <w:rPr>
                <w:b/>
                <w:spacing w:val="-2"/>
                <w:sz w:val="24"/>
              </w:rPr>
              <w:t>Повышение </w:t>
            </w:r>
            <w:r>
              <w:rPr>
                <w:b/>
                <w:sz w:val="24"/>
              </w:rPr>
              <w:t>липидов</w:t>
            </w:r>
            <w:r>
              <w:rPr>
                <w:b/>
                <w:spacing w:val="-15"/>
                <w:sz w:val="24"/>
              </w:rPr>
              <w:t> </w:t>
            </w:r>
            <w:r>
              <w:rPr>
                <w:b/>
                <w:sz w:val="24"/>
              </w:rPr>
              <w:t>или </w:t>
            </w:r>
            <w:r>
              <w:rPr>
                <w:b/>
                <w:spacing w:val="-2"/>
                <w:sz w:val="24"/>
              </w:rPr>
              <w:t>липопротеид</w:t>
            </w:r>
          </w:p>
          <w:p>
            <w:pPr>
              <w:pStyle w:val="TableParagraph"/>
              <w:ind w:left="106"/>
              <w:rPr>
                <w:b/>
                <w:sz w:val="24"/>
              </w:rPr>
            </w:pPr>
            <w:r>
              <w:rPr>
                <w:b/>
                <w:spacing w:val="-5"/>
                <w:sz w:val="24"/>
              </w:rPr>
              <w:t>ов</w:t>
            </w:r>
          </w:p>
        </w:tc>
        <w:tc>
          <w:tcPr>
            <w:tcW w:w="2133" w:type="dxa"/>
          </w:tcPr>
          <w:p>
            <w:pPr>
              <w:pStyle w:val="TableParagraph"/>
              <w:ind w:left="0"/>
              <w:rPr>
                <w:sz w:val="36"/>
              </w:rPr>
            </w:pPr>
          </w:p>
          <w:p>
            <w:pPr>
              <w:pStyle w:val="TableParagraph"/>
              <w:spacing w:line="360" w:lineRule="auto"/>
              <w:ind w:left="109" w:right="307"/>
              <w:rPr>
                <w:b/>
                <w:sz w:val="24"/>
              </w:rPr>
            </w:pPr>
            <w:r>
              <w:rPr>
                <w:b/>
                <w:spacing w:val="-2"/>
                <w:sz w:val="24"/>
              </w:rPr>
              <w:t>Клинические признаки</w:t>
            </w:r>
          </w:p>
        </w:tc>
        <w:tc>
          <w:tcPr>
            <w:tcW w:w="1732" w:type="dxa"/>
          </w:tcPr>
          <w:p>
            <w:pPr>
              <w:pStyle w:val="TableParagraph"/>
              <w:ind w:left="0"/>
              <w:rPr>
                <w:sz w:val="36"/>
              </w:rPr>
            </w:pPr>
          </w:p>
          <w:p>
            <w:pPr>
              <w:pStyle w:val="TableParagraph"/>
              <w:spacing w:line="360" w:lineRule="auto"/>
              <w:ind w:left="110" w:right="61"/>
              <w:rPr>
                <w:b/>
                <w:sz w:val="24"/>
              </w:rPr>
            </w:pPr>
            <w:r>
              <w:rPr>
                <w:b/>
                <w:spacing w:val="-2"/>
                <w:sz w:val="24"/>
              </w:rPr>
              <w:t>Встречаемост </w:t>
            </w:r>
            <w:r>
              <w:rPr>
                <w:b/>
                <w:spacing w:val="-10"/>
                <w:sz w:val="24"/>
              </w:rPr>
              <w:t>ь</w:t>
            </w:r>
          </w:p>
        </w:tc>
      </w:tr>
      <w:tr>
        <w:trPr>
          <w:trHeight w:val="2070" w:hRule="atLeast"/>
        </w:trPr>
        <w:tc>
          <w:tcPr>
            <w:tcW w:w="2131" w:type="dxa"/>
          </w:tcPr>
          <w:p>
            <w:pPr>
              <w:pStyle w:val="TableParagraph"/>
              <w:spacing w:line="360" w:lineRule="auto"/>
              <w:rPr>
                <w:sz w:val="24"/>
              </w:rPr>
            </w:pPr>
            <w:r>
              <w:rPr>
                <w:spacing w:val="-2"/>
                <w:sz w:val="24"/>
              </w:rPr>
              <w:t>Семейная гиперхолестерине </w:t>
            </w:r>
            <w:r>
              <w:rPr>
                <w:spacing w:val="-4"/>
                <w:sz w:val="24"/>
              </w:rPr>
              <w:t>мия</w:t>
            </w:r>
          </w:p>
        </w:tc>
        <w:tc>
          <w:tcPr>
            <w:tcW w:w="1341" w:type="dxa"/>
          </w:tcPr>
          <w:p>
            <w:pPr>
              <w:pStyle w:val="TableParagraph"/>
              <w:ind w:left="0"/>
              <w:rPr>
                <w:sz w:val="36"/>
              </w:rPr>
            </w:pPr>
          </w:p>
          <w:p>
            <w:pPr>
              <w:pStyle w:val="TableParagraph"/>
              <w:spacing w:line="360" w:lineRule="auto"/>
              <w:ind w:right="449"/>
              <w:rPr>
                <w:i/>
                <w:sz w:val="24"/>
              </w:rPr>
            </w:pPr>
            <w:r>
              <w:rPr>
                <w:i/>
                <w:spacing w:val="-2"/>
                <w:sz w:val="24"/>
              </w:rPr>
              <w:t>LDLR, PCSK9, </w:t>
            </w:r>
            <w:r>
              <w:rPr>
                <w:i/>
                <w:spacing w:val="-4"/>
                <w:sz w:val="24"/>
              </w:rPr>
              <w:t>APOB</w:t>
            </w:r>
          </w:p>
        </w:tc>
        <w:tc>
          <w:tcPr>
            <w:tcW w:w="1732" w:type="dxa"/>
          </w:tcPr>
          <w:p>
            <w:pPr>
              <w:pStyle w:val="TableParagraph"/>
              <w:ind w:left="0"/>
              <w:rPr>
                <w:sz w:val="36"/>
              </w:rPr>
            </w:pPr>
          </w:p>
          <w:p>
            <w:pPr>
              <w:pStyle w:val="TableParagraph"/>
              <w:ind w:left="106"/>
              <w:rPr>
                <w:sz w:val="24"/>
              </w:rPr>
            </w:pPr>
            <w:r>
              <w:rPr>
                <w:sz w:val="24"/>
              </w:rPr>
              <w:t>ХС</w:t>
            </w:r>
            <w:r>
              <w:rPr>
                <w:spacing w:val="-1"/>
                <w:sz w:val="24"/>
              </w:rPr>
              <w:t> </w:t>
            </w:r>
            <w:r>
              <w:rPr>
                <w:spacing w:val="-5"/>
                <w:sz w:val="24"/>
              </w:rPr>
              <w:t>ЛНП</w:t>
            </w:r>
          </w:p>
        </w:tc>
        <w:tc>
          <w:tcPr>
            <w:tcW w:w="2133" w:type="dxa"/>
          </w:tcPr>
          <w:p>
            <w:pPr>
              <w:pStyle w:val="TableParagraph"/>
              <w:spacing w:line="360" w:lineRule="auto"/>
              <w:ind w:left="109" w:right="307"/>
              <w:rPr>
                <w:sz w:val="24"/>
              </w:rPr>
            </w:pPr>
            <w:r>
              <w:rPr>
                <w:spacing w:val="-2"/>
                <w:sz w:val="24"/>
              </w:rPr>
              <w:t>Ксантоматоз сухожилий, ранний атеросклероз</w:t>
            </w:r>
          </w:p>
        </w:tc>
        <w:tc>
          <w:tcPr>
            <w:tcW w:w="1732" w:type="dxa"/>
          </w:tcPr>
          <w:p>
            <w:pPr>
              <w:pStyle w:val="TableParagraph"/>
              <w:spacing w:line="275" w:lineRule="exact"/>
              <w:ind w:left="110"/>
              <w:rPr>
                <w:sz w:val="24"/>
              </w:rPr>
            </w:pPr>
            <w:r>
              <w:rPr>
                <w:sz w:val="24"/>
              </w:rPr>
              <w:t>1/250 </w:t>
            </w:r>
            <w:r>
              <w:rPr>
                <w:spacing w:val="-10"/>
                <w:sz w:val="24"/>
              </w:rPr>
              <w:t>—</w:t>
            </w:r>
          </w:p>
          <w:p>
            <w:pPr>
              <w:pStyle w:val="TableParagraph"/>
              <w:spacing w:line="360" w:lineRule="auto" w:before="139"/>
              <w:ind w:left="110" w:right="61"/>
              <w:rPr>
                <w:sz w:val="24"/>
              </w:rPr>
            </w:pPr>
            <w:r>
              <w:rPr>
                <w:spacing w:val="-2"/>
                <w:sz w:val="24"/>
              </w:rPr>
              <w:t>гетерозиготна </w:t>
            </w:r>
            <w:r>
              <w:rPr>
                <w:spacing w:val="-6"/>
                <w:sz w:val="24"/>
              </w:rPr>
              <w:t>я,</w:t>
            </w:r>
          </w:p>
          <w:p>
            <w:pPr>
              <w:pStyle w:val="TableParagraph"/>
              <w:ind w:left="110"/>
              <w:rPr>
                <w:sz w:val="24"/>
              </w:rPr>
            </w:pPr>
            <w:r>
              <w:rPr>
                <w:sz w:val="24"/>
              </w:rPr>
              <w:t>1/300 000 </w:t>
            </w:r>
            <w:r>
              <w:rPr>
                <w:spacing w:val="-10"/>
                <w:sz w:val="24"/>
              </w:rPr>
              <w:t>—</w:t>
            </w:r>
          </w:p>
          <w:p>
            <w:pPr>
              <w:pStyle w:val="TableParagraph"/>
              <w:spacing w:before="137"/>
              <w:ind w:left="110"/>
              <w:rPr>
                <w:sz w:val="24"/>
              </w:rPr>
            </w:pPr>
            <w:r>
              <w:rPr>
                <w:spacing w:val="-2"/>
                <w:sz w:val="24"/>
              </w:rPr>
              <w:t>гомозиготная</w:t>
            </w:r>
          </w:p>
        </w:tc>
      </w:tr>
      <w:tr>
        <w:trPr>
          <w:trHeight w:val="827" w:hRule="atLeast"/>
        </w:trPr>
        <w:tc>
          <w:tcPr>
            <w:tcW w:w="2131" w:type="dxa"/>
          </w:tcPr>
          <w:p>
            <w:pPr>
              <w:pStyle w:val="TableParagraph"/>
              <w:spacing w:line="275" w:lineRule="exact"/>
              <w:rPr>
                <w:sz w:val="24"/>
              </w:rPr>
            </w:pPr>
            <w:r>
              <w:rPr>
                <w:spacing w:val="-2"/>
                <w:sz w:val="24"/>
              </w:rPr>
              <w:t>Cемейная</w:t>
            </w:r>
          </w:p>
          <w:p>
            <w:pPr>
              <w:pStyle w:val="TableParagraph"/>
              <w:spacing w:before="137"/>
              <w:rPr>
                <w:sz w:val="24"/>
              </w:rPr>
            </w:pPr>
            <w:r>
              <w:rPr>
                <w:spacing w:val="-2"/>
                <w:sz w:val="24"/>
              </w:rPr>
              <w:t>гиперхиломикрон</w:t>
            </w:r>
          </w:p>
        </w:tc>
        <w:tc>
          <w:tcPr>
            <w:tcW w:w="1341" w:type="dxa"/>
          </w:tcPr>
          <w:p>
            <w:pPr>
              <w:pStyle w:val="TableParagraph"/>
              <w:spacing w:before="9"/>
              <w:ind w:left="0"/>
              <w:rPr>
                <w:sz w:val="35"/>
              </w:rPr>
            </w:pPr>
          </w:p>
          <w:p>
            <w:pPr>
              <w:pStyle w:val="TableParagraph"/>
              <w:rPr>
                <w:i/>
                <w:sz w:val="24"/>
              </w:rPr>
            </w:pPr>
            <w:r>
              <w:rPr>
                <w:i/>
                <w:spacing w:val="-4"/>
                <w:sz w:val="24"/>
              </w:rPr>
              <w:t>LPL,</w:t>
            </w:r>
          </w:p>
        </w:tc>
        <w:tc>
          <w:tcPr>
            <w:tcW w:w="1732" w:type="dxa"/>
          </w:tcPr>
          <w:p>
            <w:pPr>
              <w:pStyle w:val="TableParagraph"/>
              <w:spacing w:before="9"/>
              <w:ind w:left="0"/>
              <w:rPr>
                <w:sz w:val="35"/>
              </w:rPr>
            </w:pPr>
          </w:p>
          <w:p>
            <w:pPr>
              <w:pStyle w:val="TableParagraph"/>
              <w:ind w:left="106"/>
              <w:rPr>
                <w:sz w:val="24"/>
              </w:rPr>
            </w:pPr>
            <w:r>
              <w:rPr>
                <w:spacing w:val="-2"/>
                <w:sz w:val="24"/>
              </w:rPr>
              <w:t>Хиломикроны</w:t>
            </w:r>
          </w:p>
        </w:tc>
        <w:tc>
          <w:tcPr>
            <w:tcW w:w="2133" w:type="dxa"/>
          </w:tcPr>
          <w:p>
            <w:pPr>
              <w:pStyle w:val="TableParagraph"/>
              <w:spacing w:line="275" w:lineRule="exact"/>
              <w:ind w:left="109"/>
              <w:rPr>
                <w:sz w:val="24"/>
              </w:rPr>
            </w:pPr>
            <w:r>
              <w:rPr>
                <w:spacing w:val="-2"/>
                <w:sz w:val="24"/>
              </w:rPr>
              <w:t>Эруптивные</w:t>
            </w:r>
          </w:p>
          <w:p>
            <w:pPr>
              <w:pStyle w:val="TableParagraph"/>
              <w:spacing w:before="137"/>
              <w:ind w:left="109"/>
              <w:rPr>
                <w:sz w:val="24"/>
              </w:rPr>
            </w:pPr>
            <w:r>
              <w:rPr>
                <w:spacing w:val="-2"/>
                <w:sz w:val="24"/>
              </w:rPr>
              <w:t>ксантомы,</w:t>
            </w:r>
          </w:p>
        </w:tc>
        <w:tc>
          <w:tcPr>
            <w:tcW w:w="1732" w:type="dxa"/>
          </w:tcPr>
          <w:p>
            <w:pPr>
              <w:pStyle w:val="TableParagraph"/>
              <w:spacing w:before="9"/>
              <w:ind w:left="0"/>
              <w:rPr>
                <w:sz w:val="35"/>
              </w:rPr>
            </w:pPr>
          </w:p>
          <w:p>
            <w:pPr>
              <w:pStyle w:val="TableParagraph"/>
              <w:ind w:left="110"/>
              <w:rPr>
                <w:sz w:val="24"/>
              </w:rPr>
            </w:pPr>
            <w:r>
              <w:rPr>
                <w:sz w:val="24"/>
              </w:rPr>
              <w:t>1/1 000 </w:t>
            </w:r>
            <w:r>
              <w:rPr>
                <w:spacing w:val="-5"/>
                <w:sz w:val="24"/>
              </w:rPr>
              <w:t>000</w:t>
            </w:r>
          </w:p>
        </w:tc>
      </w:tr>
    </w:tbl>
    <w:p>
      <w:pPr>
        <w:spacing w:after="0"/>
        <w:rPr>
          <w:sz w:val="24"/>
        </w:rPr>
        <w:sectPr>
          <w:type w:val="continuous"/>
          <w:pgSz w:w="11910" w:h="16840"/>
          <w:pgMar w:header="0" w:footer="710" w:top="1100" w:bottom="900" w:left="440" w:right="280"/>
        </w:sect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31"/>
        <w:gridCol w:w="1341"/>
        <w:gridCol w:w="1732"/>
        <w:gridCol w:w="2133"/>
        <w:gridCol w:w="1732"/>
      </w:tblGrid>
      <w:tr>
        <w:trPr>
          <w:trHeight w:val="829" w:hRule="atLeast"/>
        </w:trPr>
        <w:tc>
          <w:tcPr>
            <w:tcW w:w="2131" w:type="dxa"/>
          </w:tcPr>
          <w:p>
            <w:pPr>
              <w:pStyle w:val="TableParagraph"/>
              <w:spacing w:before="1"/>
              <w:rPr>
                <w:sz w:val="24"/>
              </w:rPr>
            </w:pPr>
            <w:r>
              <w:rPr>
                <w:spacing w:val="-4"/>
                <w:sz w:val="24"/>
              </w:rPr>
              <w:t>емия</w:t>
            </w:r>
          </w:p>
        </w:tc>
        <w:tc>
          <w:tcPr>
            <w:tcW w:w="1341" w:type="dxa"/>
          </w:tcPr>
          <w:p>
            <w:pPr>
              <w:pStyle w:val="TableParagraph"/>
              <w:spacing w:before="1"/>
              <w:rPr>
                <w:i/>
                <w:sz w:val="24"/>
              </w:rPr>
            </w:pPr>
            <w:r>
              <w:rPr>
                <w:i/>
                <w:spacing w:val="-2"/>
                <w:sz w:val="24"/>
              </w:rPr>
              <w:t>APOС2</w:t>
            </w:r>
          </w:p>
        </w:tc>
        <w:tc>
          <w:tcPr>
            <w:tcW w:w="1732" w:type="dxa"/>
          </w:tcPr>
          <w:p>
            <w:pPr>
              <w:pStyle w:val="TableParagraph"/>
              <w:ind w:left="0"/>
              <w:rPr>
                <w:sz w:val="24"/>
              </w:rPr>
            </w:pPr>
          </w:p>
        </w:tc>
        <w:tc>
          <w:tcPr>
            <w:tcW w:w="2133" w:type="dxa"/>
          </w:tcPr>
          <w:p>
            <w:pPr>
              <w:pStyle w:val="TableParagraph"/>
              <w:spacing w:before="1"/>
              <w:ind w:left="109"/>
              <w:rPr>
                <w:sz w:val="24"/>
              </w:rPr>
            </w:pPr>
            <w:r>
              <w:rPr>
                <w:spacing w:val="-2"/>
                <w:sz w:val="24"/>
              </w:rPr>
              <w:t>гепатоспленомега</w:t>
            </w:r>
          </w:p>
          <w:p>
            <w:pPr>
              <w:pStyle w:val="TableParagraph"/>
              <w:spacing w:before="137"/>
              <w:ind w:left="109"/>
              <w:rPr>
                <w:sz w:val="24"/>
              </w:rPr>
            </w:pPr>
            <w:r>
              <w:rPr>
                <w:sz w:val="24"/>
              </w:rPr>
              <w:t>лия,</w:t>
            </w:r>
            <w:r>
              <w:rPr>
                <w:spacing w:val="1"/>
                <w:sz w:val="24"/>
              </w:rPr>
              <w:t> </w:t>
            </w:r>
            <w:r>
              <w:rPr>
                <w:spacing w:val="-2"/>
                <w:sz w:val="24"/>
              </w:rPr>
              <w:t>панкреатиты</w:t>
            </w:r>
          </w:p>
        </w:tc>
        <w:tc>
          <w:tcPr>
            <w:tcW w:w="1732" w:type="dxa"/>
          </w:tcPr>
          <w:p>
            <w:pPr>
              <w:pStyle w:val="TableParagraph"/>
              <w:ind w:left="0"/>
              <w:rPr>
                <w:sz w:val="24"/>
              </w:rPr>
            </w:pPr>
          </w:p>
        </w:tc>
      </w:tr>
      <w:tr>
        <w:trPr>
          <w:trHeight w:val="1655" w:hRule="atLeast"/>
        </w:trPr>
        <w:tc>
          <w:tcPr>
            <w:tcW w:w="2131" w:type="dxa"/>
          </w:tcPr>
          <w:p>
            <w:pPr>
              <w:pStyle w:val="TableParagraph"/>
              <w:spacing w:line="360" w:lineRule="auto"/>
              <w:rPr>
                <w:sz w:val="24"/>
              </w:rPr>
            </w:pPr>
            <w:r>
              <w:rPr>
                <w:spacing w:val="-2"/>
                <w:sz w:val="24"/>
              </w:rPr>
              <w:t>Наследственный дефицит печеночной</w:t>
            </w:r>
          </w:p>
          <w:p>
            <w:pPr>
              <w:pStyle w:val="TableParagraph"/>
              <w:spacing w:line="275" w:lineRule="exact"/>
              <w:rPr>
                <w:sz w:val="24"/>
              </w:rPr>
            </w:pPr>
            <w:r>
              <w:rPr>
                <w:spacing w:val="-2"/>
                <w:sz w:val="24"/>
              </w:rPr>
              <w:t>липазы</w:t>
            </w:r>
          </w:p>
        </w:tc>
        <w:tc>
          <w:tcPr>
            <w:tcW w:w="1341" w:type="dxa"/>
          </w:tcPr>
          <w:p>
            <w:pPr>
              <w:pStyle w:val="TableParagraph"/>
              <w:spacing w:before="9"/>
              <w:ind w:left="0"/>
              <w:rPr>
                <w:sz w:val="35"/>
              </w:rPr>
            </w:pPr>
          </w:p>
          <w:p>
            <w:pPr>
              <w:pStyle w:val="TableParagraph"/>
              <w:spacing w:line="360" w:lineRule="auto"/>
              <w:ind w:right="56"/>
              <w:rPr>
                <w:i/>
                <w:sz w:val="24"/>
              </w:rPr>
            </w:pPr>
            <w:r>
              <w:rPr>
                <w:i/>
                <w:spacing w:val="-2"/>
                <w:sz w:val="24"/>
              </w:rPr>
              <w:t>Печеночна </w:t>
            </w:r>
            <w:r>
              <w:rPr>
                <w:i/>
                <w:sz w:val="24"/>
              </w:rPr>
              <w:t>я липаза</w:t>
            </w:r>
          </w:p>
        </w:tc>
        <w:tc>
          <w:tcPr>
            <w:tcW w:w="1732" w:type="dxa"/>
          </w:tcPr>
          <w:p>
            <w:pPr>
              <w:pStyle w:val="TableParagraph"/>
              <w:spacing w:before="9"/>
              <w:ind w:left="0"/>
              <w:rPr>
                <w:sz w:val="35"/>
              </w:rPr>
            </w:pPr>
          </w:p>
          <w:p>
            <w:pPr>
              <w:pStyle w:val="TableParagraph"/>
              <w:spacing w:line="360" w:lineRule="auto"/>
              <w:ind w:left="106" w:right="199"/>
              <w:rPr>
                <w:sz w:val="24"/>
              </w:rPr>
            </w:pPr>
            <w:r>
              <w:rPr>
                <w:spacing w:val="-2"/>
                <w:sz w:val="24"/>
              </w:rPr>
              <w:t>Ремнанты </w:t>
            </w:r>
            <w:r>
              <w:rPr>
                <w:sz w:val="24"/>
              </w:rPr>
              <w:t>ЛОНП</w:t>
            </w:r>
            <w:r>
              <w:rPr>
                <w:spacing w:val="-15"/>
                <w:sz w:val="24"/>
              </w:rPr>
              <w:t> </w:t>
            </w:r>
            <w:r>
              <w:rPr>
                <w:sz w:val="24"/>
              </w:rPr>
              <w:t>(ЛПП)</w:t>
            </w:r>
          </w:p>
        </w:tc>
        <w:tc>
          <w:tcPr>
            <w:tcW w:w="2133" w:type="dxa"/>
          </w:tcPr>
          <w:p>
            <w:pPr>
              <w:pStyle w:val="TableParagraph"/>
              <w:spacing w:line="360" w:lineRule="auto"/>
              <w:ind w:left="109" w:right="307"/>
              <w:rPr>
                <w:sz w:val="24"/>
              </w:rPr>
            </w:pPr>
            <w:r>
              <w:rPr>
                <w:spacing w:val="-2"/>
                <w:sz w:val="24"/>
              </w:rPr>
              <w:t>Ранний атеросклероз, панкреатиты</w:t>
            </w:r>
          </w:p>
        </w:tc>
        <w:tc>
          <w:tcPr>
            <w:tcW w:w="1732" w:type="dxa"/>
          </w:tcPr>
          <w:p>
            <w:pPr>
              <w:pStyle w:val="TableParagraph"/>
              <w:spacing w:before="9"/>
              <w:ind w:left="0"/>
              <w:rPr>
                <w:sz w:val="35"/>
              </w:rPr>
            </w:pPr>
          </w:p>
          <w:p>
            <w:pPr>
              <w:pStyle w:val="TableParagraph"/>
              <w:ind w:left="110"/>
              <w:rPr>
                <w:sz w:val="24"/>
              </w:rPr>
            </w:pPr>
            <w:r>
              <w:rPr>
                <w:sz w:val="24"/>
              </w:rPr>
              <w:t>1/10 </w:t>
            </w:r>
            <w:r>
              <w:rPr>
                <w:spacing w:val="-5"/>
                <w:sz w:val="24"/>
              </w:rPr>
              <w:t>000</w:t>
            </w:r>
          </w:p>
        </w:tc>
      </w:tr>
      <w:tr>
        <w:trPr>
          <w:trHeight w:val="2483" w:hRule="atLeast"/>
        </w:trPr>
        <w:tc>
          <w:tcPr>
            <w:tcW w:w="2131" w:type="dxa"/>
          </w:tcPr>
          <w:p>
            <w:pPr>
              <w:pStyle w:val="TableParagraph"/>
              <w:spacing w:line="360" w:lineRule="auto"/>
              <w:rPr>
                <w:sz w:val="24"/>
              </w:rPr>
            </w:pPr>
            <w:r>
              <w:rPr>
                <w:spacing w:val="-2"/>
                <w:sz w:val="24"/>
              </w:rPr>
              <w:t>Бета- цитостеролемия</w:t>
            </w:r>
          </w:p>
        </w:tc>
        <w:tc>
          <w:tcPr>
            <w:tcW w:w="1341" w:type="dxa"/>
          </w:tcPr>
          <w:p>
            <w:pPr>
              <w:pStyle w:val="TableParagraph"/>
              <w:spacing w:before="9"/>
              <w:ind w:left="0"/>
              <w:rPr>
                <w:sz w:val="35"/>
              </w:rPr>
            </w:pPr>
          </w:p>
          <w:p>
            <w:pPr>
              <w:pStyle w:val="TableParagraph"/>
              <w:rPr>
                <w:i/>
                <w:sz w:val="24"/>
              </w:rPr>
            </w:pPr>
            <w:r>
              <w:rPr>
                <w:i/>
                <w:spacing w:val="-4"/>
                <w:sz w:val="24"/>
              </w:rPr>
              <w:t>APOЕ</w:t>
            </w:r>
          </w:p>
        </w:tc>
        <w:tc>
          <w:tcPr>
            <w:tcW w:w="1732" w:type="dxa"/>
          </w:tcPr>
          <w:p>
            <w:pPr>
              <w:pStyle w:val="TableParagraph"/>
              <w:spacing w:line="275" w:lineRule="exact"/>
              <w:ind w:left="106"/>
              <w:rPr>
                <w:sz w:val="24"/>
              </w:rPr>
            </w:pPr>
            <w:r>
              <w:rPr>
                <w:spacing w:val="-2"/>
                <w:sz w:val="24"/>
              </w:rPr>
              <w:t>Хиломикроны</w:t>
            </w:r>
          </w:p>
          <w:p>
            <w:pPr>
              <w:pStyle w:val="TableParagraph"/>
              <w:spacing w:line="360" w:lineRule="auto" w:before="137"/>
              <w:ind w:left="106" w:right="483"/>
              <w:rPr>
                <w:sz w:val="24"/>
              </w:rPr>
            </w:pPr>
            <w:r>
              <w:rPr>
                <w:sz w:val="24"/>
              </w:rPr>
              <w:t>,</w:t>
            </w:r>
            <w:r>
              <w:rPr>
                <w:spacing w:val="-15"/>
                <w:sz w:val="24"/>
              </w:rPr>
              <w:t> </w:t>
            </w:r>
            <w:r>
              <w:rPr>
                <w:sz w:val="24"/>
              </w:rPr>
              <w:t>ремнанты </w:t>
            </w:r>
            <w:r>
              <w:rPr>
                <w:spacing w:val="-4"/>
                <w:sz w:val="24"/>
              </w:rPr>
              <w:t>ЛОНП</w:t>
            </w:r>
          </w:p>
        </w:tc>
        <w:tc>
          <w:tcPr>
            <w:tcW w:w="2133" w:type="dxa"/>
          </w:tcPr>
          <w:p>
            <w:pPr>
              <w:pStyle w:val="TableParagraph"/>
              <w:spacing w:line="360" w:lineRule="auto"/>
              <w:ind w:left="109" w:right="307"/>
              <w:rPr>
                <w:sz w:val="24"/>
              </w:rPr>
            </w:pPr>
            <w:r>
              <w:rPr>
                <w:sz w:val="24"/>
              </w:rPr>
              <w:t>Пальмарные и </w:t>
            </w:r>
            <w:r>
              <w:rPr>
                <w:spacing w:val="-2"/>
                <w:sz w:val="24"/>
              </w:rPr>
              <w:t>тубуло- эруптивные ксантомы, периферический</w:t>
            </w:r>
          </w:p>
          <w:p>
            <w:pPr>
              <w:pStyle w:val="TableParagraph"/>
              <w:spacing w:line="275" w:lineRule="exact"/>
              <w:ind w:left="109"/>
              <w:rPr>
                <w:sz w:val="24"/>
              </w:rPr>
            </w:pPr>
            <w:r>
              <w:rPr>
                <w:spacing w:val="-2"/>
                <w:sz w:val="24"/>
              </w:rPr>
              <w:t>атеросклероз</w:t>
            </w:r>
          </w:p>
        </w:tc>
        <w:tc>
          <w:tcPr>
            <w:tcW w:w="1732" w:type="dxa"/>
          </w:tcPr>
          <w:p>
            <w:pPr>
              <w:pStyle w:val="TableParagraph"/>
              <w:spacing w:before="9"/>
              <w:ind w:left="0"/>
              <w:rPr>
                <w:sz w:val="35"/>
              </w:rPr>
            </w:pPr>
          </w:p>
          <w:p>
            <w:pPr>
              <w:pStyle w:val="TableParagraph"/>
              <w:ind w:left="110"/>
              <w:rPr>
                <w:sz w:val="24"/>
              </w:rPr>
            </w:pPr>
            <w:r>
              <w:rPr>
                <w:sz w:val="24"/>
              </w:rPr>
              <w:t>1/1 000 </w:t>
            </w:r>
            <w:r>
              <w:rPr>
                <w:spacing w:val="-5"/>
                <w:sz w:val="24"/>
              </w:rPr>
              <w:t>000</w:t>
            </w:r>
          </w:p>
        </w:tc>
      </w:tr>
      <w:tr>
        <w:trPr>
          <w:trHeight w:val="2483" w:hRule="atLeast"/>
        </w:trPr>
        <w:tc>
          <w:tcPr>
            <w:tcW w:w="2131" w:type="dxa"/>
          </w:tcPr>
          <w:p>
            <w:pPr>
              <w:pStyle w:val="TableParagraph"/>
              <w:spacing w:line="360" w:lineRule="auto"/>
              <w:rPr>
                <w:sz w:val="24"/>
              </w:rPr>
            </w:pPr>
            <w:r>
              <w:rPr>
                <w:spacing w:val="-2"/>
                <w:sz w:val="24"/>
              </w:rPr>
              <w:t>Семейная дисбеталипопроте идемия</w:t>
            </w:r>
          </w:p>
        </w:tc>
        <w:tc>
          <w:tcPr>
            <w:tcW w:w="1341" w:type="dxa"/>
          </w:tcPr>
          <w:p>
            <w:pPr>
              <w:pStyle w:val="TableParagraph"/>
              <w:ind w:left="0"/>
              <w:rPr>
                <w:sz w:val="26"/>
              </w:rPr>
            </w:pPr>
          </w:p>
          <w:p>
            <w:pPr>
              <w:pStyle w:val="TableParagraph"/>
              <w:ind w:left="0"/>
              <w:rPr>
                <w:sz w:val="26"/>
              </w:rPr>
            </w:pPr>
          </w:p>
          <w:p>
            <w:pPr>
              <w:pStyle w:val="TableParagraph"/>
              <w:spacing w:before="229"/>
              <w:rPr>
                <w:i/>
                <w:sz w:val="24"/>
              </w:rPr>
            </w:pPr>
            <w:r>
              <w:rPr>
                <w:i/>
                <w:spacing w:val="-4"/>
                <w:sz w:val="24"/>
              </w:rPr>
              <w:t>APOЕ</w:t>
            </w:r>
          </w:p>
        </w:tc>
        <w:tc>
          <w:tcPr>
            <w:tcW w:w="1732" w:type="dxa"/>
          </w:tcPr>
          <w:p>
            <w:pPr>
              <w:pStyle w:val="TableParagraph"/>
              <w:spacing w:before="9"/>
              <w:ind w:left="0"/>
              <w:rPr>
                <w:sz w:val="35"/>
              </w:rPr>
            </w:pPr>
          </w:p>
          <w:p>
            <w:pPr>
              <w:pStyle w:val="TableParagraph"/>
              <w:ind w:left="106"/>
              <w:rPr>
                <w:sz w:val="24"/>
              </w:rPr>
            </w:pPr>
            <w:r>
              <w:rPr>
                <w:spacing w:val="-2"/>
                <w:sz w:val="24"/>
              </w:rPr>
              <w:t>Хиломикроны</w:t>
            </w:r>
          </w:p>
          <w:p>
            <w:pPr>
              <w:pStyle w:val="TableParagraph"/>
              <w:spacing w:line="360" w:lineRule="auto" w:before="139"/>
              <w:ind w:left="106" w:right="483"/>
              <w:rPr>
                <w:sz w:val="24"/>
              </w:rPr>
            </w:pPr>
            <w:r>
              <w:rPr>
                <w:sz w:val="24"/>
              </w:rPr>
              <w:t>,</w:t>
            </w:r>
            <w:r>
              <w:rPr>
                <w:spacing w:val="-15"/>
                <w:sz w:val="24"/>
              </w:rPr>
              <w:t> </w:t>
            </w:r>
            <w:r>
              <w:rPr>
                <w:sz w:val="24"/>
              </w:rPr>
              <w:t>ремнанты </w:t>
            </w:r>
            <w:r>
              <w:rPr>
                <w:spacing w:val="-4"/>
                <w:sz w:val="24"/>
              </w:rPr>
              <w:t>ЛОНП</w:t>
            </w:r>
          </w:p>
        </w:tc>
        <w:tc>
          <w:tcPr>
            <w:tcW w:w="2133" w:type="dxa"/>
          </w:tcPr>
          <w:p>
            <w:pPr>
              <w:pStyle w:val="TableParagraph"/>
              <w:spacing w:line="360" w:lineRule="auto"/>
              <w:ind w:left="109" w:right="307"/>
              <w:rPr>
                <w:sz w:val="24"/>
              </w:rPr>
            </w:pPr>
            <w:r>
              <w:rPr>
                <w:sz w:val="24"/>
              </w:rPr>
              <w:t>Пальмарные и </w:t>
            </w:r>
            <w:r>
              <w:rPr>
                <w:spacing w:val="-2"/>
                <w:sz w:val="24"/>
              </w:rPr>
              <w:t>тубуло- эруптивные ксантомы, периферический</w:t>
            </w:r>
          </w:p>
          <w:p>
            <w:pPr>
              <w:pStyle w:val="TableParagraph"/>
              <w:spacing w:line="275" w:lineRule="exact"/>
              <w:ind w:left="109"/>
              <w:rPr>
                <w:sz w:val="24"/>
              </w:rPr>
            </w:pPr>
            <w:r>
              <w:rPr>
                <w:spacing w:val="-2"/>
                <w:sz w:val="24"/>
              </w:rPr>
              <w:t>атеросклероз</w:t>
            </w:r>
          </w:p>
        </w:tc>
        <w:tc>
          <w:tcPr>
            <w:tcW w:w="1732" w:type="dxa"/>
          </w:tcPr>
          <w:p>
            <w:pPr>
              <w:pStyle w:val="TableParagraph"/>
              <w:ind w:left="0"/>
              <w:rPr>
                <w:sz w:val="26"/>
              </w:rPr>
            </w:pPr>
          </w:p>
          <w:p>
            <w:pPr>
              <w:pStyle w:val="TableParagraph"/>
              <w:ind w:left="0"/>
              <w:rPr>
                <w:sz w:val="26"/>
              </w:rPr>
            </w:pPr>
          </w:p>
          <w:p>
            <w:pPr>
              <w:pStyle w:val="TableParagraph"/>
              <w:spacing w:before="229"/>
              <w:ind w:left="110"/>
              <w:rPr>
                <w:sz w:val="24"/>
              </w:rPr>
            </w:pPr>
            <w:r>
              <w:rPr>
                <w:sz w:val="24"/>
              </w:rPr>
              <w:t>1/10 </w:t>
            </w:r>
            <w:r>
              <w:rPr>
                <w:spacing w:val="-5"/>
                <w:sz w:val="24"/>
              </w:rPr>
              <w:t>000</w:t>
            </w:r>
          </w:p>
        </w:tc>
      </w:tr>
      <w:tr>
        <w:trPr>
          <w:trHeight w:val="1655" w:hRule="atLeast"/>
        </w:trPr>
        <w:tc>
          <w:tcPr>
            <w:tcW w:w="2131" w:type="dxa"/>
          </w:tcPr>
          <w:p>
            <w:pPr>
              <w:pStyle w:val="TableParagraph"/>
              <w:spacing w:line="360" w:lineRule="auto"/>
              <w:rPr>
                <w:sz w:val="24"/>
              </w:rPr>
            </w:pPr>
            <w:r>
              <w:rPr>
                <w:spacing w:val="-2"/>
                <w:sz w:val="24"/>
              </w:rPr>
              <w:t>Семейная комбинированная гиперлипидемия</w:t>
            </w:r>
          </w:p>
        </w:tc>
        <w:tc>
          <w:tcPr>
            <w:tcW w:w="1341" w:type="dxa"/>
          </w:tcPr>
          <w:p>
            <w:pPr>
              <w:pStyle w:val="TableParagraph"/>
              <w:ind w:left="0"/>
              <w:rPr>
                <w:sz w:val="36"/>
              </w:rPr>
            </w:pPr>
          </w:p>
          <w:p>
            <w:pPr>
              <w:pStyle w:val="TableParagraph"/>
              <w:spacing w:line="360" w:lineRule="auto"/>
              <w:ind w:right="128"/>
              <w:rPr>
                <w:i/>
                <w:sz w:val="24"/>
              </w:rPr>
            </w:pPr>
            <w:r>
              <w:rPr>
                <w:i/>
                <w:spacing w:val="-2"/>
                <w:sz w:val="24"/>
              </w:rPr>
              <w:t>Модифици рующие</w:t>
            </w:r>
          </w:p>
          <w:p>
            <w:pPr>
              <w:pStyle w:val="TableParagraph"/>
              <w:rPr>
                <w:i/>
                <w:sz w:val="24"/>
              </w:rPr>
            </w:pPr>
            <w:r>
              <w:rPr>
                <w:i/>
                <w:spacing w:val="-4"/>
                <w:sz w:val="24"/>
              </w:rPr>
              <w:t>гены</w:t>
            </w:r>
          </w:p>
        </w:tc>
        <w:tc>
          <w:tcPr>
            <w:tcW w:w="1732" w:type="dxa"/>
          </w:tcPr>
          <w:p>
            <w:pPr>
              <w:pStyle w:val="TableParagraph"/>
              <w:ind w:left="0"/>
              <w:rPr>
                <w:sz w:val="36"/>
              </w:rPr>
            </w:pPr>
          </w:p>
          <w:p>
            <w:pPr>
              <w:pStyle w:val="TableParagraph"/>
              <w:spacing w:line="360" w:lineRule="auto"/>
              <w:ind w:left="106" w:right="648"/>
              <w:rPr>
                <w:sz w:val="24"/>
              </w:rPr>
            </w:pPr>
            <w:r>
              <w:rPr>
                <w:sz w:val="24"/>
              </w:rPr>
              <w:t>ХС</w:t>
            </w:r>
            <w:r>
              <w:rPr>
                <w:spacing w:val="-15"/>
                <w:sz w:val="24"/>
              </w:rPr>
              <w:t> </w:t>
            </w:r>
            <w:r>
              <w:rPr>
                <w:sz w:val="24"/>
              </w:rPr>
              <w:t>ЛНП, </w:t>
            </w:r>
            <w:r>
              <w:rPr>
                <w:spacing w:val="-4"/>
                <w:sz w:val="24"/>
              </w:rPr>
              <w:t>ЛОНП</w:t>
            </w:r>
          </w:p>
        </w:tc>
        <w:tc>
          <w:tcPr>
            <w:tcW w:w="2133" w:type="dxa"/>
          </w:tcPr>
          <w:p>
            <w:pPr>
              <w:pStyle w:val="TableParagraph"/>
              <w:ind w:left="0"/>
              <w:rPr>
                <w:sz w:val="36"/>
              </w:rPr>
            </w:pPr>
          </w:p>
          <w:p>
            <w:pPr>
              <w:pStyle w:val="TableParagraph"/>
              <w:ind w:left="109"/>
              <w:rPr>
                <w:sz w:val="24"/>
              </w:rPr>
            </w:pPr>
            <w:r>
              <w:rPr>
                <w:sz w:val="24"/>
              </w:rPr>
              <w:t>–</w:t>
            </w:r>
          </w:p>
        </w:tc>
        <w:tc>
          <w:tcPr>
            <w:tcW w:w="1732" w:type="dxa"/>
          </w:tcPr>
          <w:p>
            <w:pPr>
              <w:pStyle w:val="TableParagraph"/>
              <w:ind w:left="0"/>
              <w:rPr>
                <w:sz w:val="36"/>
              </w:rPr>
            </w:pPr>
          </w:p>
          <w:p>
            <w:pPr>
              <w:pStyle w:val="TableParagraph"/>
              <w:ind w:left="110"/>
              <w:rPr>
                <w:sz w:val="24"/>
              </w:rPr>
            </w:pPr>
            <w:r>
              <w:rPr>
                <w:spacing w:val="-2"/>
                <w:sz w:val="24"/>
              </w:rPr>
              <w:t>1/200</w:t>
            </w:r>
          </w:p>
        </w:tc>
      </w:tr>
      <w:tr>
        <w:trPr>
          <w:trHeight w:val="2070" w:hRule="atLeast"/>
        </w:trPr>
        <w:tc>
          <w:tcPr>
            <w:tcW w:w="2131" w:type="dxa"/>
          </w:tcPr>
          <w:p>
            <w:pPr>
              <w:pStyle w:val="TableParagraph"/>
              <w:spacing w:line="360" w:lineRule="auto"/>
              <w:ind w:right="183"/>
              <w:rPr>
                <w:sz w:val="24"/>
              </w:rPr>
            </w:pPr>
            <w:r>
              <w:rPr>
                <w:sz w:val="24"/>
              </w:rPr>
              <w:t>Болезнь Tangier, семейная гипо- </w:t>
            </w:r>
            <w:r>
              <w:rPr>
                <w:spacing w:val="-2"/>
                <w:sz w:val="24"/>
              </w:rPr>
              <w:t>альфа- липопротеидемия</w:t>
            </w:r>
          </w:p>
        </w:tc>
        <w:tc>
          <w:tcPr>
            <w:tcW w:w="1341" w:type="dxa"/>
          </w:tcPr>
          <w:p>
            <w:pPr>
              <w:pStyle w:val="TableParagraph"/>
              <w:ind w:left="0"/>
              <w:rPr>
                <w:sz w:val="26"/>
              </w:rPr>
            </w:pPr>
          </w:p>
          <w:p>
            <w:pPr>
              <w:pStyle w:val="TableParagraph"/>
              <w:ind w:left="0"/>
              <w:rPr>
                <w:sz w:val="26"/>
              </w:rPr>
            </w:pPr>
          </w:p>
          <w:p>
            <w:pPr>
              <w:pStyle w:val="TableParagraph"/>
              <w:spacing w:before="229"/>
              <w:rPr>
                <w:i/>
                <w:sz w:val="24"/>
              </w:rPr>
            </w:pPr>
            <w:r>
              <w:rPr>
                <w:i/>
                <w:spacing w:val="-2"/>
                <w:sz w:val="24"/>
              </w:rPr>
              <w:t>AВCA-</w:t>
            </w:r>
            <w:r>
              <w:rPr>
                <w:i/>
                <w:spacing w:val="-10"/>
                <w:sz w:val="24"/>
              </w:rPr>
              <w:t>1</w:t>
            </w:r>
          </w:p>
        </w:tc>
        <w:tc>
          <w:tcPr>
            <w:tcW w:w="1732" w:type="dxa"/>
          </w:tcPr>
          <w:p>
            <w:pPr>
              <w:pStyle w:val="TableParagraph"/>
              <w:ind w:left="0"/>
              <w:rPr>
                <w:sz w:val="36"/>
              </w:rPr>
            </w:pPr>
          </w:p>
          <w:p>
            <w:pPr>
              <w:pStyle w:val="TableParagraph"/>
              <w:spacing w:line="360" w:lineRule="auto"/>
              <w:ind w:left="106" w:right="164"/>
              <w:rPr>
                <w:sz w:val="24"/>
              </w:rPr>
            </w:pPr>
            <w:r>
              <w:rPr>
                <w:sz w:val="24"/>
              </w:rPr>
              <w:t>Снижение</w:t>
            </w:r>
            <w:r>
              <w:rPr>
                <w:spacing w:val="-15"/>
                <w:sz w:val="24"/>
              </w:rPr>
              <w:t> </w:t>
            </w:r>
            <w:r>
              <w:rPr>
                <w:sz w:val="24"/>
              </w:rPr>
              <w:t>ХС </w:t>
            </w:r>
            <w:r>
              <w:rPr>
                <w:spacing w:val="-4"/>
                <w:sz w:val="24"/>
              </w:rPr>
              <w:t>ЛВП</w:t>
            </w:r>
          </w:p>
        </w:tc>
        <w:tc>
          <w:tcPr>
            <w:tcW w:w="2133" w:type="dxa"/>
          </w:tcPr>
          <w:p>
            <w:pPr>
              <w:pStyle w:val="TableParagraph"/>
              <w:ind w:left="0"/>
              <w:rPr>
                <w:sz w:val="36"/>
              </w:rPr>
            </w:pPr>
          </w:p>
          <w:p>
            <w:pPr>
              <w:pStyle w:val="TableParagraph"/>
              <w:spacing w:line="360" w:lineRule="auto"/>
              <w:ind w:left="109"/>
              <w:rPr>
                <w:sz w:val="24"/>
              </w:rPr>
            </w:pPr>
            <w:r>
              <w:rPr>
                <w:spacing w:val="-2"/>
                <w:sz w:val="24"/>
              </w:rPr>
              <w:t>Гепатоспленомега </w:t>
            </w:r>
            <w:r>
              <w:rPr>
                <w:sz w:val="24"/>
              </w:rPr>
              <w:t>лия, увеличение небных</w:t>
            </w:r>
            <w:r>
              <w:rPr>
                <w:spacing w:val="-15"/>
                <w:sz w:val="24"/>
              </w:rPr>
              <w:t> </w:t>
            </w:r>
            <w:r>
              <w:rPr>
                <w:sz w:val="24"/>
              </w:rPr>
              <w:t>миндалин,</w:t>
            </w:r>
          </w:p>
          <w:p>
            <w:pPr>
              <w:pStyle w:val="TableParagraph"/>
              <w:spacing w:line="275" w:lineRule="exact"/>
              <w:ind w:left="109"/>
              <w:rPr>
                <w:sz w:val="24"/>
              </w:rPr>
            </w:pPr>
            <w:r>
              <w:rPr>
                <w:spacing w:val="-5"/>
                <w:sz w:val="24"/>
              </w:rPr>
              <w:t>ИБС</w:t>
            </w:r>
          </w:p>
        </w:tc>
        <w:tc>
          <w:tcPr>
            <w:tcW w:w="1732" w:type="dxa"/>
          </w:tcPr>
          <w:p>
            <w:pPr>
              <w:pStyle w:val="TableParagraph"/>
              <w:ind w:left="0"/>
              <w:rPr>
                <w:sz w:val="26"/>
              </w:rPr>
            </w:pPr>
          </w:p>
          <w:p>
            <w:pPr>
              <w:pStyle w:val="TableParagraph"/>
              <w:ind w:left="0"/>
              <w:rPr>
                <w:sz w:val="26"/>
              </w:rPr>
            </w:pPr>
          </w:p>
          <w:p>
            <w:pPr>
              <w:pStyle w:val="TableParagraph"/>
              <w:spacing w:before="229"/>
              <w:ind w:left="110"/>
              <w:rPr>
                <w:sz w:val="24"/>
              </w:rPr>
            </w:pPr>
            <w:r>
              <w:rPr>
                <w:sz w:val="24"/>
              </w:rPr>
              <w:t>1/1 000 </w:t>
            </w:r>
            <w:r>
              <w:rPr>
                <w:spacing w:val="-5"/>
                <w:sz w:val="24"/>
              </w:rPr>
              <w:t>000</w:t>
            </w:r>
          </w:p>
        </w:tc>
      </w:tr>
    </w:tbl>
    <w:p>
      <w:pPr>
        <w:pStyle w:val="BodyText"/>
        <w:spacing w:line="360" w:lineRule="auto" w:before="17"/>
        <w:ind w:left="1261" w:right="568"/>
        <w:jc w:val="both"/>
      </w:pPr>
      <w:r>
        <w:rPr/>
        <w:t>ХС ЛНП — холестерин липопротеидов низкой плотности; ХС ЛОНП — холестерин липопротеидов очень низкой плотности; ХС ЛПП — холестерин липопротеидов промежуточной плотности ХС ЛВП — холестерин липопротеидов высокой плотности; ИБС — ишемическая болезнь сердца.</w:t>
      </w:r>
    </w:p>
    <w:p>
      <w:pPr>
        <w:pStyle w:val="BodyText"/>
        <w:ind w:left="0"/>
        <w:rPr>
          <w:sz w:val="26"/>
        </w:rPr>
      </w:pPr>
    </w:p>
    <w:p>
      <w:pPr>
        <w:pStyle w:val="BodyText"/>
        <w:spacing w:before="9"/>
        <w:ind w:left="0"/>
        <w:rPr>
          <w:sz w:val="30"/>
        </w:rPr>
      </w:pPr>
    </w:p>
    <w:p>
      <w:pPr>
        <w:spacing w:line="360" w:lineRule="auto" w:before="0"/>
        <w:ind w:left="1621" w:right="0" w:firstLine="0"/>
        <w:jc w:val="left"/>
        <w:rPr>
          <w:b/>
          <w:sz w:val="24"/>
        </w:rPr>
      </w:pPr>
      <w:r>
        <w:rPr>
          <w:b/>
          <w:sz w:val="24"/>
        </w:rPr>
        <w:t>Таблица</w:t>
      </w:r>
      <w:r>
        <w:rPr>
          <w:b/>
          <w:spacing w:val="40"/>
          <w:sz w:val="24"/>
        </w:rPr>
        <w:t> </w:t>
      </w:r>
      <w:r>
        <w:rPr>
          <w:b/>
          <w:sz w:val="24"/>
        </w:rPr>
        <w:t>А3.6</w:t>
      </w:r>
      <w:r>
        <w:rPr>
          <w:b/>
          <w:spacing w:val="40"/>
          <w:sz w:val="24"/>
        </w:rPr>
        <w:t> </w:t>
      </w:r>
      <w:r>
        <w:rPr>
          <w:b/>
          <w:sz w:val="24"/>
        </w:rPr>
        <w:t>Популяционные</w:t>
      </w:r>
      <w:r>
        <w:rPr>
          <w:b/>
          <w:spacing w:val="40"/>
          <w:sz w:val="24"/>
        </w:rPr>
        <w:t> </w:t>
      </w:r>
      <w:r>
        <w:rPr>
          <w:b/>
          <w:sz w:val="24"/>
        </w:rPr>
        <w:t>показатели</w:t>
      </w:r>
      <w:r>
        <w:rPr>
          <w:b/>
          <w:spacing w:val="40"/>
          <w:sz w:val="24"/>
        </w:rPr>
        <w:t> </w:t>
      </w:r>
      <w:r>
        <w:rPr>
          <w:b/>
          <w:sz w:val="24"/>
        </w:rPr>
        <w:t>ХС</w:t>
      </w:r>
      <w:r>
        <w:rPr>
          <w:b/>
          <w:spacing w:val="40"/>
          <w:sz w:val="24"/>
        </w:rPr>
        <w:t> </w:t>
      </w:r>
      <w:r>
        <w:rPr>
          <w:b/>
          <w:sz w:val="24"/>
        </w:rPr>
        <w:t>ЛНП</w:t>
      </w:r>
      <w:r>
        <w:rPr>
          <w:b/>
          <w:spacing w:val="40"/>
          <w:sz w:val="24"/>
        </w:rPr>
        <w:t> </w:t>
      </w:r>
      <w:r>
        <w:rPr>
          <w:b/>
          <w:sz w:val="24"/>
        </w:rPr>
        <w:t>в</w:t>
      </w:r>
      <w:r>
        <w:rPr>
          <w:b/>
          <w:spacing w:val="40"/>
          <w:sz w:val="24"/>
        </w:rPr>
        <w:t> </w:t>
      </w:r>
      <w:r>
        <w:rPr>
          <w:b/>
          <w:sz w:val="24"/>
        </w:rPr>
        <w:t>зависимости</w:t>
      </w:r>
      <w:r>
        <w:rPr>
          <w:b/>
          <w:spacing w:val="40"/>
          <w:sz w:val="24"/>
        </w:rPr>
        <w:t> </w:t>
      </w:r>
      <w:r>
        <w:rPr>
          <w:b/>
          <w:sz w:val="24"/>
        </w:rPr>
        <w:t>от</w:t>
      </w:r>
      <w:r>
        <w:rPr>
          <w:b/>
          <w:spacing w:val="40"/>
          <w:sz w:val="24"/>
        </w:rPr>
        <w:t> </w:t>
      </w:r>
      <w:r>
        <w:rPr>
          <w:b/>
          <w:sz w:val="24"/>
        </w:rPr>
        <w:t>пола</w:t>
      </w:r>
      <w:r>
        <w:rPr>
          <w:b/>
          <w:spacing w:val="40"/>
          <w:sz w:val="24"/>
        </w:rPr>
        <w:t> </w:t>
      </w:r>
      <w:r>
        <w:rPr>
          <w:b/>
          <w:sz w:val="24"/>
        </w:rPr>
        <w:t>и</w:t>
      </w:r>
      <w:r>
        <w:rPr>
          <w:b/>
          <w:spacing w:val="40"/>
          <w:sz w:val="24"/>
        </w:rPr>
        <w:t> </w:t>
      </w:r>
      <w:r>
        <w:rPr>
          <w:b/>
          <w:sz w:val="24"/>
        </w:rPr>
        <w:t>возраста для РФ.</w:t>
      </w:r>
    </w:p>
    <w:p>
      <w:pPr>
        <w:spacing w:after="0" w:line="360" w:lineRule="auto"/>
        <w:jc w:val="left"/>
        <w:rPr>
          <w:sz w:val="24"/>
        </w:rPr>
        <w:sectPr>
          <w:type w:val="continuous"/>
          <w:pgSz w:w="11910" w:h="16840"/>
          <w:pgMar w:header="0" w:footer="710" w:top="1100" w:bottom="900" w:left="440" w:right="280"/>
        </w:sect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945"/>
        <w:gridCol w:w="2734"/>
        <w:gridCol w:w="3893"/>
      </w:tblGrid>
      <w:tr>
        <w:trPr>
          <w:trHeight w:val="318" w:hRule="atLeast"/>
        </w:trPr>
        <w:tc>
          <w:tcPr>
            <w:tcW w:w="2945" w:type="dxa"/>
          </w:tcPr>
          <w:p>
            <w:pPr>
              <w:pStyle w:val="TableParagraph"/>
              <w:spacing w:before="1"/>
              <w:rPr>
                <w:b/>
                <w:sz w:val="24"/>
              </w:rPr>
            </w:pPr>
            <w:r>
              <w:rPr>
                <w:b/>
                <w:spacing w:val="-5"/>
                <w:sz w:val="24"/>
              </w:rPr>
              <w:t>Пол</w:t>
            </w:r>
          </w:p>
        </w:tc>
        <w:tc>
          <w:tcPr>
            <w:tcW w:w="2734" w:type="dxa"/>
          </w:tcPr>
          <w:p>
            <w:pPr>
              <w:pStyle w:val="TableParagraph"/>
              <w:spacing w:before="1"/>
              <w:ind w:left="105"/>
              <w:rPr>
                <w:b/>
                <w:sz w:val="24"/>
              </w:rPr>
            </w:pPr>
            <w:r>
              <w:rPr>
                <w:b/>
                <w:spacing w:val="-2"/>
                <w:sz w:val="24"/>
              </w:rPr>
              <w:t>Возраст</w:t>
            </w:r>
          </w:p>
        </w:tc>
        <w:tc>
          <w:tcPr>
            <w:tcW w:w="3893" w:type="dxa"/>
          </w:tcPr>
          <w:p>
            <w:pPr>
              <w:pStyle w:val="TableParagraph"/>
              <w:spacing w:before="1"/>
              <w:ind w:left="152"/>
              <w:rPr>
                <w:b/>
                <w:sz w:val="24"/>
              </w:rPr>
            </w:pPr>
            <w:r>
              <w:rPr>
                <w:b/>
                <w:sz w:val="24"/>
              </w:rPr>
              <w:t>ХС-ЛНП</w:t>
            </w:r>
            <w:r>
              <w:rPr>
                <w:b/>
                <w:spacing w:val="-3"/>
                <w:sz w:val="24"/>
              </w:rPr>
              <w:t> </w:t>
            </w:r>
            <w:r>
              <w:rPr>
                <w:b/>
                <w:sz w:val="24"/>
              </w:rPr>
              <w:t>(моль/л)</w:t>
            </w:r>
            <w:r>
              <w:rPr>
                <w:b/>
                <w:spacing w:val="-3"/>
                <w:sz w:val="24"/>
              </w:rPr>
              <w:t> </w:t>
            </w:r>
            <w:r>
              <w:rPr>
                <w:b/>
                <w:sz w:val="24"/>
              </w:rPr>
              <w:t>95</w:t>
            </w:r>
            <w:r>
              <w:rPr>
                <w:b/>
                <w:spacing w:val="-2"/>
                <w:sz w:val="24"/>
              </w:rPr>
              <w:t> перцентиль</w:t>
            </w:r>
          </w:p>
        </w:tc>
      </w:tr>
      <w:tr>
        <w:trPr>
          <w:trHeight w:val="316" w:hRule="atLeast"/>
        </w:trPr>
        <w:tc>
          <w:tcPr>
            <w:tcW w:w="2945" w:type="dxa"/>
            <w:vMerge w:val="restart"/>
          </w:tcPr>
          <w:p>
            <w:pPr>
              <w:pStyle w:val="TableParagraph"/>
              <w:ind w:left="0"/>
              <w:rPr>
                <w:b/>
                <w:sz w:val="26"/>
              </w:rPr>
            </w:pPr>
          </w:p>
          <w:p>
            <w:pPr>
              <w:pStyle w:val="TableParagraph"/>
              <w:spacing w:before="192"/>
              <w:rPr>
                <w:sz w:val="24"/>
              </w:rPr>
            </w:pPr>
            <w:r>
              <w:rPr>
                <w:spacing w:val="-2"/>
                <w:sz w:val="24"/>
              </w:rPr>
              <w:t>Мужской</w:t>
            </w:r>
          </w:p>
        </w:tc>
        <w:tc>
          <w:tcPr>
            <w:tcW w:w="2734" w:type="dxa"/>
          </w:tcPr>
          <w:p>
            <w:pPr>
              <w:pStyle w:val="TableParagraph"/>
              <w:spacing w:line="275" w:lineRule="exact"/>
              <w:ind w:left="105"/>
              <w:rPr>
                <w:sz w:val="24"/>
              </w:rPr>
            </w:pPr>
            <w:r>
              <w:rPr>
                <w:spacing w:val="-2"/>
                <w:sz w:val="24"/>
              </w:rPr>
              <w:t>25–34</w:t>
            </w:r>
          </w:p>
        </w:tc>
        <w:tc>
          <w:tcPr>
            <w:tcW w:w="3893" w:type="dxa"/>
          </w:tcPr>
          <w:p>
            <w:pPr>
              <w:pStyle w:val="TableParagraph"/>
              <w:spacing w:line="275" w:lineRule="exact"/>
              <w:rPr>
                <w:sz w:val="24"/>
              </w:rPr>
            </w:pPr>
            <w:r>
              <w:rPr>
                <w:spacing w:val="-4"/>
                <w:sz w:val="24"/>
              </w:rPr>
              <w:t>4,56</w:t>
            </w:r>
          </w:p>
        </w:tc>
      </w:tr>
      <w:tr>
        <w:trPr>
          <w:trHeight w:val="318" w:hRule="atLeast"/>
        </w:trPr>
        <w:tc>
          <w:tcPr>
            <w:tcW w:w="2945" w:type="dxa"/>
            <w:vMerge/>
            <w:tcBorders>
              <w:top w:val="nil"/>
            </w:tcBorders>
          </w:tcPr>
          <w:p>
            <w:pPr>
              <w:rPr>
                <w:sz w:val="2"/>
                <w:szCs w:val="2"/>
              </w:rPr>
            </w:pPr>
          </w:p>
        </w:tc>
        <w:tc>
          <w:tcPr>
            <w:tcW w:w="2734" w:type="dxa"/>
          </w:tcPr>
          <w:p>
            <w:pPr>
              <w:pStyle w:val="TableParagraph"/>
              <w:spacing w:line="275" w:lineRule="exact"/>
              <w:ind w:left="105"/>
              <w:rPr>
                <w:sz w:val="24"/>
              </w:rPr>
            </w:pPr>
            <w:r>
              <w:rPr>
                <w:spacing w:val="-2"/>
                <w:sz w:val="24"/>
              </w:rPr>
              <w:t>35–44</w:t>
            </w:r>
          </w:p>
        </w:tc>
        <w:tc>
          <w:tcPr>
            <w:tcW w:w="3893" w:type="dxa"/>
          </w:tcPr>
          <w:p>
            <w:pPr>
              <w:pStyle w:val="TableParagraph"/>
              <w:spacing w:line="275" w:lineRule="exact"/>
              <w:rPr>
                <w:sz w:val="24"/>
              </w:rPr>
            </w:pPr>
            <w:r>
              <w:rPr>
                <w:spacing w:val="-4"/>
                <w:sz w:val="24"/>
              </w:rPr>
              <w:t>5,04</w:t>
            </w:r>
          </w:p>
        </w:tc>
      </w:tr>
      <w:tr>
        <w:trPr>
          <w:trHeight w:val="316" w:hRule="atLeast"/>
        </w:trPr>
        <w:tc>
          <w:tcPr>
            <w:tcW w:w="2945" w:type="dxa"/>
            <w:vMerge/>
            <w:tcBorders>
              <w:top w:val="nil"/>
            </w:tcBorders>
          </w:tcPr>
          <w:p>
            <w:pPr>
              <w:rPr>
                <w:sz w:val="2"/>
                <w:szCs w:val="2"/>
              </w:rPr>
            </w:pPr>
          </w:p>
        </w:tc>
        <w:tc>
          <w:tcPr>
            <w:tcW w:w="2734" w:type="dxa"/>
          </w:tcPr>
          <w:p>
            <w:pPr>
              <w:pStyle w:val="TableParagraph"/>
              <w:spacing w:line="275" w:lineRule="exact"/>
              <w:ind w:left="105"/>
              <w:rPr>
                <w:sz w:val="24"/>
              </w:rPr>
            </w:pPr>
            <w:r>
              <w:rPr>
                <w:spacing w:val="-2"/>
                <w:sz w:val="24"/>
              </w:rPr>
              <w:t>45–54</w:t>
            </w:r>
          </w:p>
        </w:tc>
        <w:tc>
          <w:tcPr>
            <w:tcW w:w="3893" w:type="dxa"/>
          </w:tcPr>
          <w:p>
            <w:pPr>
              <w:pStyle w:val="TableParagraph"/>
              <w:spacing w:line="275" w:lineRule="exact"/>
              <w:rPr>
                <w:sz w:val="24"/>
              </w:rPr>
            </w:pPr>
            <w:r>
              <w:rPr>
                <w:spacing w:val="-4"/>
                <w:sz w:val="24"/>
              </w:rPr>
              <w:t>5,31</w:t>
            </w:r>
          </w:p>
        </w:tc>
      </w:tr>
      <w:tr>
        <w:trPr>
          <w:trHeight w:val="318" w:hRule="atLeast"/>
        </w:trPr>
        <w:tc>
          <w:tcPr>
            <w:tcW w:w="2945" w:type="dxa"/>
            <w:vMerge/>
            <w:tcBorders>
              <w:top w:val="nil"/>
            </w:tcBorders>
          </w:tcPr>
          <w:p>
            <w:pPr>
              <w:rPr>
                <w:sz w:val="2"/>
                <w:szCs w:val="2"/>
              </w:rPr>
            </w:pPr>
          </w:p>
        </w:tc>
        <w:tc>
          <w:tcPr>
            <w:tcW w:w="2734" w:type="dxa"/>
          </w:tcPr>
          <w:p>
            <w:pPr>
              <w:pStyle w:val="TableParagraph"/>
              <w:spacing w:line="275" w:lineRule="exact"/>
              <w:ind w:left="105"/>
              <w:rPr>
                <w:sz w:val="24"/>
              </w:rPr>
            </w:pPr>
            <w:r>
              <w:rPr>
                <w:spacing w:val="-2"/>
                <w:sz w:val="24"/>
              </w:rPr>
              <w:t>55–64</w:t>
            </w:r>
          </w:p>
        </w:tc>
        <w:tc>
          <w:tcPr>
            <w:tcW w:w="3893" w:type="dxa"/>
          </w:tcPr>
          <w:p>
            <w:pPr>
              <w:pStyle w:val="TableParagraph"/>
              <w:spacing w:line="275" w:lineRule="exact"/>
              <w:rPr>
                <w:sz w:val="24"/>
              </w:rPr>
            </w:pPr>
            <w:r>
              <w:rPr>
                <w:spacing w:val="-4"/>
                <w:sz w:val="24"/>
              </w:rPr>
              <w:t>5,16</w:t>
            </w:r>
          </w:p>
        </w:tc>
      </w:tr>
      <w:tr>
        <w:trPr>
          <w:trHeight w:val="316" w:hRule="atLeast"/>
        </w:trPr>
        <w:tc>
          <w:tcPr>
            <w:tcW w:w="2945" w:type="dxa"/>
            <w:vMerge w:val="restart"/>
          </w:tcPr>
          <w:p>
            <w:pPr>
              <w:pStyle w:val="TableParagraph"/>
              <w:ind w:left="0"/>
              <w:rPr>
                <w:b/>
                <w:sz w:val="26"/>
              </w:rPr>
            </w:pPr>
          </w:p>
          <w:p>
            <w:pPr>
              <w:pStyle w:val="TableParagraph"/>
              <w:spacing w:before="189"/>
              <w:rPr>
                <w:sz w:val="24"/>
              </w:rPr>
            </w:pPr>
            <w:r>
              <w:rPr>
                <w:spacing w:val="-2"/>
                <w:sz w:val="24"/>
              </w:rPr>
              <w:t>Женский</w:t>
            </w:r>
          </w:p>
        </w:tc>
        <w:tc>
          <w:tcPr>
            <w:tcW w:w="2734" w:type="dxa"/>
          </w:tcPr>
          <w:p>
            <w:pPr>
              <w:pStyle w:val="TableParagraph"/>
              <w:spacing w:line="275" w:lineRule="exact"/>
              <w:ind w:left="105"/>
              <w:rPr>
                <w:sz w:val="24"/>
              </w:rPr>
            </w:pPr>
            <w:r>
              <w:rPr>
                <w:spacing w:val="-2"/>
                <w:sz w:val="24"/>
              </w:rPr>
              <w:t>25–34</w:t>
            </w:r>
          </w:p>
        </w:tc>
        <w:tc>
          <w:tcPr>
            <w:tcW w:w="3893" w:type="dxa"/>
          </w:tcPr>
          <w:p>
            <w:pPr>
              <w:pStyle w:val="TableParagraph"/>
              <w:spacing w:line="275" w:lineRule="exact"/>
              <w:rPr>
                <w:sz w:val="24"/>
              </w:rPr>
            </w:pPr>
            <w:r>
              <w:rPr>
                <w:spacing w:val="-4"/>
                <w:sz w:val="24"/>
              </w:rPr>
              <w:t>4,24</w:t>
            </w:r>
          </w:p>
        </w:tc>
      </w:tr>
      <w:tr>
        <w:trPr>
          <w:trHeight w:val="316" w:hRule="atLeast"/>
        </w:trPr>
        <w:tc>
          <w:tcPr>
            <w:tcW w:w="2945" w:type="dxa"/>
            <w:vMerge/>
            <w:tcBorders>
              <w:top w:val="nil"/>
            </w:tcBorders>
          </w:tcPr>
          <w:p>
            <w:pPr>
              <w:rPr>
                <w:sz w:val="2"/>
                <w:szCs w:val="2"/>
              </w:rPr>
            </w:pPr>
          </w:p>
        </w:tc>
        <w:tc>
          <w:tcPr>
            <w:tcW w:w="2734" w:type="dxa"/>
          </w:tcPr>
          <w:p>
            <w:pPr>
              <w:pStyle w:val="TableParagraph"/>
              <w:spacing w:line="275" w:lineRule="exact"/>
              <w:ind w:left="105"/>
              <w:rPr>
                <w:sz w:val="24"/>
              </w:rPr>
            </w:pPr>
            <w:r>
              <w:rPr>
                <w:spacing w:val="-2"/>
                <w:sz w:val="24"/>
              </w:rPr>
              <w:t>35–44</w:t>
            </w:r>
          </w:p>
        </w:tc>
        <w:tc>
          <w:tcPr>
            <w:tcW w:w="3893" w:type="dxa"/>
          </w:tcPr>
          <w:p>
            <w:pPr>
              <w:pStyle w:val="TableParagraph"/>
              <w:spacing w:line="275" w:lineRule="exact"/>
              <w:rPr>
                <w:sz w:val="24"/>
              </w:rPr>
            </w:pPr>
            <w:r>
              <w:rPr>
                <w:spacing w:val="-4"/>
                <w:sz w:val="24"/>
              </w:rPr>
              <w:t>4,68</w:t>
            </w:r>
          </w:p>
        </w:tc>
      </w:tr>
      <w:tr>
        <w:trPr>
          <w:trHeight w:val="318" w:hRule="atLeast"/>
        </w:trPr>
        <w:tc>
          <w:tcPr>
            <w:tcW w:w="2945" w:type="dxa"/>
            <w:vMerge/>
            <w:tcBorders>
              <w:top w:val="nil"/>
            </w:tcBorders>
          </w:tcPr>
          <w:p>
            <w:pPr>
              <w:rPr>
                <w:sz w:val="2"/>
                <w:szCs w:val="2"/>
              </w:rPr>
            </w:pPr>
          </w:p>
        </w:tc>
        <w:tc>
          <w:tcPr>
            <w:tcW w:w="2734" w:type="dxa"/>
          </w:tcPr>
          <w:p>
            <w:pPr>
              <w:pStyle w:val="TableParagraph"/>
              <w:spacing w:before="1"/>
              <w:ind w:left="105"/>
              <w:rPr>
                <w:sz w:val="24"/>
              </w:rPr>
            </w:pPr>
            <w:r>
              <w:rPr>
                <w:spacing w:val="-2"/>
                <w:sz w:val="24"/>
              </w:rPr>
              <w:t>45–54</w:t>
            </w:r>
          </w:p>
        </w:tc>
        <w:tc>
          <w:tcPr>
            <w:tcW w:w="3893" w:type="dxa"/>
          </w:tcPr>
          <w:p>
            <w:pPr>
              <w:pStyle w:val="TableParagraph"/>
              <w:spacing w:before="1"/>
              <w:rPr>
                <w:sz w:val="24"/>
              </w:rPr>
            </w:pPr>
            <w:r>
              <w:rPr>
                <w:spacing w:val="-4"/>
                <w:sz w:val="24"/>
              </w:rPr>
              <w:t>5,29</w:t>
            </w:r>
          </w:p>
        </w:tc>
      </w:tr>
      <w:tr>
        <w:trPr>
          <w:trHeight w:val="316" w:hRule="atLeast"/>
        </w:trPr>
        <w:tc>
          <w:tcPr>
            <w:tcW w:w="2945" w:type="dxa"/>
            <w:vMerge/>
            <w:tcBorders>
              <w:top w:val="nil"/>
            </w:tcBorders>
          </w:tcPr>
          <w:p>
            <w:pPr>
              <w:rPr>
                <w:sz w:val="2"/>
                <w:szCs w:val="2"/>
              </w:rPr>
            </w:pPr>
          </w:p>
        </w:tc>
        <w:tc>
          <w:tcPr>
            <w:tcW w:w="2734" w:type="dxa"/>
          </w:tcPr>
          <w:p>
            <w:pPr>
              <w:pStyle w:val="TableParagraph"/>
              <w:spacing w:line="275" w:lineRule="exact"/>
              <w:ind w:left="105"/>
              <w:rPr>
                <w:sz w:val="24"/>
              </w:rPr>
            </w:pPr>
            <w:r>
              <w:rPr>
                <w:spacing w:val="-2"/>
                <w:sz w:val="24"/>
              </w:rPr>
              <w:t>55–64</w:t>
            </w:r>
          </w:p>
        </w:tc>
        <w:tc>
          <w:tcPr>
            <w:tcW w:w="3893" w:type="dxa"/>
          </w:tcPr>
          <w:p>
            <w:pPr>
              <w:pStyle w:val="TableParagraph"/>
              <w:spacing w:line="275" w:lineRule="exact"/>
              <w:rPr>
                <w:sz w:val="24"/>
              </w:rPr>
            </w:pPr>
            <w:r>
              <w:rPr>
                <w:spacing w:val="-4"/>
                <w:sz w:val="24"/>
              </w:rPr>
              <w:t>5,56</w:t>
            </w:r>
          </w:p>
        </w:tc>
      </w:tr>
    </w:tbl>
    <w:p>
      <w:pPr>
        <w:pStyle w:val="BodyText"/>
        <w:ind w:left="0"/>
        <w:rPr>
          <w:b/>
          <w:sz w:val="20"/>
        </w:rPr>
      </w:pPr>
    </w:p>
    <w:p>
      <w:pPr>
        <w:pStyle w:val="BodyText"/>
        <w:ind w:left="0"/>
        <w:rPr>
          <w:b/>
          <w:sz w:val="20"/>
        </w:rPr>
      </w:pPr>
    </w:p>
    <w:p>
      <w:pPr>
        <w:pStyle w:val="BodyText"/>
        <w:spacing w:before="9"/>
        <w:ind w:left="0"/>
        <w:rPr>
          <w:b/>
          <w:sz w:val="25"/>
        </w:rPr>
      </w:pPr>
    </w:p>
    <w:p>
      <w:pPr>
        <w:spacing w:before="90"/>
        <w:ind w:left="1261" w:right="0" w:firstLine="0"/>
        <w:jc w:val="left"/>
        <w:rPr>
          <w:b/>
          <w:sz w:val="24"/>
        </w:rPr>
      </w:pPr>
      <w:r>
        <w:rPr>
          <w:b/>
          <w:sz w:val="24"/>
        </w:rPr>
        <w:t>Таблица</w:t>
      </w:r>
      <w:r>
        <w:rPr>
          <w:b/>
          <w:spacing w:val="-5"/>
          <w:sz w:val="24"/>
        </w:rPr>
        <w:t> </w:t>
      </w:r>
      <w:r>
        <w:rPr>
          <w:b/>
          <w:sz w:val="24"/>
        </w:rPr>
        <w:t>А3.7.</w:t>
      </w:r>
      <w:r>
        <w:rPr>
          <w:b/>
          <w:spacing w:val="-2"/>
          <w:sz w:val="24"/>
        </w:rPr>
        <w:t> </w:t>
      </w:r>
      <w:r>
        <w:rPr>
          <w:b/>
          <w:sz w:val="24"/>
        </w:rPr>
        <w:t>Диагностические</w:t>
      </w:r>
      <w:r>
        <w:rPr>
          <w:b/>
          <w:spacing w:val="-4"/>
          <w:sz w:val="24"/>
        </w:rPr>
        <w:t> </w:t>
      </w:r>
      <w:r>
        <w:rPr>
          <w:b/>
          <w:sz w:val="24"/>
        </w:rPr>
        <w:t>критерии</w:t>
      </w:r>
      <w:r>
        <w:rPr>
          <w:b/>
          <w:spacing w:val="-2"/>
          <w:sz w:val="24"/>
        </w:rPr>
        <w:t> </w:t>
      </w:r>
      <w:r>
        <w:rPr>
          <w:b/>
          <w:sz w:val="24"/>
        </w:rPr>
        <w:t>Simon</w:t>
      </w:r>
      <w:r>
        <w:rPr>
          <w:b/>
          <w:spacing w:val="-5"/>
          <w:sz w:val="24"/>
        </w:rPr>
        <w:t> </w:t>
      </w:r>
      <w:r>
        <w:rPr>
          <w:b/>
          <w:sz w:val="24"/>
        </w:rPr>
        <w:t>Broome</w:t>
      </w:r>
      <w:r>
        <w:rPr>
          <w:b/>
          <w:spacing w:val="-3"/>
          <w:sz w:val="24"/>
        </w:rPr>
        <w:t> </w:t>
      </w:r>
      <w:r>
        <w:rPr>
          <w:b/>
          <w:sz w:val="24"/>
        </w:rPr>
        <w:t>Registry</w:t>
      </w:r>
      <w:r>
        <w:rPr>
          <w:b/>
          <w:spacing w:val="-1"/>
          <w:sz w:val="24"/>
        </w:rPr>
        <w:t> </w:t>
      </w:r>
      <w:r>
        <w:rPr>
          <w:b/>
          <w:sz w:val="24"/>
        </w:rPr>
        <w:t>—</w:t>
      </w:r>
      <w:r>
        <w:rPr>
          <w:b/>
          <w:spacing w:val="-2"/>
          <w:sz w:val="24"/>
        </w:rPr>
        <w:t> </w:t>
      </w:r>
      <w:r>
        <w:rPr>
          <w:b/>
          <w:sz w:val="24"/>
        </w:rPr>
        <w:t>Саймона</w:t>
      </w:r>
      <w:r>
        <w:rPr>
          <w:b/>
          <w:spacing w:val="-2"/>
          <w:sz w:val="24"/>
        </w:rPr>
        <w:t> Брума</w:t>
      </w:r>
    </w:p>
    <w:p>
      <w:pPr>
        <w:pStyle w:val="BodyText"/>
        <w:spacing w:before="2"/>
        <w:ind w:left="0"/>
        <w:rPr>
          <w:b/>
          <w:sz w:val="30"/>
        </w:rPr>
      </w:pPr>
    </w:p>
    <w:p>
      <w:pPr>
        <w:spacing w:before="1"/>
        <w:ind w:left="1969" w:right="0" w:firstLine="0"/>
        <w:jc w:val="left"/>
        <w:rPr>
          <w:b/>
          <w:sz w:val="24"/>
        </w:rPr>
      </w:pPr>
      <w:r>
        <w:rPr/>
        <w:pict>
          <v:shape style="position:absolute;margin-left:114.840004pt;margin-top:-.386909pt;width:443.65pt;height:444.25pt;mso-position-horizontal-relative:page;mso-position-vertical-relative:paragraph;z-index:-18176512" id="docshape6" coordorigin="2297,-8" coordsize="8873,8885" path="m11170,2l11160,2,11160,8867,2306,8867,2306,2,2297,2,2297,8867,2297,8867,2297,8877,2306,8877,11160,8877,11170,8877,11170,8867,11170,8867,11170,2xm11170,-8l11160,-8,2306,-8,2297,-8,2297,2,2306,2,11160,2,11170,2,11170,-8xe" filled="true" fillcolor="#000000" stroked="false">
            <v:path arrowok="t"/>
            <v:fill type="solid"/>
            <w10:wrap type="none"/>
          </v:shape>
        </w:pict>
      </w:r>
      <w:r>
        <w:rPr>
          <w:b/>
          <w:sz w:val="24"/>
          <w:u w:val="thick"/>
        </w:rPr>
        <w:t>Определенный</w:t>
      </w:r>
      <w:r>
        <w:rPr>
          <w:b/>
          <w:spacing w:val="-9"/>
          <w:sz w:val="24"/>
          <w:u w:val="thick"/>
        </w:rPr>
        <w:t> </w:t>
      </w:r>
      <w:r>
        <w:rPr>
          <w:b/>
          <w:sz w:val="24"/>
          <w:u w:val="thick"/>
        </w:rPr>
        <w:t>диагноз</w:t>
      </w:r>
      <w:r>
        <w:rPr>
          <w:b/>
          <w:spacing w:val="-5"/>
          <w:sz w:val="24"/>
          <w:u w:val="thick"/>
        </w:rPr>
        <w:t> </w:t>
      </w:r>
      <w:r>
        <w:rPr>
          <w:b/>
          <w:sz w:val="24"/>
          <w:u w:val="thick"/>
        </w:rPr>
        <w:t>геСГХС</w:t>
      </w:r>
      <w:r>
        <w:rPr>
          <w:b/>
          <w:spacing w:val="-2"/>
          <w:sz w:val="24"/>
          <w:u w:val="thick"/>
        </w:rPr>
        <w:t> </w:t>
      </w:r>
      <w:r>
        <w:rPr>
          <w:b/>
          <w:sz w:val="24"/>
          <w:u w:val="thick"/>
        </w:rPr>
        <w:t>ставится,</w:t>
      </w:r>
      <w:r>
        <w:rPr>
          <w:b/>
          <w:spacing w:val="-4"/>
          <w:sz w:val="24"/>
          <w:u w:val="thick"/>
        </w:rPr>
        <w:t> </w:t>
      </w:r>
      <w:r>
        <w:rPr>
          <w:b/>
          <w:spacing w:val="-2"/>
          <w:sz w:val="24"/>
          <w:u w:val="thick"/>
        </w:rPr>
        <w:t>если:</w:t>
      </w:r>
    </w:p>
    <w:p>
      <w:pPr>
        <w:pStyle w:val="BodyText"/>
        <w:spacing w:line="360" w:lineRule="auto" w:before="139"/>
        <w:ind w:left="1969" w:right="1300"/>
      </w:pPr>
      <w:r>
        <w:rPr/>
        <w:t>ОХС</w:t>
      </w:r>
      <w:r>
        <w:rPr>
          <w:spacing w:val="-3"/>
        </w:rPr>
        <w:t> </w:t>
      </w:r>
      <w:r>
        <w:rPr/>
        <w:t>&gt;6,7</w:t>
      </w:r>
      <w:r>
        <w:rPr>
          <w:spacing w:val="-3"/>
        </w:rPr>
        <w:t> </w:t>
      </w:r>
      <w:r>
        <w:rPr/>
        <w:t>ммоль/л</w:t>
      </w:r>
      <w:r>
        <w:rPr>
          <w:spacing w:val="-3"/>
        </w:rPr>
        <w:t> </w:t>
      </w:r>
      <w:r>
        <w:rPr/>
        <w:t>или</w:t>
      </w:r>
      <w:r>
        <w:rPr>
          <w:spacing w:val="-5"/>
        </w:rPr>
        <w:t> </w:t>
      </w:r>
      <w:r>
        <w:rPr/>
        <w:t>ХС</w:t>
      </w:r>
      <w:r>
        <w:rPr>
          <w:spacing w:val="-3"/>
        </w:rPr>
        <w:t> </w:t>
      </w:r>
      <w:r>
        <w:rPr/>
        <w:t>ЛНП</w:t>
      </w:r>
      <w:r>
        <w:rPr>
          <w:spacing w:val="-4"/>
        </w:rPr>
        <w:t> </w:t>
      </w:r>
      <w:r>
        <w:rPr>
          <w:u w:val="single"/>
        </w:rPr>
        <w:t>&gt;</w:t>
      </w:r>
      <w:r>
        <w:rPr/>
        <w:t>4,0</w:t>
      </w:r>
      <w:r>
        <w:rPr>
          <w:spacing w:val="-3"/>
        </w:rPr>
        <w:t> </w:t>
      </w:r>
      <w:r>
        <w:rPr/>
        <w:t>ммоль/л</w:t>
      </w:r>
      <w:r>
        <w:rPr>
          <w:spacing w:val="-3"/>
        </w:rPr>
        <w:t> </w:t>
      </w:r>
      <w:r>
        <w:rPr/>
        <w:t>у</w:t>
      </w:r>
      <w:r>
        <w:rPr>
          <w:spacing w:val="-3"/>
        </w:rPr>
        <w:t> </w:t>
      </w:r>
      <w:r>
        <w:rPr/>
        <w:t>пациента</w:t>
      </w:r>
      <w:r>
        <w:rPr>
          <w:spacing w:val="-4"/>
        </w:rPr>
        <w:t> </w:t>
      </w:r>
      <w:r>
        <w:rPr/>
        <w:t>младше</w:t>
      </w:r>
      <w:r>
        <w:rPr>
          <w:spacing w:val="-4"/>
        </w:rPr>
        <w:t> </w:t>
      </w:r>
      <w:r>
        <w:rPr/>
        <w:t>16</w:t>
      </w:r>
      <w:r>
        <w:rPr>
          <w:spacing w:val="-3"/>
        </w:rPr>
        <w:t> </w:t>
      </w:r>
      <w:r>
        <w:rPr/>
        <w:t>лет,</w:t>
      </w:r>
      <w:r>
        <w:rPr>
          <w:spacing w:val="-3"/>
        </w:rPr>
        <w:t> </w:t>
      </w:r>
      <w:r>
        <w:rPr>
          <w:u w:val="single"/>
        </w:rPr>
        <w:t>или</w:t>
      </w:r>
      <w:r>
        <w:rPr/>
        <w:t> ОХС &gt;7,5 ммоль/л или ХС ЛНП </w:t>
      </w:r>
      <w:r>
        <w:rPr>
          <w:u w:val="single"/>
        </w:rPr>
        <w:t>&gt;</w:t>
      </w:r>
      <w:r>
        <w:rPr/>
        <w:t>4,9 ммоль/л у пациента старше 16 лет Плюс одно из нижеперечисленного:</w:t>
      </w:r>
    </w:p>
    <w:p>
      <w:pPr>
        <w:pStyle w:val="ListParagraph"/>
        <w:numPr>
          <w:ilvl w:val="0"/>
          <w:numId w:val="28"/>
        </w:numPr>
        <w:tabs>
          <w:tab w:pos="3385" w:val="left" w:leader="none"/>
          <w:tab w:pos="3386" w:val="left" w:leader="none"/>
        </w:tabs>
        <w:spacing w:line="355" w:lineRule="auto" w:before="1" w:after="0"/>
        <w:ind w:left="1969" w:right="705" w:firstLine="708"/>
        <w:jc w:val="left"/>
        <w:rPr>
          <w:sz w:val="24"/>
        </w:rPr>
      </w:pPr>
      <w:r>
        <w:rPr>
          <w:sz w:val="24"/>
        </w:rPr>
        <w:t>Наличие</w:t>
      </w:r>
      <w:r>
        <w:rPr>
          <w:spacing w:val="-5"/>
          <w:sz w:val="24"/>
        </w:rPr>
        <w:t> </w:t>
      </w:r>
      <w:r>
        <w:rPr>
          <w:sz w:val="24"/>
        </w:rPr>
        <w:t>сухожильных</w:t>
      </w:r>
      <w:r>
        <w:rPr>
          <w:spacing w:val="-7"/>
          <w:sz w:val="24"/>
        </w:rPr>
        <w:t> </w:t>
      </w:r>
      <w:r>
        <w:rPr>
          <w:sz w:val="24"/>
        </w:rPr>
        <w:t>ксантом</w:t>
      </w:r>
      <w:r>
        <w:rPr>
          <w:spacing w:val="-5"/>
          <w:sz w:val="24"/>
        </w:rPr>
        <w:t> </w:t>
      </w:r>
      <w:r>
        <w:rPr>
          <w:sz w:val="24"/>
        </w:rPr>
        <w:t>у</w:t>
      </w:r>
      <w:r>
        <w:rPr>
          <w:spacing w:val="-4"/>
          <w:sz w:val="24"/>
        </w:rPr>
        <w:t> </w:t>
      </w:r>
      <w:r>
        <w:rPr>
          <w:sz w:val="24"/>
        </w:rPr>
        <w:t>пациента</w:t>
      </w:r>
      <w:r>
        <w:rPr>
          <w:spacing w:val="-5"/>
          <w:sz w:val="24"/>
        </w:rPr>
        <w:t> </w:t>
      </w:r>
      <w:r>
        <w:rPr>
          <w:sz w:val="24"/>
        </w:rPr>
        <w:t>или</w:t>
      </w:r>
      <w:r>
        <w:rPr>
          <w:spacing w:val="-6"/>
          <w:sz w:val="24"/>
        </w:rPr>
        <w:t> </w:t>
      </w:r>
      <w:r>
        <w:rPr>
          <w:sz w:val="24"/>
        </w:rPr>
        <w:t>родственника</w:t>
      </w:r>
      <w:r>
        <w:rPr>
          <w:spacing w:val="-5"/>
          <w:sz w:val="24"/>
        </w:rPr>
        <w:t> </w:t>
      </w:r>
      <w:r>
        <w:rPr>
          <w:sz w:val="24"/>
        </w:rPr>
        <w:t>первой степени родства (родители, дети, братья, сестры), или у родственника 2-й степени родства (дедушки, бабушки, дяди или тети);</w:t>
      </w:r>
    </w:p>
    <w:p>
      <w:pPr>
        <w:pStyle w:val="BodyText"/>
        <w:spacing w:before="6"/>
        <w:ind w:left="3397"/>
      </w:pPr>
      <w:r>
        <w:rPr>
          <w:spacing w:val="-2"/>
        </w:rPr>
        <w:t>и/или</w:t>
      </w:r>
    </w:p>
    <w:p>
      <w:pPr>
        <w:pStyle w:val="BodyText"/>
        <w:ind w:left="2677" w:right="571"/>
        <w:rPr>
          <w:i/>
        </w:rPr>
      </w:pPr>
      <w:r>
        <w:rPr/>
        <w:t>Позитивный</w:t>
      </w:r>
      <w:r>
        <w:rPr>
          <w:spacing w:val="-6"/>
        </w:rPr>
        <w:t> </w:t>
      </w:r>
      <w:r>
        <w:rPr/>
        <w:t>тест</w:t>
      </w:r>
      <w:r>
        <w:rPr>
          <w:spacing w:val="-7"/>
        </w:rPr>
        <w:t> </w:t>
      </w:r>
      <w:r>
        <w:rPr/>
        <w:t>ДНК-диагностики,</w:t>
      </w:r>
      <w:r>
        <w:rPr>
          <w:spacing w:val="-8"/>
        </w:rPr>
        <w:t> </w:t>
      </w:r>
      <w:r>
        <w:rPr/>
        <w:t>подтверждающий</w:t>
      </w:r>
      <w:r>
        <w:rPr>
          <w:spacing w:val="-6"/>
        </w:rPr>
        <w:t> </w:t>
      </w:r>
      <w:r>
        <w:rPr/>
        <w:t>наличие</w:t>
      </w:r>
      <w:r>
        <w:rPr>
          <w:spacing w:val="-8"/>
        </w:rPr>
        <w:t> </w:t>
      </w:r>
      <w:r>
        <w:rPr/>
        <w:t>патогенного или вероятно патогенного варианта нуклеотидной последовательности в генах </w:t>
      </w:r>
      <w:r>
        <w:rPr>
          <w:i/>
        </w:rPr>
        <w:t>LDLR, APOB или PCSK9</w:t>
      </w:r>
    </w:p>
    <w:p>
      <w:pPr>
        <w:pStyle w:val="Heading3"/>
        <w:ind w:left="1969"/>
      </w:pPr>
      <w:r>
        <w:rPr>
          <w:u w:val="thick"/>
        </w:rPr>
        <w:t>Вероятный</w:t>
      </w:r>
      <w:r>
        <w:rPr>
          <w:spacing w:val="-4"/>
          <w:u w:val="thick"/>
        </w:rPr>
        <w:t> </w:t>
      </w:r>
      <w:r>
        <w:rPr>
          <w:u w:val="thick"/>
        </w:rPr>
        <w:t>диагноз</w:t>
      </w:r>
      <w:r>
        <w:rPr>
          <w:spacing w:val="-4"/>
          <w:u w:val="thick"/>
        </w:rPr>
        <w:t> </w:t>
      </w:r>
      <w:r>
        <w:rPr>
          <w:u w:val="thick"/>
        </w:rPr>
        <w:t>геСГХС</w:t>
      </w:r>
      <w:r>
        <w:rPr>
          <w:spacing w:val="-5"/>
          <w:u w:val="thick"/>
        </w:rPr>
        <w:t> </w:t>
      </w:r>
      <w:r>
        <w:rPr>
          <w:u w:val="thick"/>
        </w:rPr>
        <w:t>ставится,</w:t>
      </w:r>
      <w:r>
        <w:rPr>
          <w:spacing w:val="-3"/>
          <w:u w:val="thick"/>
        </w:rPr>
        <w:t> </w:t>
      </w:r>
      <w:r>
        <w:rPr>
          <w:spacing w:val="-4"/>
          <w:u w:val="thick"/>
        </w:rPr>
        <w:t>если:</w:t>
      </w:r>
    </w:p>
    <w:p>
      <w:pPr>
        <w:pStyle w:val="BodyText"/>
        <w:spacing w:line="360" w:lineRule="auto" w:before="137"/>
        <w:ind w:left="1969" w:right="1440"/>
      </w:pPr>
      <w:r>
        <w:rPr/>
        <w:t>ОХС</w:t>
      </w:r>
      <w:r>
        <w:rPr>
          <w:spacing w:val="-3"/>
        </w:rPr>
        <w:t> </w:t>
      </w:r>
      <w:r>
        <w:rPr/>
        <w:t>&gt;6,7</w:t>
      </w:r>
      <w:r>
        <w:rPr>
          <w:spacing w:val="-3"/>
        </w:rPr>
        <w:t> </w:t>
      </w:r>
      <w:r>
        <w:rPr/>
        <w:t>ммоль/л</w:t>
      </w:r>
      <w:r>
        <w:rPr>
          <w:spacing w:val="-3"/>
        </w:rPr>
        <w:t> </w:t>
      </w:r>
      <w:r>
        <w:rPr/>
        <w:t>или</w:t>
      </w:r>
      <w:r>
        <w:rPr>
          <w:spacing w:val="-5"/>
        </w:rPr>
        <w:t> </w:t>
      </w:r>
      <w:r>
        <w:rPr/>
        <w:t>ХС</w:t>
      </w:r>
      <w:r>
        <w:rPr>
          <w:spacing w:val="-3"/>
        </w:rPr>
        <w:t> </w:t>
      </w:r>
      <w:r>
        <w:rPr/>
        <w:t>ЛНП</w:t>
      </w:r>
      <w:r>
        <w:rPr>
          <w:spacing w:val="-4"/>
        </w:rPr>
        <w:t> </w:t>
      </w:r>
      <w:r>
        <w:rPr>
          <w:u w:val="single"/>
        </w:rPr>
        <w:t>&gt;</w:t>
      </w:r>
      <w:r>
        <w:rPr/>
        <w:t>4,0</w:t>
      </w:r>
      <w:r>
        <w:rPr>
          <w:spacing w:val="-3"/>
        </w:rPr>
        <w:t> </w:t>
      </w:r>
      <w:r>
        <w:rPr/>
        <w:t>ммоль/л</w:t>
      </w:r>
      <w:r>
        <w:rPr>
          <w:spacing w:val="-3"/>
        </w:rPr>
        <w:t> </w:t>
      </w:r>
      <w:r>
        <w:rPr/>
        <w:t>у</w:t>
      </w:r>
      <w:r>
        <w:rPr>
          <w:spacing w:val="-3"/>
        </w:rPr>
        <w:t> </w:t>
      </w:r>
      <w:r>
        <w:rPr/>
        <w:t>пациента</w:t>
      </w:r>
      <w:r>
        <w:rPr>
          <w:spacing w:val="-4"/>
        </w:rPr>
        <w:t> </w:t>
      </w:r>
      <w:r>
        <w:rPr/>
        <w:t>младше</w:t>
      </w:r>
      <w:r>
        <w:rPr>
          <w:spacing w:val="-4"/>
        </w:rPr>
        <w:t> </w:t>
      </w:r>
      <w:r>
        <w:rPr/>
        <w:t>16</w:t>
      </w:r>
      <w:r>
        <w:rPr>
          <w:spacing w:val="-3"/>
        </w:rPr>
        <w:t> </w:t>
      </w:r>
      <w:r>
        <w:rPr/>
        <w:t>лет, </w:t>
      </w:r>
      <w:r>
        <w:rPr>
          <w:spacing w:val="-4"/>
          <w:u w:val="single"/>
        </w:rPr>
        <w:t>или</w:t>
      </w:r>
    </w:p>
    <w:p>
      <w:pPr>
        <w:pStyle w:val="BodyText"/>
        <w:ind w:left="1969"/>
      </w:pPr>
      <w:r>
        <w:rPr/>
        <w:t>ОХС</w:t>
      </w:r>
      <w:r>
        <w:rPr>
          <w:spacing w:val="-1"/>
        </w:rPr>
        <w:t> </w:t>
      </w:r>
      <w:r>
        <w:rPr/>
        <w:t>&gt;7,5</w:t>
      </w:r>
      <w:r>
        <w:rPr>
          <w:spacing w:val="-1"/>
        </w:rPr>
        <w:t> </w:t>
      </w:r>
      <w:r>
        <w:rPr/>
        <w:t>ммоль/л</w:t>
      </w:r>
      <w:r>
        <w:rPr>
          <w:spacing w:val="-1"/>
        </w:rPr>
        <w:t> </w:t>
      </w:r>
      <w:r>
        <w:rPr/>
        <w:t>или</w:t>
      </w:r>
      <w:r>
        <w:rPr>
          <w:spacing w:val="-2"/>
        </w:rPr>
        <w:t> </w:t>
      </w:r>
      <w:r>
        <w:rPr/>
        <w:t>ХС</w:t>
      </w:r>
      <w:r>
        <w:rPr>
          <w:spacing w:val="-1"/>
        </w:rPr>
        <w:t> </w:t>
      </w:r>
      <w:r>
        <w:rPr/>
        <w:t>ЛНП</w:t>
      </w:r>
      <w:r>
        <w:rPr>
          <w:spacing w:val="-2"/>
        </w:rPr>
        <w:t> </w:t>
      </w:r>
      <w:r>
        <w:rPr>
          <w:u w:val="single"/>
        </w:rPr>
        <w:t>&gt;</w:t>
      </w:r>
      <w:r>
        <w:rPr/>
        <w:t>4,9</w:t>
      </w:r>
      <w:r>
        <w:rPr>
          <w:spacing w:val="-1"/>
        </w:rPr>
        <w:t> </w:t>
      </w:r>
      <w:r>
        <w:rPr/>
        <w:t>ммоль/л у</w:t>
      </w:r>
      <w:r>
        <w:rPr>
          <w:spacing w:val="-1"/>
        </w:rPr>
        <w:t> </w:t>
      </w:r>
      <w:r>
        <w:rPr/>
        <w:t>пациента</w:t>
      </w:r>
      <w:r>
        <w:rPr>
          <w:spacing w:val="-2"/>
        </w:rPr>
        <w:t> </w:t>
      </w:r>
      <w:r>
        <w:rPr/>
        <w:t>старше</w:t>
      </w:r>
      <w:r>
        <w:rPr>
          <w:spacing w:val="-2"/>
        </w:rPr>
        <w:t> </w:t>
      </w:r>
      <w:r>
        <w:rPr/>
        <w:t>16 </w:t>
      </w:r>
      <w:r>
        <w:rPr>
          <w:spacing w:val="-5"/>
        </w:rPr>
        <w:t>лет</w:t>
      </w:r>
    </w:p>
    <w:p>
      <w:pPr>
        <w:pStyle w:val="BodyText"/>
        <w:ind w:left="0"/>
        <w:rPr>
          <w:sz w:val="20"/>
        </w:rPr>
      </w:pPr>
    </w:p>
    <w:p>
      <w:pPr>
        <w:pStyle w:val="BodyText"/>
        <w:spacing w:before="2"/>
        <w:ind w:left="0"/>
        <w:rPr>
          <w:sz w:val="20"/>
        </w:rPr>
      </w:pPr>
    </w:p>
    <w:p>
      <w:pPr>
        <w:pStyle w:val="BodyText"/>
        <w:spacing w:before="90"/>
        <w:ind w:left="1969"/>
      </w:pPr>
      <w:r>
        <w:rPr/>
        <w:t>Плюс</w:t>
      </w:r>
      <w:r>
        <w:rPr>
          <w:spacing w:val="-1"/>
        </w:rPr>
        <w:t> </w:t>
      </w:r>
      <w:r>
        <w:rPr/>
        <w:t>одно</w:t>
      </w:r>
      <w:r>
        <w:rPr>
          <w:spacing w:val="-1"/>
        </w:rPr>
        <w:t> </w:t>
      </w:r>
      <w:r>
        <w:rPr/>
        <w:t>из</w:t>
      </w:r>
      <w:r>
        <w:rPr>
          <w:spacing w:val="-1"/>
        </w:rPr>
        <w:t> </w:t>
      </w:r>
      <w:r>
        <w:rPr>
          <w:spacing w:val="-2"/>
        </w:rPr>
        <w:t>нижеперечисленного:</w:t>
      </w:r>
    </w:p>
    <w:p>
      <w:pPr>
        <w:pStyle w:val="ListParagraph"/>
        <w:numPr>
          <w:ilvl w:val="0"/>
          <w:numId w:val="28"/>
        </w:numPr>
        <w:tabs>
          <w:tab w:pos="3385" w:val="left" w:leader="none"/>
          <w:tab w:pos="3386" w:val="left" w:leader="none"/>
        </w:tabs>
        <w:spacing w:line="348" w:lineRule="auto" w:before="141" w:after="0"/>
        <w:ind w:left="1969" w:right="675" w:firstLine="708"/>
        <w:jc w:val="left"/>
        <w:rPr>
          <w:sz w:val="24"/>
        </w:rPr>
      </w:pPr>
      <w:r>
        <w:rPr>
          <w:sz w:val="24"/>
        </w:rPr>
        <w:t>Наличие</w:t>
      </w:r>
      <w:r>
        <w:rPr>
          <w:spacing w:val="-4"/>
          <w:sz w:val="24"/>
        </w:rPr>
        <w:t> </w:t>
      </w:r>
      <w:r>
        <w:rPr>
          <w:sz w:val="24"/>
        </w:rPr>
        <w:t>ИМ</w:t>
      </w:r>
      <w:r>
        <w:rPr>
          <w:spacing w:val="-3"/>
          <w:sz w:val="24"/>
        </w:rPr>
        <w:t> </w:t>
      </w:r>
      <w:r>
        <w:rPr>
          <w:sz w:val="24"/>
        </w:rPr>
        <w:t>в</w:t>
      </w:r>
      <w:r>
        <w:rPr>
          <w:spacing w:val="-4"/>
          <w:sz w:val="24"/>
        </w:rPr>
        <w:t> </w:t>
      </w:r>
      <w:r>
        <w:rPr>
          <w:sz w:val="24"/>
        </w:rPr>
        <w:t>анамнезе</w:t>
      </w:r>
      <w:r>
        <w:rPr>
          <w:spacing w:val="-4"/>
          <w:sz w:val="24"/>
        </w:rPr>
        <w:t> </w:t>
      </w:r>
      <w:r>
        <w:rPr>
          <w:sz w:val="24"/>
        </w:rPr>
        <w:t>родственника</w:t>
      </w:r>
      <w:r>
        <w:rPr>
          <w:spacing w:val="-4"/>
          <w:sz w:val="24"/>
        </w:rPr>
        <w:t> </w:t>
      </w:r>
      <w:r>
        <w:rPr>
          <w:sz w:val="24"/>
        </w:rPr>
        <w:t>2-й</w:t>
      </w:r>
      <w:r>
        <w:rPr>
          <w:spacing w:val="-2"/>
          <w:sz w:val="24"/>
        </w:rPr>
        <w:t> </w:t>
      </w:r>
      <w:r>
        <w:rPr>
          <w:sz w:val="24"/>
        </w:rPr>
        <w:t>степени</w:t>
      </w:r>
      <w:r>
        <w:rPr>
          <w:spacing w:val="-2"/>
          <w:sz w:val="24"/>
        </w:rPr>
        <w:t> </w:t>
      </w:r>
      <w:r>
        <w:rPr>
          <w:sz w:val="24"/>
        </w:rPr>
        <w:t>родства</w:t>
      </w:r>
      <w:r>
        <w:rPr>
          <w:spacing w:val="-4"/>
          <w:sz w:val="24"/>
        </w:rPr>
        <w:t> </w:t>
      </w:r>
      <w:r>
        <w:rPr>
          <w:sz w:val="24"/>
        </w:rPr>
        <w:t>до</w:t>
      </w:r>
      <w:r>
        <w:rPr>
          <w:spacing w:val="-3"/>
          <w:sz w:val="24"/>
        </w:rPr>
        <w:t> </w:t>
      </w:r>
      <w:r>
        <w:rPr>
          <w:sz w:val="24"/>
        </w:rPr>
        <w:t>50</w:t>
      </w:r>
      <w:r>
        <w:rPr>
          <w:spacing w:val="-3"/>
          <w:sz w:val="24"/>
        </w:rPr>
        <w:t> </w:t>
      </w:r>
      <w:r>
        <w:rPr>
          <w:sz w:val="24"/>
        </w:rPr>
        <w:t>лет, родственника 1-й степени родства — до 60 лет;</w:t>
      </w:r>
    </w:p>
    <w:p>
      <w:pPr>
        <w:pStyle w:val="BodyText"/>
        <w:spacing w:before="16"/>
        <w:ind w:left="3397"/>
      </w:pPr>
      <w:r>
        <w:rPr>
          <w:spacing w:val="-2"/>
        </w:rPr>
        <w:t>и/или</w:t>
      </w:r>
    </w:p>
    <w:p>
      <w:pPr>
        <w:pStyle w:val="BodyText"/>
        <w:spacing w:line="360" w:lineRule="auto"/>
        <w:ind w:left="1969" w:right="566"/>
        <w:jc w:val="both"/>
      </w:pPr>
      <w:r>
        <w:rPr/>
        <w:t>ОХС &gt; 7,5 ммоль/л у пациента старше 16 лет 1-й или 2-й степени родства или повышение ОХС &gt; 6,7 ммоль/л у пациента или родственника 1-й степени родства в возрасте менее 16 лет</w:t>
      </w:r>
    </w:p>
    <w:p>
      <w:pPr>
        <w:spacing w:after="0" w:line="360" w:lineRule="auto"/>
        <w:jc w:val="both"/>
        <w:sectPr>
          <w:pgSz w:w="11910" w:h="16840"/>
          <w:pgMar w:header="0" w:footer="710" w:top="1100" w:bottom="900" w:left="440" w:right="280"/>
        </w:sectPr>
      </w:pPr>
    </w:p>
    <w:p>
      <w:pPr>
        <w:pStyle w:val="Heading3"/>
        <w:spacing w:before="73"/>
      </w:pPr>
      <w:r>
        <w:rPr/>
        <w:t>Таблица</w:t>
      </w:r>
      <w:r>
        <w:rPr>
          <w:spacing w:val="-4"/>
        </w:rPr>
        <w:t> </w:t>
      </w:r>
      <w:r>
        <w:rPr/>
        <w:t>А3.8.</w:t>
      </w:r>
      <w:r>
        <w:rPr>
          <w:spacing w:val="-4"/>
        </w:rPr>
        <w:t> </w:t>
      </w:r>
      <w:r>
        <w:rPr/>
        <w:t>Диагностические</w:t>
      </w:r>
      <w:r>
        <w:rPr>
          <w:spacing w:val="-5"/>
        </w:rPr>
        <w:t> </w:t>
      </w:r>
      <w:r>
        <w:rPr/>
        <w:t>критерии</w:t>
      </w:r>
      <w:r>
        <w:rPr>
          <w:spacing w:val="-3"/>
        </w:rPr>
        <w:t> </w:t>
      </w:r>
      <w:r>
        <w:rPr>
          <w:spacing w:val="-2"/>
        </w:rPr>
        <w:t>гоСГХС</w:t>
      </w:r>
    </w:p>
    <w:p>
      <w:pPr>
        <w:pStyle w:val="BodyText"/>
        <w:spacing w:before="6"/>
        <w:ind w:left="0"/>
        <w:rPr>
          <w:b/>
          <w:sz w:val="29"/>
        </w:rPr>
      </w:pPr>
    </w:p>
    <w:tbl>
      <w:tblPr>
        <w:tblW w:w="0" w:type="auto"/>
        <w:jc w:val="left"/>
        <w:tblInd w:w="19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8801"/>
      </w:tblGrid>
      <w:tr>
        <w:trPr>
          <w:trHeight w:val="827" w:hRule="atLeast"/>
        </w:trPr>
        <w:tc>
          <w:tcPr>
            <w:tcW w:w="8801" w:type="dxa"/>
          </w:tcPr>
          <w:p>
            <w:pPr>
              <w:pStyle w:val="TableParagraph"/>
              <w:tabs>
                <w:tab w:pos="1523" w:val="left" w:leader="none"/>
              </w:tabs>
              <w:spacing w:line="275" w:lineRule="exact"/>
              <w:ind w:left="815"/>
              <w:rPr>
                <w:i/>
                <w:sz w:val="24"/>
              </w:rPr>
            </w:pPr>
            <w:r>
              <w:rPr>
                <w:spacing w:val="-5"/>
                <w:sz w:val="24"/>
              </w:rPr>
              <w:t>1)</w:t>
            </w:r>
            <w:r>
              <w:rPr>
                <w:sz w:val="24"/>
              </w:rPr>
              <w:tab/>
              <w:t>Наличие</w:t>
            </w:r>
            <w:r>
              <w:rPr>
                <w:spacing w:val="69"/>
                <w:sz w:val="24"/>
              </w:rPr>
              <w:t> </w:t>
            </w:r>
            <w:r>
              <w:rPr>
                <w:sz w:val="24"/>
              </w:rPr>
              <w:t>2</w:t>
            </w:r>
            <w:r>
              <w:rPr>
                <w:spacing w:val="70"/>
                <w:sz w:val="24"/>
              </w:rPr>
              <w:t> </w:t>
            </w:r>
            <w:r>
              <w:rPr>
                <w:sz w:val="24"/>
              </w:rPr>
              <w:t>мутантных</w:t>
            </w:r>
            <w:r>
              <w:rPr>
                <w:spacing w:val="68"/>
                <w:sz w:val="24"/>
              </w:rPr>
              <w:t> </w:t>
            </w:r>
            <w:r>
              <w:rPr>
                <w:sz w:val="24"/>
              </w:rPr>
              <w:t>аллелей</w:t>
            </w:r>
            <w:r>
              <w:rPr>
                <w:spacing w:val="71"/>
                <w:sz w:val="24"/>
              </w:rPr>
              <w:t> </w:t>
            </w:r>
            <w:r>
              <w:rPr>
                <w:sz w:val="24"/>
              </w:rPr>
              <w:t>в</w:t>
            </w:r>
            <w:r>
              <w:rPr>
                <w:spacing w:val="70"/>
                <w:sz w:val="24"/>
              </w:rPr>
              <w:t> </w:t>
            </w:r>
            <w:r>
              <w:rPr>
                <w:sz w:val="24"/>
              </w:rPr>
              <w:t>генах</w:t>
            </w:r>
            <w:r>
              <w:rPr>
                <w:spacing w:val="69"/>
                <w:sz w:val="24"/>
              </w:rPr>
              <w:t> </w:t>
            </w:r>
            <w:r>
              <w:rPr>
                <w:i/>
                <w:sz w:val="24"/>
              </w:rPr>
              <w:t>LDLR,</w:t>
            </w:r>
            <w:r>
              <w:rPr>
                <w:i/>
                <w:spacing w:val="71"/>
                <w:sz w:val="24"/>
              </w:rPr>
              <w:t> </w:t>
            </w:r>
            <w:r>
              <w:rPr>
                <w:i/>
                <w:sz w:val="24"/>
              </w:rPr>
              <w:t>APOB,</w:t>
            </w:r>
            <w:r>
              <w:rPr>
                <w:i/>
                <w:spacing w:val="70"/>
                <w:sz w:val="24"/>
              </w:rPr>
              <w:t> </w:t>
            </w:r>
            <w:r>
              <w:rPr>
                <w:i/>
                <w:sz w:val="24"/>
              </w:rPr>
              <w:t>PCSK9</w:t>
            </w:r>
            <w:r>
              <w:rPr>
                <w:i/>
                <w:spacing w:val="71"/>
                <w:sz w:val="24"/>
              </w:rPr>
              <w:t> </w:t>
            </w:r>
            <w:r>
              <w:rPr>
                <w:i/>
                <w:spacing w:val="-5"/>
                <w:sz w:val="24"/>
              </w:rPr>
              <w:t>или</w:t>
            </w:r>
          </w:p>
          <w:p>
            <w:pPr>
              <w:pStyle w:val="TableParagraph"/>
              <w:spacing w:before="139"/>
              <w:rPr>
                <w:i/>
                <w:sz w:val="24"/>
              </w:rPr>
            </w:pPr>
            <w:r>
              <w:rPr>
                <w:i/>
                <w:spacing w:val="-2"/>
                <w:sz w:val="24"/>
              </w:rPr>
              <w:t>LDLRAP1</w:t>
            </w:r>
          </w:p>
        </w:tc>
      </w:tr>
      <w:tr>
        <w:trPr>
          <w:trHeight w:val="333" w:hRule="atLeast"/>
        </w:trPr>
        <w:tc>
          <w:tcPr>
            <w:tcW w:w="8801" w:type="dxa"/>
          </w:tcPr>
          <w:p>
            <w:pPr>
              <w:pStyle w:val="TableParagraph"/>
              <w:spacing w:before="1"/>
              <w:ind w:left="815"/>
              <w:rPr>
                <w:b/>
                <w:sz w:val="24"/>
              </w:rPr>
            </w:pPr>
            <w:r>
              <w:rPr>
                <w:b/>
                <w:spacing w:val="-5"/>
                <w:sz w:val="24"/>
              </w:rPr>
              <w:t>ИЛИ</w:t>
            </w:r>
          </w:p>
        </w:tc>
      </w:tr>
      <w:tr>
        <w:trPr>
          <w:trHeight w:val="3112" w:hRule="atLeast"/>
        </w:trPr>
        <w:tc>
          <w:tcPr>
            <w:tcW w:w="8801" w:type="dxa"/>
          </w:tcPr>
          <w:p>
            <w:pPr>
              <w:pStyle w:val="TableParagraph"/>
              <w:numPr>
                <w:ilvl w:val="0"/>
                <w:numId w:val="29"/>
              </w:numPr>
              <w:tabs>
                <w:tab w:pos="1523" w:val="left" w:leader="none"/>
                <w:tab w:pos="1524" w:val="left" w:leader="none"/>
              </w:tabs>
              <w:spacing w:line="360" w:lineRule="auto" w:before="0" w:after="0"/>
              <w:ind w:left="815" w:right="94" w:firstLine="0"/>
              <w:jc w:val="left"/>
              <w:rPr>
                <w:sz w:val="24"/>
              </w:rPr>
            </w:pPr>
            <w:r>
              <w:rPr>
                <w:sz w:val="24"/>
              </w:rPr>
              <w:t>Уровень ХС ЛНП более 13 ммоль/л (500 мг/дл) без гиполипидемической</w:t>
            </w:r>
            <w:r>
              <w:rPr>
                <w:spacing w:val="80"/>
                <w:sz w:val="24"/>
              </w:rPr>
              <w:t> </w:t>
            </w:r>
            <w:r>
              <w:rPr>
                <w:sz w:val="24"/>
              </w:rPr>
              <w:t>терапии</w:t>
            </w:r>
            <w:r>
              <w:rPr>
                <w:spacing w:val="80"/>
                <w:sz w:val="24"/>
              </w:rPr>
              <w:t> </w:t>
            </w:r>
            <w:r>
              <w:rPr>
                <w:sz w:val="24"/>
              </w:rPr>
              <w:t>или</w:t>
            </w:r>
            <w:r>
              <w:rPr>
                <w:spacing w:val="80"/>
                <w:sz w:val="24"/>
              </w:rPr>
              <w:t> </w:t>
            </w:r>
            <w:r>
              <w:rPr>
                <w:sz w:val="24"/>
              </w:rPr>
              <w:t>ХС</w:t>
            </w:r>
            <w:r>
              <w:rPr>
                <w:spacing w:val="80"/>
                <w:sz w:val="24"/>
              </w:rPr>
              <w:t> </w:t>
            </w:r>
            <w:r>
              <w:rPr>
                <w:sz w:val="24"/>
              </w:rPr>
              <w:t>ЛНП</w:t>
            </w:r>
            <w:r>
              <w:rPr>
                <w:spacing w:val="80"/>
                <w:sz w:val="24"/>
              </w:rPr>
              <w:t> </w:t>
            </w:r>
            <w:r>
              <w:rPr>
                <w:sz w:val="24"/>
              </w:rPr>
              <w:t>более</w:t>
            </w:r>
            <w:r>
              <w:rPr>
                <w:spacing w:val="80"/>
                <w:sz w:val="24"/>
              </w:rPr>
              <w:t> </w:t>
            </w:r>
            <w:r>
              <w:rPr>
                <w:sz w:val="24"/>
              </w:rPr>
              <w:t>8</w:t>
            </w:r>
            <w:r>
              <w:rPr>
                <w:spacing w:val="80"/>
                <w:sz w:val="24"/>
              </w:rPr>
              <w:t> </w:t>
            </w:r>
            <w:r>
              <w:rPr>
                <w:sz w:val="24"/>
              </w:rPr>
              <w:t>ммоль/л</w:t>
            </w:r>
            <w:r>
              <w:rPr>
                <w:spacing w:val="80"/>
                <w:sz w:val="24"/>
              </w:rPr>
              <w:t> </w:t>
            </w:r>
            <w:r>
              <w:rPr>
                <w:sz w:val="24"/>
              </w:rPr>
              <w:t>на</w:t>
            </w:r>
            <w:r>
              <w:rPr>
                <w:spacing w:val="80"/>
                <w:sz w:val="24"/>
              </w:rPr>
              <w:t> </w:t>
            </w:r>
            <w:r>
              <w:rPr>
                <w:sz w:val="24"/>
              </w:rPr>
              <w:t>фоне</w:t>
            </w:r>
          </w:p>
          <w:p>
            <w:pPr>
              <w:pStyle w:val="TableParagraph"/>
              <w:rPr>
                <w:b/>
                <w:sz w:val="24"/>
              </w:rPr>
            </w:pPr>
            <w:r>
              <w:rPr>
                <w:sz w:val="24"/>
              </w:rPr>
              <w:t>гиполипидемической</w:t>
            </w:r>
            <w:r>
              <w:rPr>
                <w:spacing w:val="-3"/>
                <w:sz w:val="24"/>
              </w:rPr>
              <w:t> </w:t>
            </w:r>
            <w:r>
              <w:rPr>
                <w:sz w:val="24"/>
              </w:rPr>
              <w:t>терапии</w:t>
            </w:r>
            <w:r>
              <w:rPr>
                <w:spacing w:val="-3"/>
                <w:sz w:val="24"/>
              </w:rPr>
              <w:t> </w:t>
            </w:r>
            <w:r>
              <w:rPr>
                <w:b/>
                <w:spacing w:val="-5"/>
                <w:sz w:val="24"/>
              </w:rPr>
              <w:t>И:</w:t>
            </w:r>
          </w:p>
          <w:p>
            <w:pPr>
              <w:pStyle w:val="TableParagraph"/>
              <w:numPr>
                <w:ilvl w:val="1"/>
                <w:numId w:val="29"/>
              </w:numPr>
              <w:tabs>
                <w:tab w:pos="1523" w:val="left" w:leader="none"/>
                <w:tab w:pos="1524" w:val="left" w:leader="none"/>
              </w:tabs>
              <w:spacing w:line="240" w:lineRule="auto" w:before="138" w:after="0"/>
              <w:ind w:left="1523" w:right="0" w:hanging="709"/>
              <w:jc w:val="left"/>
              <w:rPr>
                <w:sz w:val="24"/>
              </w:rPr>
            </w:pPr>
            <w:r>
              <w:rPr>
                <w:sz w:val="24"/>
              </w:rPr>
              <w:t>Появление</w:t>
            </w:r>
            <w:r>
              <w:rPr>
                <w:spacing w:val="-2"/>
                <w:sz w:val="24"/>
              </w:rPr>
              <w:t> </w:t>
            </w:r>
            <w:r>
              <w:rPr>
                <w:sz w:val="24"/>
              </w:rPr>
              <w:t>сухожильных</w:t>
            </w:r>
            <w:r>
              <w:rPr>
                <w:spacing w:val="-1"/>
                <w:sz w:val="24"/>
              </w:rPr>
              <w:t> </w:t>
            </w:r>
            <w:r>
              <w:rPr>
                <w:sz w:val="24"/>
              </w:rPr>
              <w:t>или кожных</w:t>
            </w:r>
            <w:r>
              <w:rPr>
                <w:spacing w:val="-1"/>
                <w:sz w:val="24"/>
              </w:rPr>
              <w:t> </w:t>
            </w:r>
            <w:r>
              <w:rPr>
                <w:sz w:val="24"/>
              </w:rPr>
              <w:t>ксантом</w:t>
            </w:r>
            <w:r>
              <w:rPr>
                <w:spacing w:val="-4"/>
                <w:sz w:val="24"/>
              </w:rPr>
              <w:t> </w:t>
            </w:r>
            <w:r>
              <w:rPr>
                <w:sz w:val="24"/>
              </w:rPr>
              <w:t>в</w:t>
            </w:r>
            <w:r>
              <w:rPr>
                <w:spacing w:val="-2"/>
                <w:sz w:val="24"/>
              </w:rPr>
              <w:t> </w:t>
            </w:r>
            <w:r>
              <w:rPr>
                <w:sz w:val="24"/>
              </w:rPr>
              <w:t>возрасте</w:t>
            </w:r>
            <w:r>
              <w:rPr>
                <w:spacing w:val="-2"/>
                <w:sz w:val="24"/>
              </w:rPr>
              <w:t> </w:t>
            </w:r>
            <w:r>
              <w:rPr>
                <w:sz w:val="24"/>
              </w:rPr>
              <w:t>до</w:t>
            </w:r>
            <w:r>
              <w:rPr>
                <w:spacing w:val="-1"/>
                <w:sz w:val="24"/>
              </w:rPr>
              <w:t> </w:t>
            </w:r>
            <w:r>
              <w:rPr>
                <w:sz w:val="24"/>
              </w:rPr>
              <w:t>10 </w:t>
            </w:r>
            <w:r>
              <w:rPr>
                <w:spacing w:val="-5"/>
                <w:sz w:val="24"/>
              </w:rPr>
              <w:t>лет</w:t>
            </w:r>
          </w:p>
          <w:p>
            <w:pPr>
              <w:pStyle w:val="TableParagraph"/>
              <w:spacing w:before="136"/>
              <w:ind w:left="815"/>
              <w:rPr>
                <w:b/>
                <w:sz w:val="24"/>
              </w:rPr>
            </w:pPr>
            <w:r>
              <w:rPr>
                <w:b/>
                <w:spacing w:val="-5"/>
                <w:sz w:val="24"/>
              </w:rPr>
              <w:t>ИЛИ</w:t>
            </w:r>
          </w:p>
          <w:p>
            <w:pPr>
              <w:pStyle w:val="TableParagraph"/>
              <w:numPr>
                <w:ilvl w:val="1"/>
                <w:numId w:val="29"/>
              </w:numPr>
              <w:tabs>
                <w:tab w:pos="1523" w:val="left" w:leader="none"/>
                <w:tab w:pos="1524" w:val="left" w:leader="none"/>
                <w:tab w:pos="2805" w:val="left" w:leader="none"/>
                <w:tab w:pos="3551" w:val="left" w:leader="none"/>
                <w:tab w:pos="4470" w:val="left" w:leader="none"/>
                <w:tab w:pos="5207" w:val="left" w:leader="none"/>
                <w:tab w:pos="7806" w:val="left" w:leader="none"/>
              </w:tabs>
              <w:spacing w:line="350" w:lineRule="auto" w:before="138" w:after="0"/>
              <w:ind w:left="107" w:right="95" w:firstLine="708"/>
              <w:jc w:val="left"/>
              <w:rPr>
                <w:sz w:val="24"/>
              </w:rPr>
            </w:pPr>
            <w:r>
              <w:rPr>
                <w:spacing w:val="-2"/>
                <w:sz w:val="24"/>
              </w:rPr>
              <w:t>Уровень</w:t>
            </w:r>
            <w:r>
              <w:rPr>
                <w:sz w:val="24"/>
              </w:rPr>
              <w:tab/>
            </w:r>
            <w:r>
              <w:rPr>
                <w:spacing w:val="-6"/>
                <w:sz w:val="24"/>
              </w:rPr>
              <w:t>ХС</w:t>
            </w:r>
            <w:r>
              <w:rPr>
                <w:sz w:val="24"/>
              </w:rPr>
              <w:tab/>
            </w:r>
            <w:r>
              <w:rPr>
                <w:spacing w:val="-4"/>
                <w:sz w:val="24"/>
              </w:rPr>
              <w:t>ЛНП</w:t>
            </w:r>
            <w:r>
              <w:rPr>
                <w:sz w:val="24"/>
              </w:rPr>
              <w:tab/>
            </w:r>
            <w:r>
              <w:rPr>
                <w:spacing w:val="-4"/>
                <w:sz w:val="24"/>
              </w:rPr>
              <w:t>без</w:t>
            </w:r>
            <w:r>
              <w:rPr>
                <w:sz w:val="24"/>
              </w:rPr>
              <w:tab/>
            </w:r>
            <w:r>
              <w:rPr>
                <w:spacing w:val="-2"/>
                <w:sz w:val="24"/>
              </w:rPr>
              <w:t>гиполипидемической</w:t>
            </w:r>
            <w:r>
              <w:rPr>
                <w:sz w:val="24"/>
              </w:rPr>
              <w:tab/>
            </w:r>
            <w:r>
              <w:rPr>
                <w:spacing w:val="-2"/>
                <w:sz w:val="24"/>
              </w:rPr>
              <w:t>терапии,</w:t>
            </w:r>
            <w:r>
              <w:rPr>
                <w:spacing w:val="-2"/>
                <w:sz w:val="24"/>
              </w:rPr>
              <w:t> </w:t>
            </w:r>
            <w:r>
              <w:rPr>
                <w:sz w:val="24"/>
              </w:rPr>
              <w:t>соответствующий геСГХС, у обоих родителей</w:t>
            </w:r>
          </w:p>
        </w:tc>
      </w:tr>
    </w:tbl>
    <w:p>
      <w:pPr>
        <w:pStyle w:val="BodyText"/>
        <w:ind w:left="0"/>
        <w:rPr>
          <w:b/>
          <w:sz w:val="26"/>
        </w:rPr>
      </w:pPr>
    </w:p>
    <w:p>
      <w:pPr>
        <w:pStyle w:val="BodyText"/>
        <w:spacing w:before="4"/>
        <w:ind w:left="0"/>
        <w:rPr>
          <w:b/>
          <w:sz w:val="27"/>
        </w:rPr>
      </w:pPr>
    </w:p>
    <w:p>
      <w:pPr>
        <w:spacing w:before="1"/>
        <w:ind w:left="1261" w:right="0" w:firstLine="0"/>
        <w:jc w:val="left"/>
        <w:rPr>
          <w:b/>
          <w:sz w:val="24"/>
        </w:rPr>
      </w:pPr>
      <w:r>
        <w:rPr>
          <w:b/>
          <w:sz w:val="24"/>
        </w:rPr>
        <w:t>Таблица</w:t>
      </w:r>
      <w:r>
        <w:rPr>
          <w:b/>
          <w:spacing w:val="-6"/>
          <w:sz w:val="24"/>
        </w:rPr>
        <w:t> </w:t>
      </w:r>
      <w:r>
        <w:rPr>
          <w:b/>
          <w:sz w:val="24"/>
        </w:rPr>
        <w:t>А3.9.</w:t>
      </w:r>
      <w:r>
        <w:rPr>
          <w:b/>
          <w:spacing w:val="-4"/>
          <w:sz w:val="24"/>
        </w:rPr>
        <w:t> </w:t>
      </w:r>
      <w:r>
        <w:rPr>
          <w:b/>
          <w:sz w:val="24"/>
        </w:rPr>
        <w:t>Препараты,</w:t>
      </w:r>
      <w:r>
        <w:rPr>
          <w:b/>
          <w:spacing w:val="-4"/>
          <w:sz w:val="24"/>
        </w:rPr>
        <w:t> </w:t>
      </w:r>
      <w:r>
        <w:rPr>
          <w:b/>
          <w:sz w:val="24"/>
        </w:rPr>
        <w:t>потенциально</w:t>
      </w:r>
      <w:r>
        <w:rPr>
          <w:b/>
          <w:spacing w:val="-4"/>
          <w:sz w:val="24"/>
        </w:rPr>
        <w:t> </w:t>
      </w:r>
      <w:r>
        <w:rPr>
          <w:b/>
          <w:sz w:val="24"/>
        </w:rPr>
        <w:t>взаимодействующие</w:t>
      </w:r>
      <w:r>
        <w:rPr>
          <w:b/>
          <w:spacing w:val="-5"/>
          <w:sz w:val="24"/>
        </w:rPr>
        <w:t> </w:t>
      </w:r>
      <w:r>
        <w:rPr>
          <w:b/>
          <w:sz w:val="24"/>
        </w:rPr>
        <w:t>с</w:t>
      </w:r>
      <w:r>
        <w:rPr>
          <w:b/>
          <w:spacing w:val="-2"/>
          <w:sz w:val="24"/>
        </w:rPr>
        <w:t> статинами</w:t>
      </w:r>
    </w:p>
    <w:p>
      <w:pPr>
        <w:pStyle w:val="BodyText"/>
        <w:spacing w:before="11"/>
        <w:ind w:left="0"/>
        <w:rPr>
          <w:b/>
          <w:sz w:val="11"/>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665"/>
        <w:gridCol w:w="2484"/>
        <w:gridCol w:w="2743"/>
      </w:tblGrid>
      <w:tr>
        <w:trPr>
          <w:trHeight w:val="1242" w:hRule="atLeast"/>
        </w:trPr>
        <w:tc>
          <w:tcPr>
            <w:tcW w:w="3665" w:type="dxa"/>
          </w:tcPr>
          <w:p>
            <w:pPr>
              <w:pStyle w:val="TableParagraph"/>
              <w:spacing w:line="360" w:lineRule="auto"/>
              <w:rPr>
                <w:b/>
                <w:sz w:val="24"/>
              </w:rPr>
            </w:pPr>
            <w:r>
              <w:rPr>
                <w:b/>
                <w:sz w:val="24"/>
              </w:rPr>
              <w:t>Противомикробные</w:t>
            </w:r>
            <w:r>
              <w:rPr>
                <w:b/>
                <w:spacing w:val="-15"/>
                <w:sz w:val="24"/>
              </w:rPr>
              <w:t> </w:t>
            </w:r>
            <w:r>
              <w:rPr>
                <w:b/>
                <w:sz w:val="24"/>
              </w:rPr>
              <w:t>препараты системного действия</w:t>
            </w:r>
          </w:p>
        </w:tc>
        <w:tc>
          <w:tcPr>
            <w:tcW w:w="2484" w:type="dxa"/>
          </w:tcPr>
          <w:p>
            <w:pPr>
              <w:pStyle w:val="TableParagraph"/>
              <w:spacing w:line="275" w:lineRule="exact"/>
              <w:rPr>
                <w:b/>
                <w:sz w:val="24"/>
              </w:rPr>
            </w:pPr>
            <w:r>
              <w:rPr>
                <w:b/>
                <w:spacing w:val="-2"/>
                <w:sz w:val="24"/>
              </w:rPr>
              <w:t>Блокаторы</w:t>
            </w:r>
          </w:p>
          <w:p>
            <w:pPr>
              <w:pStyle w:val="TableParagraph"/>
              <w:spacing w:line="410" w:lineRule="atLeast" w:before="5"/>
              <w:ind w:right="180"/>
              <w:rPr>
                <w:b/>
                <w:sz w:val="24"/>
              </w:rPr>
            </w:pPr>
            <w:r>
              <w:rPr>
                <w:b/>
                <w:spacing w:val="-2"/>
                <w:sz w:val="24"/>
              </w:rPr>
              <w:t>кальциевых каналов</w:t>
            </w:r>
          </w:p>
        </w:tc>
        <w:tc>
          <w:tcPr>
            <w:tcW w:w="2743" w:type="dxa"/>
          </w:tcPr>
          <w:p>
            <w:pPr>
              <w:pStyle w:val="TableParagraph"/>
              <w:spacing w:line="275" w:lineRule="exact"/>
              <w:rPr>
                <w:b/>
                <w:sz w:val="24"/>
              </w:rPr>
            </w:pPr>
            <w:r>
              <w:rPr>
                <w:b/>
                <w:spacing w:val="-2"/>
                <w:sz w:val="24"/>
              </w:rPr>
              <w:t>Другое</w:t>
            </w:r>
          </w:p>
        </w:tc>
      </w:tr>
      <w:tr>
        <w:trPr>
          <w:trHeight w:val="414" w:hRule="atLeast"/>
        </w:trPr>
        <w:tc>
          <w:tcPr>
            <w:tcW w:w="3665" w:type="dxa"/>
          </w:tcPr>
          <w:p>
            <w:pPr>
              <w:pStyle w:val="TableParagraph"/>
              <w:spacing w:line="275" w:lineRule="exact"/>
              <w:rPr>
                <w:sz w:val="24"/>
              </w:rPr>
            </w:pPr>
            <w:r>
              <w:rPr>
                <w:spacing w:val="-2"/>
                <w:sz w:val="24"/>
              </w:rPr>
              <w:t>Итраконазол</w:t>
            </w:r>
          </w:p>
        </w:tc>
        <w:tc>
          <w:tcPr>
            <w:tcW w:w="2484" w:type="dxa"/>
          </w:tcPr>
          <w:p>
            <w:pPr>
              <w:pStyle w:val="TableParagraph"/>
              <w:spacing w:line="275" w:lineRule="exact"/>
              <w:rPr>
                <w:sz w:val="24"/>
              </w:rPr>
            </w:pPr>
            <w:r>
              <w:rPr>
                <w:spacing w:val="-2"/>
                <w:sz w:val="24"/>
              </w:rPr>
              <w:t>Верапамил**</w:t>
            </w:r>
          </w:p>
        </w:tc>
        <w:tc>
          <w:tcPr>
            <w:tcW w:w="2743" w:type="dxa"/>
          </w:tcPr>
          <w:p>
            <w:pPr>
              <w:pStyle w:val="TableParagraph"/>
              <w:spacing w:line="275" w:lineRule="exact"/>
              <w:rPr>
                <w:sz w:val="24"/>
              </w:rPr>
            </w:pPr>
            <w:r>
              <w:rPr>
                <w:spacing w:val="-2"/>
                <w:sz w:val="24"/>
              </w:rPr>
              <w:t>Циклоспорин**</w:t>
            </w:r>
          </w:p>
        </w:tc>
      </w:tr>
      <w:tr>
        <w:trPr>
          <w:trHeight w:val="412" w:hRule="atLeast"/>
        </w:trPr>
        <w:tc>
          <w:tcPr>
            <w:tcW w:w="3665" w:type="dxa"/>
          </w:tcPr>
          <w:p>
            <w:pPr>
              <w:pStyle w:val="TableParagraph"/>
              <w:spacing w:line="275" w:lineRule="exact"/>
              <w:rPr>
                <w:sz w:val="24"/>
              </w:rPr>
            </w:pPr>
            <w:r>
              <w:rPr>
                <w:spacing w:val="-2"/>
                <w:sz w:val="24"/>
              </w:rPr>
              <w:t>Кетоконазол</w:t>
            </w:r>
          </w:p>
        </w:tc>
        <w:tc>
          <w:tcPr>
            <w:tcW w:w="2484" w:type="dxa"/>
          </w:tcPr>
          <w:p>
            <w:pPr>
              <w:pStyle w:val="TableParagraph"/>
              <w:spacing w:line="275" w:lineRule="exact"/>
              <w:rPr>
                <w:sz w:val="24"/>
              </w:rPr>
            </w:pPr>
            <w:r>
              <w:rPr>
                <w:spacing w:val="-2"/>
                <w:sz w:val="24"/>
              </w:rPr>
              <w:t>Дилтиазем</w:t>
            </w:r>
          </w:p>
        </w:tc>
        <w:tc>
          <w:tcPr>
            <w:tcW w:w="2743" w:type="dxa"/>
          </w:tcPr>
          <w:p>
            <w:pPr>
              <w:pStyle w:val="TableParagraph"/>
              <w:spacing w:line="275" w:lineRule="exact"/>
              <w:rPr>
                <w:sz w:val="24"/>
              </w:rPr>
            </w:pPr>
            <w:r>
              <w:rPr>
                <w:spacing w:val="-2"/>
                <w:sz w:val="24"/>
              </w:rPr>
              <w:t>Даназол</w:t>
            </w:r>
          </w:p>
        </w:tc>
      </w:tr>
      <w:tr>
        <w:trPr>
          <w:trHeight w:val="414" w:hRule="atLeast"/>
        </w:trPr>
        <w:tc>
          <w:tcPr>
            <w:tcW w:w="3665" w:type="dxa"/>
          </w:tcPr>
          <w:p>
            <w:pPr>
              <w:pStyle w:val="TableParagraph"/>
              <w:spacing w:line="275" w:lineRule="exact"/>
              <w:rPr>
                <w:sz w:val="24"/>
              </w:rPr>
            </w:pPr>
            <w:r>
              <w:rPr>
                <w:spacing w:val="-2"/>
                <w:sz w:val="24"/>
              </w:rPr>
              <w:t>Позаконазол**</w:t>
            </w:r>
          </w:p>
        </w:tc>
        <w:tc>
          <w:tcPr>
            <w:tcW w:w="2484" w:type="dxa"/>
          </w:tcPr>
          <w:p>
            <w:pPr>
              <w:pStyle w:val="TableParagraph"/>
              <w:spacing w:line="275" w:lineRule="exact"/>
              <w:rPr>
                <w:sz w:val="24"/>
              </w:rPr>
            </w:pPr>
            <w:r>
              <w:rPr>
                <w:spacing w:val="-2"/>
                <w:sz w:val="24"/>
              </w:rPr>
              <w:t>Амлодипин**</w:t>
            </w:r>
          </w:p>
        </w:tc>
        <w:tc>
          <w:tcPr>
            <w:tcW w:w="2743" w:type="dxa"/>
          </w:tcPr>
          <w:p>
            <w:pPr>
              <w:pStyle w:val="TableParagraph"/>
              <w:spacing w:line="275" w:lineRule="exact"/>
              <w:rPr>
                <w:sz w:val="24"/>
              </w:rPr>
            </w:pPr>
            <w:r>
              <w:rPr>
                <w:spacing w:val="-2"/>
                <w:sz w:val="24"/>
              </w:rPr>
              <w:t>Амиодарон**</w:t>
            </w:r>
          </w:p>
        </w:tc>
      </w:tr>
      <w:tr>
        <w:trPr>
          <w:trHeight w:val="414" w:hRule="atLeast"/>
        </w:trPr>
        <w:tc>
          <w:tcPr>
            <w:tcW w:w="3665" w:type="dxa"/>
          </w:tcPr>
          <w:p>
            <w:pPr>
              <w:pStyle w:val="TableParagraph"/>
              <w:spacing w:line="275" w:lineRule="exact"/>
              <w:rPr>
                <w:sz w:val="24"/>
              </w:rPr>
            </w:pPr>
            <w:r>
              <w:rPr>
                <w:spacing w:val="-2"/>
                <w:sz w:val="24"/>
              </w:rPr>
              <w:t>Эритромицин</w:t>
            </w:r>
          </w:p>
        </w:tc>
        <w:tc>
          <w:tcPr>
            <w:tcW w:w="2484" w:type="dxa"/>
          </w:tcPr>
          <w:p>
            <w:pPr>
              <w:pStyle w:val="TableParagraph"/>
              <w:ind w:left="0"/>
              <w:rPr>
                <w:sz w:val="22"/>
              </w:rPr>
            </w:pPr>
          </w:p>
        </w:tc>
        <w:tc>
          <w:tcPr>
            <w:tcW w:w="2743" w:type="dxa"/>
          </w:tcPr>
          <w:p>
            <w:pPr>
              <w:pStyle w:val="TableParagraph"/>
              <w:spacing w:line="275" w:lineRule="exact"/>
              <w:rPr>
                <w:sz w:val="24"/>
              </w:rPr>
            </w:pPr>
            <w:r>
              <w:rPr>
                <w:spacing w:val="-2"/>
                <w:sz w:val="24"/>
              </w:rPr>
              <w:t>Ранолазин</w:t>
            </w:r>
          </w:p>
        </w:tc>
      </w:tr>
      <w:tr>
        <w:trPr>
          <w:trHeight w:val="412" w:hRule="atLeast"/>
        </w:trPr>
        <w:tc>
          <w:tcPr>
            <w:tcW w:w="3665" w:type="dxa"/>
          </w:tcPr>
          <w:p>
            <w:pPr>
              <w:pStyle w:val="TableParagraph"/>
              <w:spacing w:line="275" w:lineRule="exact"/>
              <w:rPr>
                <w:sz w:val="24"/>
              </w:rPr>
            </w:pPr>
            <w:r>
              <w:rPr>
                <w:spacing w:val="-2"/>
                <w:sz w:val="24"/>
              </w:rPr>
              <w:t>Кларитромицин**</w:t>
            </w:r>
          </w:p>
        </w:tc>
        <w:tc>
          <w:tcPr>
            <w:tcW w:w="2484" w:type="dxa"/>
          </w:tcPr>
          <w:p>
            <w:pPr>
              <w:pStyle w:val="TableParagraph"/>
              <w:ind w:left="0"/>
              <w:rPr>
                <w:sz w:val="22"/>
              </w:rPr>
            </w:pPr>
          </w:p>
        </w:tc>
        <w:tc>
          <w:tcPr>
            <w:tcW w:w="2743" w:type="dxa"/>
          </w:tcPr>
          <w:p>
            <w:pPr>
              <w:pStyle w:val="TableParagraph"/>
              <w:spacing w:line="275" w:lineRule="exact"/>
              <w:rPr>
                <w:sz w:val="24"/>
              </w:rPr>
            </w:pPr>
            <w:r>
              <w:rPr>
                <w:sz w:val="24"/>
              </w:rPr>
              <w:t>Грейпфрутовый</w:t>
            </w:r>
            <w:r>
              <w:rPr>
                <w:spacing w:val="-2"/>
                <w:sz w:val="24"/>
              </w:rPr>
              <w:t> </w:t>
            </w:r>
            <w:r>
              <w:rPr>
                <w:spacing w:val="-5"/>
                <w:sz w:val="24"/>
              </w:rPr>
              <w:t>сок</w:t>
            </w:r>
          </w:p>
        </w:tc>
      </w:tr>
    </w:tbl>
    <w:p>
      <w:pPr>
        <w:spacing w:after="0" w:line="275" w:lineRule="exact"/>
        <w:rPr>
          <w:sz w:val="24"/>
        </w:rPr>
        <w:sectPr>
          <w:pgSz w:w="11910" w:h="16840"/>
          <w:pgMar w:header="0" w:footer="710" w:top="1040" w:bottom="900" w:left="440" w:right="280"/>
        </w:sectPr>
      </w:pPr>
    </w:p>
    <w:p>
      <w:pPr>
        <w:spacing w:line="357" w:lineRule="auto" w:before="73" w:after="7"/>
        <w:ind w:left="1261" w:right="571" w:firstLine="0"/>
        <w:jc w:val="left"/>
        <w:rPr>
          <w:sz w:val="24"/>
        </w:rPr>
      </w:pPr>
      <w:r>
        <w:rPr>
          <w:b/>
          <w:sz w:val="24"/>
        </w:rPr>
        <w:t>Таблица</w:t>
      </w:r>
      <w:r>
        <w:rPr>
          <w:b/>
          <w:spacing w:val="29"/>
          <w:sz w:val="24"/>
        </w:rPr>
        <w:t> </w:t>
      </w:r>
      <w:r>
        <w:rPr>
          <w:b/>
          <w:sz w:val="24"/>
        </w:rPr>
        <w:t>А3.10.</w:t>
      </w:r>
      <w:r>
        <w:rPr>
          <w:b/>
          <w:spacing w:val="29"/>
          <w:sz w:val="24"/>
        </w:rPr>
        <w:t> </w:t>
      </w:r>
      <w:r>
        <w:rPr>
          <w:b/>
          <w:sz w:val="24"/>
        </w:rPr>
        <w:t>Сравнение эффективности</w:t>
      </w:r>
      <w:r>
        <w:rPr>
          <w:b/>
          <w:spacing w:val="30"/>
          <w:sz w:val="24"/>
        </w:rPr>
        <w:t> </w:t>
      </w:r>
      <w:r>
        <w:rPr>
          <w:b/>
          <w:sz w:val="24"/>
        </w:rPr>
        <w:t>фенофибрата**,</w:t>
      </w:r>
      <w:r>
        <w:rPr>
          <w:b/>
          <w:spacing w:val="30"/>
          <w:sz w:val="24"/>
        </w:rPr>
        <w:t> </w:t>
      </w:r>
      <w:r>
        <w:rPr>
          <w:rFonts w:ascii="Calibri" w:hAnsi="Calibri"/>
          <w:sz w:val="22"/>
        </w:rPr>
        <w:t>с</w:t>
      </w:r>
      <w:r>
        <w:rPr>
          <w:sz w:val="24"/>
        </w:rPr>
        <w:t>татинов</w:t>
      </w:r>
      <w:r>
        <w:rPr>
          <w:spacing w:val="29"/>
          <w:sz w:val="24"/>
        </w:rPr>
        <w:t> </w:t>
      </w:r>
      <w:r>
        <w:rPr>
          <w:b/>
          <w:sz w:val="24"/>
        </w:rPr>
        <w:t>и</w:t>
      </w:r>
      <w:r>
        <w:rPr>
          <w:b/>
          <w:spacing w:val="30"/>
          <w:sz w:val="24"/>
        </w:rPr>
        <w:t> </w:t>
      </w:r>
      <w:r>
        <w:rPr>
          <w:b/>
          <w:sz w:val="24"/>
        </w:rPr>
        <w:t>эзетимиба</w:t>
      </w:r>
      <w:r>
        <w:rPr>
          <w:b/>
          <w:spacing w:val="29"/>
          <w:sz w:val="24"/>
        </w:rPr>
        <w:t> </w:t>
      </w:r>
      <w:r>
        <w:rPr>
          <w:sz w:val="24"/>
        </w:rPr>
        <w:t>[</w:t>
      </w:r>
      <w:hyperlink w:history="true" w:anchor="_bookmark54">
        <w:r>
          <w:rPr>
            <w:sz w:val="24"/>
          </w:rPr>
          <w:t>8</w:t>
        </w:r>
      </w:hyperlink>
      <w:r>
        <w:rPr>
          <w:sz w:val="24"/>
        </w:rPr>
        <w:t>, </w:t>
      </w:r>
      <w:hyperlink w:history="true" w:anchor="_bookmark83">
        <w:r>
          <w:rPr>
            <w:sz w:val="24"/>
          </w:rPr>
          <w:t>38</w:t>
        </w:r>
      </w:hyperlink>
      <w:r>
        <w:rPr>
          <w:sz w:val="24"/>
        </w:rPr>
        <w:t>, </w:t>
      </w:r>
      <w:hyperlink w:history="true" w:anchor="_bookmark107">
        <w:r>
          <w:rPr>
            <w:sz w:val="24"/>
          </w:rPr>
          <w:t>62</w:t>
        </w:r>
      </w:hyperlink>
      <w:r>
        <w:rPr>
          <w:sz w:val="24"/>
        </w:rPr>
        <w:t>, </w:t>
      </w:r>
      <w:hyperlink w:history="true" w:anchor="_bookmark108">
        <w:r>
          <w:rPr>
            <w:sz w:val="24"/>
          </w:rPr>
          <w:t>63</w:t>
        </w:r>
      </w:hyperlink>
      <w:r>
        <w:rPr>
          <w:sz w:val="24"/>
        </w:rPr>
        <w:t>, </w:t>
      </w:r>
      <w:hyperlink w:history="true" w:anchor="_bookmark193">
        <w:r>
          <w:rPr>
            <w:sz w:val="24"/>
          </w:rPr>
          <w:t>148</w:t>
        </w:r>
      </w:hyperlink>
      <w:r>
        <w:rPr>
          <w:sz w:val="24"/>
        </w:rPr>
        <w:t>]</w:t>
      </w:r>
    </w:p>
    <w:tbl>
      <w:tblPr>
        <w:tblW w:w="0" w:type="auto"/>
        <w:jc w:val="left"/>
        <w:tblInd w:w="127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594"/>
        <w:gridCol w:w="2083"/>
        <w:gridCol w:w="2071"/>
        <w:gridCol w:w="2071"/>
      </w:tblGrid>
      <w:tr>
        <w:trPr>
          <w:trHeight w:val="560" w:hRule="atLeast"/>
        </w:trPr>
        <w:tc>
          <w:tcPr>
            <w:tcW w:w="2594" w:type="dxa"/>
            <w:vMerge w:val="restart"/>
          </w:tcPr>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spacing w:before="2"/>
              <w:ind w:left="0"/>
              <w:rPr>
                <w:sz w:val="27"/>
              </w:rPr>
            </w:pPr>
          </w:p>
          <w:p>
            <w:pPr>
              <w:pStyle w:val="TableParagraph"/>
              <w:spacing w:before="1"/>
              <w:ind w:left="143"/>
              <w:rPr>
                <w:sz w:val="24"/>
              </w:rPr>
            </w:pPr>
            <w:r>
              <w:rPr>
                <w:sz w:val="24"/>
              </w:rPr>
              <w:t>Механизм </w:t>
            </w:r>
            <w:r>
              <w:rPr>
                <w:spacing w:val="-2"/>
                <w:sz w:val="24"/>
              </w:rPr>
              <w:t>действия</w:t>
            </w:r>
          </w:p>
        </w:tc>
        <w:tc>
          <w:tcPr>
            <w:tcW w:w="2083" w:type="dxa"/>
            <w:tcBorders>
              <w:bottom w:val="single" w:sz="4" w:space="0" w:color="000000"/>
            </w:tcBorders>
          </w:tcPr>
          <w:p>
            <w:pPr>
              <w:pStyle w:val="TableParagraph"/>
              <w:spacing w:before="73"/>
              <w:ind w:left="0" w:right="591"/>
              <w:jc w:val="right"/>
              <w:rPr>
                <w:sz w:val="24"/>
              </w:rPr>
            </w:pPr>
            <w:r>
              <w:rPr>
                <w:rFonts w:ascii="Calibri" w:hAnsi="Calibri"/>
                <w:spacing w:val="-2"/>
                <w:sz w:val="22"/>
              </w:rPr>
              <w:t>С</w:t>
            </w:r>
            <w:r>
              <w:rPr>
                <w:spacing w:val="-2"/>
                <w:sz w:val="24"/>
              </w:rPr>
              <w:t>татины</w:t>
            </w:r>
          </w:p>
        </w:tc>
        <w:tc>
          <w:tcPr>
            <w:tcW w:w="2071" w:type="dxa"/>
            <w:tcBorders>
              <w:bottom w:val="single" w:sz="4" w:space="0" w:color="000000"/>
            </w:tcBorders>
          </w:tcPr>
          <w:p>
            <w:pPr>
              <w:pStyle w:val="TableParagraph"/>
              <w:spacing w:before="75"/>
              <w:ind w:left="266" w:right="243"/>
              <w:jc w:val="center"/>
              <w:rPr>
                <w:sz w:val="24"/>
              </w:rPr>
            </w:pPr>
            <w:r>
              <w:rPr>
                <w:spacing w:val="-2"/>
                <w:sz w:val="24"/>
              </w:rPr>
              <w:t>Эзетимиб</w:t>
            </w:r>
          </w:p>
        </w:tc>
        <w:tc>
          <w:tcPr>
            <w:tcW w:w="2071" w:type="dxa"/>
            <w:tcBorders>
              <w:bottom w:val="single" w:sz="4" w:space="0" w:color="000000"/>
            </w:tcBorders>
          </w:tcPr>
          <w:p>
            <w:pPr>
              <w:pStyle w:val="TableParagraph"/>
              <w:spacing w:before="75"/>
              <w:ind w:left="266" w:right="246"/>
              <w:jc w:val="center"/>
              <w:rPr>
                <w:sz w:val="24"/>
              </w:rPr>
            </w:pPr>
            <w:r>
              <w:rPr>
                <w:spacing w:val="-2"/>
                <w:sz w:val="24"/>
              </w:rPr>
              <w:t>Фенофибрат**</w:t>
            </w:r>
          </w:p>
        </w:tc>
      </w:tr>
      <w:tr>
        <w:trPr>
          <w:trHeight w:val="3450" w:hRule="atLeast"/>
        </w:trPr>
        <w:tc>
          <w:tcPr>
            <w:tcW w:w="2594" w:type="dxa"/>
            <w:vMerge/>
            <w:tcBorders>
              <w:top w:val="nil"/>
            </w:tcBorders>
          </w:tcPr>
          <w:p>
            <w:pPr>
              <w:rPr>
                <w:sz w:val="2"/>
                <w:szCs w:val="2"/>
              </w:rPr>
            </w:pPr>
          </w:p>
        </w:tc>
        <w:tc>
          <w:tcPr>
            <w:tcW w:w="2083" w:type="dxa"/>
            <w:tcBorders>
              <w:top w:val="single" w:sz="4" w:space="0" w:color="000000"/>
            </w:tcBorders>
          </w:tcPr>
          <w:p>
            <w:pPr>
              <w:pStyle w:val="TableParagraph"/>
              <w:spacing w:before="10"/>
              <w:ind w:left="0"/>
              <w:rPr>
                <w:sz w:val="23"/>
              </w:rPr>
            </w:pPr>
          </w:p>
          <w:p>
            <w:pPr>
              <w:pStyle w:val="TableParagraph"/>
              <w:spacing w:line="360" w:lineRule="auto"/>
              <w:ind w:left="144" w:right="311"/>
              <w:rPr>
                <w:sz w:val="24"/>
              </w:rPr>
            </w:pPr>
            <w:r>
              <w:rPr>
                <w:spacing w:val="-2"/>
                <w:sz w:val="24"/>
              </w:rPr>
              <w:t>ингибируют </w:t>
            </w:r>
            <w:r>
              <w:rPr>
                <w:sz w:val="24"/>
              </w:rPr>
              <w:t>фермент ГМГ- </w:t>
            </w:r>
            <w:r>
              <w:rPr>
                <w:spacing w:val="-2"/>
                <w:sz w:val="24"/>
              </w:rPr>
              <w:t>КоА-редуктазу, который </w:t>
            </w:r>
            <w:r>
              <w:rPr>
                <w:sz w:val="24"/>
              </w:rPr>
              <w:t>участвует в </w:t>
            </w:r>
            <w:r>
              <w:rPr>
                <w:spacing w:val="-2"/>
                <w:sz w:val="24"/>
              </w:rPr>
              <w:t>синтезе холестерина</w:t>
            </w:r>
          </w:p>
        </w:tc>
        <w:tc>
          <w:tcPr>
            <w:tcW w:w="2071" w:type="dxa"/>
            <w:tcBorders>
              <w:top w:val="single" w:sz="4" w:space="0" w:color="000000"/>
            </w:tcBorders>
          </w:tcPr>
          <w:p>
            <w:pPr>
              <w:pStyle w:val="TableParagraph"/>
              <w:spacing w:line="360" w:lineRule="auto" w:before="66"/>
              <w:ind w:left="189" w:right="400"/>
              <w:rPr>
                <w:sz w:val="24"/>
              </w:rPr>
            </w:pPr>
            <w:r>
              <w:rPr>
                <w:spacing w:val="-2"/>
                <w:sz w:val="24"/>
              </w:rPr>
              <w:t>селективно ингибирует абсорбцию </w:t>
            </w:r>
            <w:r>
              <w:rPr>
                <w:sz w:val="24"/>
              </w:rPr>
              <w:t>холестерина</w:t>
            </w:r>
            <w:r>
              <w:rPr>
                <w:spacing w:val="-15"/>
                <w:sz w:val="24"/>
              </w:rPr>
              <w:t> </w:t>
            </w:r>
            <w:r>
              <w:rPr>
                <w:sz w:val="24"/>
              </w:rPr>
              <w:t>и </w:t>
            </w:r>
            <w:r>
              <w:rPr>
                <w:spacing w:val="-2"/>
                <w:sz w:val="24"/>
              </w:rPr>
              <w:t>некоторых растительных </w:t>
            </w:r>
            <w:r>
              <w:rPr>
                <w:sz w:val="24"/>
              </w:rPr>
              <w:t>стеринов в </w:t>
            </w:r>
            <w:r>
              <w:rPr>
                <w:spacing w:val="-2"/>
                <w:sz w:val="24"/>
              </w:rPr>
              <w:t>кишечнике</w:t>
            </w:r>
          </w:p>
        </w:tc>
        <w:tc>
          <w:tcPr>
            <w:tcW w:w="2071" w:type="dxa"/>
            <w:tcBorders>
              <w:top w:val="single" w:sz="4" w:space="0" w:color="000000"/>
            </w:tcBorders>
          </w:tcPr>
          <w:p>
            <w:pPr>
              <w:pStyle w:val="TableParagraph"/>
              <w:spacing w:line="360" w:lineRule="auto" w:before="66"/>
              <w:ind w:left="190" w:right="6"/>
              <w:rPr>
                <w:sz w:val="24"/>
              </w:rPr>
            </w:pPr>
            <w:r>
              <w:rPr>
                <w:spacing w:val="-2"/>
                <w:sz w:val="24"/>
              </w:rPr>
              <w:t>активирует</w:t>
            </w:r>
            <w:r>
              <w:rPr>
                <w:spacing w:val="40"/>
                <w:sz w:val="24"/>
              </w:rPr>
              <w:t> </w:t>
            </w:r>
            <w:r>
              <w:rPr>
                <w:sz w:val="24"/>
              </w:rPr>
              <w:t>работу</w:t>
            </w:r>
            <w:r>
              <w:rPr>
                <w:spacing w:val="-15"/>
                <w:sz w:val="24"/>
              </w:rPr>
              <w:t> </w:t>
            </w:r>
            <w:r>
              <w:rPr>
                <w:sz w:val="24"/>
              </w:rPr>
              <w:t>клеточных </w:t>
            </w:r>
            <w:r>
              <w:rPr>
                <w:spacing w:val="-2"/>
                <w:sz w:val="24"/>
              </w:rPr>
              <w:t>PPARa-</w:t>
            </w:r>
          </w:p>
          <w:p>
            <w:pPr>
              <w:pStyle w:val="TableParagraph"/>
              <w:spacing w:line="360" w:lineRule="auto" w:before="1"/>
              <w:ind w:left="190"/>
              <w:rPr>
                <w:sz w:val="24"/>
              </w:rPr>
            </w:pPr>
            <w:r>
              <w:rPr>
                <w:spacing w:val="-2"/>
                <w:sz w:val="24"/>
              </w:rPr>
              <w:t>рецепторов, которые нормализуют метаболизм липидов</w:t>
            </w:r>
          </w:p>
        </w:tc>
      </w:tr>
      <w:tr>
        <w:trPr>
          <w:trHeight w:val="1386" w:hRule="atLeast"/>
        </w:trPr>
        <w:tc>
          <w:tcPr>
            <w:tcW w:w="2594" w:type="dxa"/>
          </w:tcPr>
          <w:p>
            <w:pPr>
              <w:pStyle w:val="TableParagraph"/>
              <w:spacing w:line="360" w:lineRule="auto" w:before="73"/>
              <w:ind w:left="143" w:right="587"/>
              <w:rPr>
                <w:sz w:val="24"/>
              </w:rPr>
            </w:pPr>
            <w:r>
              <w:rPr>
                <w:spacing w:val="-2"/>
                <w:sz w:val="24"/>
              </w:rPr>
              <w:t>Снижение </w:t>
            </w:r>
            <w:r>
              <w:rPr>
                <w:sz w:val="24"/>
              </w:rPr>
              <w:t>концентрации</w:t>
            </w:r>
            <w:r>
              <w:rPr>
                <w:spacing w:val="-15"/>
                <w:sz w:val="24"/>
              </w:rPr>
              <w:t> </w:t>
            </w:r>
            <w:r>
              <w:rPr>
                <w:sz w:val="24"/>
              </w:rPr>
              <w:t>ХС </w:t>
            </w:r>
            <w:r>
              <w:rPr>
                <w:spacing w:val="-4"/>
                <w:sz w:val="24"/>
              </w:rPr>
              <w:t>ЛНП</w:t>
            </w:r>
          </w:p>
        </w:tc>
        <w:tc>
          <w:tcPr>
            <w:tcW w:w="2083" w:type="dxa"/>
          </w:tcPr>
          <w:p>
            <w:pPr>
              <w:pStyle w:val="TableParagraph"/>
              <w:ind w:left="0"/>
              <w:rPr>
                <w:sz w:val="26"/>
              </w:rPr>
            </w:pPr>
          </w:p>
          <w:p>
            <w:pPr>
              <w:pStyle w:val="TableParagraph"/>
              <w:spacing w:before="187"/>
              <w:ind w:left="0" w:right="620"/>
              <w:jc w:val="right"/>
              <w:rPr>
                <w:sz w:val="24"/>
              </w:rPr>
            </w:pPr>
            <w:r>
              <w:rPr>
                <w:spacing w:val="-2"/>
                <w:sz w:val="24"/>
              </w:rPr>
              <w:t>18–55%</w:t>
            </w:r>
          </w:p>
        </w:tc>
        <w:tc>
          <w:tcPr>
            <w:tcW w:w="2071" w:type="dxa"/>
          </w:tcPr>
          <w:p>
            <w:pPr>
              <w:pStyle w:val="TableParagraph"/>
              <w:ind w:left="0"/>
              <w:rPr>
                <w:sz w:val="26"/>
              </w:rPr>
            </w:pPr>
          </w:p>
          <w:p>
            <w:pPr>
              <w:pStyle w:val="TableParagraph"/>
              <w:spacing w:before="187"/>
              <w:ind w:left="266" w:right="245"/>
              <w:jc w:val="center"/>
              <w:rPr>
                <w:sz w:val="24"/>
              </w:rPr>
            </w:pPr>
            <w:r>
              <w:rPr>
                <w:spacing w:val="-2"/>
                <w:sz w:val="24"/>
              </w:rPr>
              <w:t>15–30%</w:t>
            </w:r>
          </w:p>
        </w:tc>
        <w:tc>
          <w:tcPr>
            <w:tcW w:w="2071" w:type="dxa"/>
          </w:tcPr>
          <w:p>
            <w:pPr>
              <w:pStyle w:val="TableParagraph"/>
              <w:ind w:left="0"/>
              <w:rPr>
                <w:sz w:val="26"/>
              </w:rPr>
            </w:pPr>
          </w:p>
          <w:p>
            <w:pPr>
              <w:pStyle w:val="TableParagraph"/>
              <w:spacing w:before="187"/>
              <w:ind w:left="266" w:right="245"/>
              <w:jc w:val="center"/>
              <w:rPr>
                <w:sz w:val="24"/>
              </w:rPr>
            </w:pPr>
            <w:r>
              <w:rPr>
                <w:spacing w:val="-2"/>
                <w:sz w:val="24"/>
              </w:rPr>
              <w:t>5–20%</w:t>
            </w:r>
          </w:p>
        </w:tc>
      </w:tr>
      <w:tr>
        <w:trPr>
          <w:trHeight w:val="971" w:hRule="atLeast"/>
        </w:trPr>
        <w:tc>
          <w:tcPr>
            <w:tcW w:w="2594" w:type="dxa"/>
          </w:tcPr>
          <w:p>
            <w:pPr>
              <w:pStyle w:val="TableParagraph"/>
              <w:spacing w:line="360" w:lineRule="auto" w:before="70"/>
              <w:ind w:left="143"/>
              <w:rPr>
                <w:sz w:val="24"/>
              </w:rPr>
            </w:pPr>
            <w:r>
              <w:rPr>
                <w:sz w:val="24"/>
              </w:rPr>
              <w:t>Снижение</w:t>
            </w:r>
            <w:r>
              <w:rPr>
                <w:spacing w:val="-15"/>
                <w:sz w:val="24"/>
              </w:rPr>
              <w:t> </w:t>
            </w:r>
            <w:r>
              <w:rPr>
                <w:sz w:val="24"/>
              </w:rPr>
              <w:t>уровня </w:t>
            </w:r>
            <w:r>
              <w:rPr>
                <w:spacing w:val="-2"/>
                <w:sz w:val="24"/>
              </w:rPr>
              <w:t>триглицеридов</w:t>
            </w:r>
          </w:p>
        </w:tc>
        <w:tc>
          <w:tcPr>
            <w:tcW w:w="2083" w:type="dxa"/>
          </w:tcPr>
          <w:p>
            <w:pPr>
              <w:pStyle w:val="TableParagraph"/>
              <w:spacing w:before="3"/>
              <w:ind w:left="0"/>
              <w:rPr>
                <w:sz w:val="24"/>
              </w:rPr>
            </w:pPr>
          </w:p>
          <w:p>
            <w:pPr>
              <w:pStyle w:val="TableParagraph"/>
              <w:ind w:left="700"/>
              <w:rPr>
                <w:sz w:val="24"/>
              </w:rPr>
            </w:pPr>
            <w:r>
              <w:rPr>
                <w:spacing w:val="-2"/>
                <w:sz w:val="24"/>
              </w:rPr>
              <w:t>7–20%</w:t>
            </w:r>
          </w:p>
        </w:tc>
        <w:tc>
          <w:tcPr>
            <w:tcW w:w="2071" w:type="dxa"/>
          </w:tcPr>
          <w:p>
            <w:pPr>
              <w:pStyle w:val="TableParagraph"/>
              <w:spacing w:before="3"/>
              <w:ind w:left="0"/>
              <w:rPr>
                <w:sz w:val="24"/>
              </w:rPr>
            </w:pPr>
          </w:p>
          <w:p>
            <w:pPr>
              <w:pStyle w:val="TableParagraph"/>
              <w:ind w:left="266" w:right="245"/>
              <w:jc w:val="center"/>
              <w:rPr>
                <w:sz w:val="24"/>
              </w:rPr>
            </w:pPr>
            <w:r>
              <w:rPr>
                <w:spacing w:val="-4"/>
                <w:sz w:val="24"/>
              </w:rPr>
              <w:t>3–5%</w:t>
            </w:r>
          </w:p>
        </w:tc>
        <w:tc>
          <w:tcPr>
            <w:tcW w:w="2071" w:type="dxa"/>
          </w:tcPr>
          <w:p>
            <w:pPr>
              <w:pStyle w:val="TableParagraph"/>
              <w:spacing w:before="3"/>
              <w:ind w:left="0"/>
              <w:rPr>
                <w:sz w:val="24"/>
              </w:rPr>
            </w:pPr>
          </w:p>
          <w:p>
            <w:pPr>
              <w:pStyle w:val="TableParagraph"/>
              <w:ind w:left="266" w:right="245"/>
              <w:jc w:val="center"/>
              <w:rPr>
                <w:sz w:val="24"/>
              </w:rPr>
            </w:pPr>
            <w:r>
              <w:rPr>
                <w:spacing w:val="-2"/>
                <w:sz w:val="24"/>
              </w:rPr>
              <w:t>20–50%</w:t>
            </w:r>
          </w:p>
        </w:tc>
      </w:tr>
      <w:tr>
        <w:trPr>
          <w:trHeight w:val="973" w:hRule="atLeast"/>
        </w:trPr>
        <w:tc>
          <w:tcPr>
            <w:tcW w:w="2594" w:type="dxa"/>
          </w:tcPr>
          <w:p>
            <w:pPr>
              <w:pStyle w:val="TableParagraph"/>
              <w:spacing w:line="360" w:lineRule="auto" w:before="73"/>
              <w:ind w:left="143" w:right="425"/>
              <w:rPr>
                <w:sz w:val="24"/>
              </w:rPr>
            </w:pPr>
            <w:r>
              <w:rPr>
                <w:sz w:val="24"/>
              </w:rPr>
              <w:t>Увеличение</w:t>
            </w:r>
            <w:r>
              <w:rPr>
                <w:spacing w:val="-15"/>
                <w:sz w:val="24"/>
              </w:rPr>
              <w:t> </w:t>
            </w:r>
            <w:r>
              <w:rPr>
                <w:sz w:val="24"/>
              </w:rPr>
              <w:t>уровня ХС ЛВП</w:t>
            </w:r>
          </w:p>
        </w:tc>
        <w:tc>
          <w:tcPr>
            <w:tcW w:w="2083" w:type="dxa"/>
          </w:tcPr>
          <w:p>
            <w:pPr>
              <w:pStyle w:val="TableParagraph"/>
              <w:spacing w:before="3"/>
              <w:ind w:left="0"/>
              <w:rPr>
                <w:sz w:val="24"/>
              </w:rPr>
            </w:pPr>
          </w:p>
          <w:p>
            <w:pPr>
              <w:pStyle w:val="TableParagraph"/>
              <w:ind w:left="700"/>
              <w:rPr>
                <w:sz w:val="24"/>
              </w:rPr>
            </w:pPr>
            <w:r>
              <w:rPr>
                <w:spacing w:val="-2"/>
                <w:sz w:val="24"/>
              </w:rPr>
              <w:t>5–15%</w:t>
            </w:r>
          </w:p>
        </w:tc>
        <w:tc>
          <w:tcPr>
            <w:tcW w:w="2071" w:type="dxa"/>
          </w:tcPr>
          <w:p>
            <w:pPr>
              <w:pStyle w:val="TableParagraph"/>
              <w:spacing w:before="3"/>
              <w:ind w:left="0"/>
              <w:rPr>
                <w:sz w:val="24"/>
              </w:rPr>
            </w:pPr>
          </w:p>
          <w:p>
            <w:pPr>
              <w:pStyle w:val="TableParagraph"/>
              <w:ind w:left="266" w:right="245"/>
              <w:jc w:val="center"/>
              <w:rPr>
                <w:sz w:val="24"/>
              </w:rPr>
            </w:pPr>
            <w:r>
              <w:rPr>
                <w:spacing w:val="-4"/>
                <w:sz w:val="24"/>
              </w:rPr>
              <w:t>3–5%</w:t>
            </w:r>
          </w:p>
        </w:tc>
        <w:tc>
          <w:tcPr>
            <w:tcW w:w="2071" w:type="dxa"/>
          </w:tcPr>
          <w:p>
            <w:pPr>
              <w:pStyle w:val="TableParagraph"/>
              <w:spacing w:before="3"/>
              <w:ind w:left="0"/>
              <w:rPr>
                <w:sz w:val="24"/>
              </w:rPr>
            </w:pPr>
          </w:p>
          <w:p>
            <w:pPr>
              <w:pStyle w:val="TableParagraph"/>
              <w:ind w:left="266" w:right="245"/>
              <w:jc w:val="center"/>
              <w:rPr>
                <w:sz w:val="24"/>
              </w:rPr>
            </w:pPr>
            <w:r>
              <w:rPr>
                <w:spacing w:val="-2"/>
                <w:sz w:val="24"/>
              </w:rPr>
              <w:t>10–20%</w:t>
            </w:r>
          </w:p>
        </w:tc>
      </w:tr>
      <w:tr>
        <w:trPr>
          <w:trHeight w:val="971" w:hRule="atLeast"/>
        </w:trPr>
        <w:tc>
          <w:tcPr>
            <w:tcW w:w="2594" w:type="dxa"/>
          </w:tcPr>
          <w:p>
            <w:pPr>
              <w:pStyle w:val="TableParagraph"/>
              <w:spacing w:line="360" w:lineRule="auto" w:before="70"/>
              <w:ind w:left="143" w:right="204"/>
              <w:rPr>
                <w:sz w:val="24"/>
              </w:rPr>
            </w:pPr>
            <w:r>
              <w:rPr>
                <w:sz w:val="24"/>
              </w:rPr>
              <w:t>Увеличение</w:t>
            </w:r>
            <w:r>
              <w:rPr>
                <w:spacing w:val="-15"/>
                <w:sz w:val="24"/>
              </w:rPr>
              <w:t> </w:t>
            </w:r>
            <w:r>
              <w:rPr>
                <w:sz w:val="24"/>
              </w:rPr>
              <w:t>размеров частиц ЛНП</w:t>
            </w:r>
          </w:p>
        </w:tc>
        <w:tc>
          <w:tcPr>
            <w:tcW w:w="2083" w:type="dxa"/>
          </w:tcPr>
          <w:p>
            <w:pPr>
              <w:pStyle w:val="TableParagraph"/>
              <w:spacing w:before="1"/>
              <w:ind w:left="0"/>
              <w:rPr>
                <w:sz w:val="24"/>
              </w:rPr>
            </w:pPr>
          </w:p>
          <w:p>
            <w:pPr>
              <w:pStyle w:val="TableParagraph"/>
              <w:ind w:left="855" w:right="842"/>
              <w:jc w:val="center"/>
              <w:rPr>
                <w:sz w:val="24"/>
              </w:rPr>
            </w:pPr>
            <w:r>
              <w:rPr>
                <w:spacing w:val="-5"/>
                <w:sz w:val="24"/>
              </w:rPr>
              <w:t>нет</w:t>
            </w:r>
          </w:p>
        </w:tc>
        <w:tc>
          <w:tcPr>
            <w:tcW w:w="2071" w:type="dxa"/>
          </w:tcPr>
          <w:p>
            <w:pPr>
              <w:pStyle w:val="TableParagraph"/>
              <w:spacing w:before="1"/>
              <w:ind w:left="0"/>
              <w:rPr>
                <w:sz w:val="24"/>
              </w:rPr>
            </w:pPr>
          </w:p>
          <w:p>
            <w:pPr>
              <w:pStyle w:val="TableParagraph"/>
              <w:ind w:left="262" w:right="246"/>
              <w:jc w:val="center"/>
              <w:rPr>
                <w:sz w:val="24"/>
              </w:rPr>
            </w:pPr>
            <w:r>
              <w:rPr>
                <w:spacing w:val="-5"/>
                <w:sz w:val="24"/>
              </w:rPr>
              <w:t>нет</w:t>
            </w:r>
          </w:p>
        </w:tc>
        <w:tc>
          <w:tcPr>
            <w:tcW w:w="2071" w:type="dxa"/>
          </w:tcPr>
          <w:p>
            <w:pPr>
              <w:pStyle w:val="TableParagraph"/>
              <w:spacing w:before="1"/>
              <w:ind w:left="0"/>
              <w:rPr>
                <w:sz w:val="24"/>
              </w:rPr>
            </w:pPr>
          </w:p>
          <w:p>
            <w:pPr>
              <w:pStyle w:val="TableParagraph"/>
              <w:ind w:left="266" w:right="245"/>
              <w:jc w:val="center"/>
              <w:rPr>
                <w:sz w:val="24"/>
              </w:rPr>
            </w:pPr>
            <w:r>
              <w:rPr>
                <w:spacing w:val="-5"/>
                <w:sz w:val="24"/>
              </w:rPr>
              <w:t>50%</w:t>
            </w:r>
          </w:p>
        </w:tc>
      </w:tr>
    </w:tbl>
    <w:p>
      <w:pPr>
        <w:pStyle w:val="BodyText"/>
        <w:spacing w:before="2"/>
        <w:ind w:left="0"/>
        <w:rPr>
          <w:sz w:val="36"/>
        </w:rPr>
      </w:pPr>
    </w:p>
    <w:p>
      <w:pPr>
        <w:pStyle w:val="Heading3"/>
        <w:spacing w:line="360" w:lineRule="auto"/>
      </w:pPr>
      <w:r>
        <w:rPr/>
        <w:t>Таблица</w:t>
      </w:r>
      <w:r>
        <w:rPr>
          <w:spacing w:val="80"/>
        </w:rPr>
        <w:t> </w:t>
      </w:r>
      <w:r>
        <w:rPr/>
        <w:t>А3.11.</w:t>
      </w:r>
      <w:r>
        <w:rPr>
          <w:spacing w:val="80"/>
        </w:rPr>
        <w:t> </w:t>
      </w:r>
      <w:r>
        <w:rPr/>
        <w:t>Расчет</w:t>
      </w:r>
      <w:r>
        <w:rPr>
          <w:spacing w:val="80"/>
        </w:rPr>
        <w:t> </w:t>
      </w:r>
      <w:r>
        <w:rPr/>
        <w:t>степени</w:t>
      </w:r>
      <w:r>
        <w:rPr>
          <w:spacing w:val="80"/>
        </w:rPr>
        <w:t> </w:t>
      </w:r>
      <w:r>
        <w:rPr/>
        <w:t>снижения</w:t>
      </w:r>
      <w:r>
        <w:rPr>
          <w:spacing w:val="80"/>
        </w:rPr>
        <w:t> </w:t>
      </w:r>
      <w:r>
        <w:rPr/>
        <w:t>ХС</w:t>
      </w:r>
      <w:r>
        <w:rPr>
          <w:spacing w:val="80"/>
        </w:rPr>
        <w:t> </w:t>
      </w:r>
      <w:r>
        <w:rPr/>
        <w:t>ЛНП</w:t>
      </w:r>
      <w:r>
        <w:rPr>
          <w:spacing w:val="80"/>
        </w:rPr>
        <w:t> </w:t>
      </w:r>
      <w:r>
        <w:rPr/>
        <w:t>при</w:t>
      </w:r>
      <w:r>
        <w:rPr>
          <w:spacing w:val="80"/>
        </w:rPr>
        <w:t> </w:t>
      </w:r>
      <w:r>
        <w:rPr/>
        <w:t>различных</w:t>
      </w:r>
      <w:r>
        <w:rPr>
          <w:spacing w:val="80"/>
        </w:rPr>
        <w:t> </w:t>
      </w:r>
      <w:r>
        <w:rPr/>
        <w:t>вариантах гиполипидемической терапии</w:t>
      </w:r>
    </w:p>
    <w:tbl>
      <w:tblPr>
        <w:tblW w:w="0" w:type="auto"/>
        <w:jc w:val="left"/>
        <w:tblInd w:w="1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5011"/>
        <w:gridCol w:w="3852"/>
      </w:tblGrid>
      <w:tr>
        <w:trPr>
          <w:trHeight w:val="647" w:hRule="atLeast"/>
        </w:trPr>
        <w:tc>
          <w:tcPr>
            <w:tcW w:w="5011" w:type="dxa"/>
          </w:tcPr>
          <w:p>
            <w:pPr>
              <w:pStyle w:val="TableParagraph"/>
              <w:spacing w:before="116"/>
              <w:ind w:left="143"/>
              <w:rPr>
                <w:b/>
                <w:sz w:val="24"/>
              </w:rPr>
            </w:pPr>
            <w:r>
              <w:rPr>
                <w:b/>
                <w:spacing w:val="-2"/>
                <w:sz w:val="24"/>
              </w:rPr>
              <w:t>Терапия</w:t>
            </w:r>
          </w:p>
        </w:tc>
        <w:tc>
          <w:tcPr>
            <w:tcW w:w="3852" w:type="dxa"/>
          </w:tcPr>
          <w:p>
            <w:pPr>
              <w:pStyle w:val="TableParagraph"/>
              <w:spacing w:before="116"/>
              <w:ind w:left="143"/>
              <w:rPr>
                <w:b/>
                <w:sz w:val="24"/>
              </w:rPr>
            </w:pPr>
            <w:r>
              <w:rPr>
                <w:b/>
                <w:sz w:val="24"/>
              </w:rPr>
              <w:t>Снижение</w:t>
            </w:r>
            <w:r>
              <w:rPr>
                <w:b/>
                <w:spacing w:val="-4"/>
                <w:sz w:val="24"/>
              </w:rPr>
              <w:t> </w:t>
            </w:r>
            <w:r>
              <w:rPr>
                <w:b/>
                <w:sz w:val="24"/>
              </w:rPr>
              <w:t>ХС</w:t>
            </w:r>
            <w:r>
              <w:rPr>
                <w:b/>
                <w:spacing w:val="-2"/>
                <w:sz w:val="24"/>
              </w:rPr>
              <w:t> </w:t>
            </w:r>
            <w:r>
              <w:rPr>
                <w:b/>
                <w:sz w:val="24"/>
              </w:rPr>
              <w:t>ЛНП</w:t>
            </w:r>
            <w:r>
              <w:rPr>
                <w:b/>
                <w:spacing w:val="-1"/>
                <w:sz w:val="24"/>
              </w:rPr>
              <w:t> </w:t>
            </w:r>
            <w:r>
              <w:rPr>
                <w:b/>
                <w:sz w:val="24"/>
              </w:rPr>
              <w:t>в</w:t>
            </w:r>
            <w:r>
              <w:rPr>
                <w:b/>
                <w:spacing w:val="-2"/>
                <w:sz w:val="24"/>
              </w:rPr>
              <w:t> </w:t>
            </w:r>
            <w:r>
              <w:rPr>
                <w:b/>
                <w:spacing w:val="-10"/>
                <w:sz w:val="24"/>
              </w:rPr>
              <w:t>%</w:t>
            </w:r>
          </w:p>
        </w:tc>
      </w:tr>
      <w:tr>
        <w:trPr>
          <w:trHeight w:val="647" w:hRule="atLeast"/>
        </w:trPr>
        <w:tc>
          <w:tcPr>
            <w:tcW w:w="5011" w:type="dxa"/>
          </w:tcPr>
          <w:p>
            <w:pPr>
              <w:pStyle w:val="TableParagraph"/>
              <w:spacing w:before="111"/>
              <w:ind w:left="143"/>
              <w:rPr>
                <w:sz w:val="24"/>
              </w:rPr>
            </w:pPr>
            <w:r>
              <w:rPr>
                <w:sz w:val="24"/>
              </w:rPr>
              <w:t>Умеренная</w:t>
            </w:r>
            <w:r>
              <w:rPr>
                <w:spacing w:val="-1"/>
                <w:sz w:val="24"/>
              </w:rPr>
              <w:t> </w:t>
            </w:r>
            <w:r>
              <w:rPr>
                <w:sz w:val="24"/>
              </w:rPr>
              <w:t>терапия</w:t>
            </w:r>
            <w:r>
              <w:rPr>
                <w:spacing w:val="-2"/>
                <w:sz w:val="24"/>
              </w:rPr>
              <w:t> </w:t>
            </w:r>
            <w:r>
              <w:rPr>
                <w:rFonts w:ascii="Calibri" w:hAnsi="Calibri"/>
                <w:spacing w:val="-2"/>
                <w:sz w:val="22"/>
              </w:rPr>
              <w:t>с</w:t>
            </w:r>
            <w:r>
              <w:rPr>
                <w:spacing w:val="-2"/>
                <w:sz w:val="24"/>
              </w:rPr>
              <w:t>татином</w:t>
            </w:r>
          </w:p>
        </w:tc>
        <w:tc>
          <w:tcPr>
            <w:tcW w:w="3852" w:type="dxa"/>
          </w:tcPr>
          <w:p>
            <w:pPr>
              <w:pStyle w:val="TableParagraph"/>
              <w:spacing w:before="116"/>
              <w:ind w:left="143"/>
              <w:rPr>
                <w:sz w:val="24"/>
              </w:rPr>
            </w:pPr>
            <w:r>
              <w:rPr>
                <w:sz w:val="24"/>
              </w:rPr>
              <w:t>≈ </w:t>
            </w:r>
            <w:r>
              <w:rPr>
                <w:spacing w:val="-5"/>
                <w:sz w:val="24"/>
              </w:rPr>
              <w:t>30</w:t>
            </w:r>
          </w:p>
        </w:tc>
      </w:tr>
      <w:tr>
        <w:trPr>
          <w:trHeight w:val="647" w:hRule="atLeast"/>
        </w:trPr>
        <w:tc>
          <w:tcPr>
            <w:tcW w:w="5011" w:type="dxa"/>
          </w:tcPr>
          <w:p>
            <w:pPr>
              <w:pStyle w:val="TableParagraph"/>
              <w:spacing w:before="114"/>
              <w:ind w:left="143"/>
              <w:rPr>
                <w:sz w:val="24"/>
              </w:rPr>
            </w:pPr>
            <w:r>
              <w:rPr>
                <w:sz w:val="24"/>
              </w:rPr>
              <w:t>Интенсивная</w:t>
            </w:r>
            <w:r>
              <w:rPr>
                <w:spacing w:val="-2"/>
                <w:sz w:val="24"/>
              </w:rPr>
              <w:t> </w:t>
            </w:r>
            <w:r>
              <w:rPr>
                <w:sz w:val="24"/>
              </w:rPr>
              <w:t>терапия </w:t>
            </w:r>
            <w:r>
              <w:rPr>
                <w:rFonts w:ascii="Calibri" w:hAnsi="Calibri"/>
                <w:spacing w:val="-2"/>
                <w:sz w:val="22"/>
              </w:rPr>
              <w:t>с</w:t>
            </w:r>
            <w:r>
              <w:rPr>
                <w:spacing w:val="-2"/>
                <w:sz w:val="24"/>
              </w:rPr>
              <w:t>татином</w:t>
            </w:r>
          </w:p>
        </w:tc>
        <w:tc>
          <w:tcPr>
            <w:tcW w:w="3852" w:type="dxa"/>
          </w:tcPr>
          <w:p>
            <w:pPr>
              <w:pStyle w:val="TableParagraph"/>
              <w:spacing w:before="116"/>
              <w:ind w:left="143"/>
              <w:rPr>
                <w:sz w:val="24"/>
              </w:rPr>
            </w:pPr>
            <w:r>
              <w:rPr>
                <w:sz w:val="24"/>
              </w:rPr>
              <w:t>≈ </w:t>
            </w:r>
            <w:r>
              <w:rPr>
                <w:spacing w:val="-5"/>
                <w:sz w:val="24"/>
              </w:rPr>
              <w:t>50</w:t>
            </w:r>
          </w:p>
        </w:tc>
      </w:tr>
      <w:tr>
        <w:trPr>
          <w:trHeight w:val="647" w:hRule="atLeast"/>
        </w:trPr>
        <w:tc>
          <w:tcPr>
            <w:tcW w:w="5011" w:type="dxa"/>
          </w:tcPr>
          <w:p>
            <w:pPr>
              <w:pStyle w:val="TableParagraph"/>
              <w:spacing w:before="114"/>
              <w:ind w:left="143"/>
              <w:rPr>
                <w:sz w:val="24"/>
              </w:rPr>
            </w:pPr>
            <w:r>
              <w:rPr>
                <w:sz w:val="24"/>
              </w:rPr>
              <w:t>Интенсивная</w:t>
            </w:r>
            <w:r>
              <w:rPr>
                <w:spacing w:val="-4"/>
                <w:sz w:val="24"/>
              </w:rPr>
              <w:t> </w:t>
            </w:r>
            <w:r>
              <w:rPr>
                <w:sz w:val="24"/>
              </w:rPr>
              <w:t>терапия</w:t>
            </w:r>
            <w:r>
              <w:rPr>
                <w:spacing w:val="-1"/>
                <w:sz w:val="24"/>
              </w:rPr>
              <w:t> </w:t>
            </w:r>
            <w:r>
              <w:rPr>
                <w:rFonts w:ascii="Calibri" w:hAnsi="Calibri"/>
                <w:sz w:val="22"/>
              </w:rPr>
              <w:t>с</w:t>
            </w:r>
            <w:r>
              <w:rPr>
                <w:sz w:val="24"/>
              </w:rPr>
              <w:t>татином</w:t>
            </w:r>
            <w:r>
              <w:rPr>
                <w:spacing w:val="-2"/>
                <w:sz w:val="24"/>
              </w:rPr>
              <w:t> </w:t>
            </w:r>
            <w:r>
              <w:rPr>
                <w:sz w:val="24"/>
              </w:rPr>
              <w:t>+</w:t>
            </w:r>
            <w:r>
              <w:rPr>
                <w:spacing w:val="-1"/>
                <w:sz w:val="24"/>
              </w:rPr>
              <w:t> </w:t>
            </w:r>
            <w:r>
              <w:rPr>
                <w:spacing w:val="-2"/>
                <w:sz w:val="24"/>
              </w:rPr>
              <w:t>эзетимиб</w:t>
            </w:r>
          </w:p>
        </w:tc>
        <w:tc>
          <w:tcPr>
            <w:tcW w:w="3852" w:type="dxa"/>
          </w:tcPr>
          <w:p>
            <w:pPr>
              <w:pStyle w:val="TableParagraph"/>
              <w:spacing w:before="116"/>
              <w:ind w:left="143"/>
              <w:rPr>
                <w:sz w:val="24"/>
              </w:rPr>
            </w:pPr>
            <w:r>
              <w:rPr>
                <w:sz w:val="24"/>
              </w:rPr>
              <w:t>≈ </w:t>
            </w:r>
            <w:r>
              <w:rPr>
                <w:spacing w:val="-5"/>
                <w:sz w:val="24"/>
              </w:rPr>
              <w:t>65</w:t>
            </w:r>
          </w:p>
        </w:tc>
      </w:tr>
      <w:tr>
        <w:trPr>
          <w:trHeight w:val="649" w:hRule="atLeast"/>
        </w:trPr>
        <w:tc>
          <w:tcPr>
            <w:tcW w:w="5011" w:type="dxa"/>
          </w:tcPr>
          <w:p>
            <w:pPr>
              <w:pStyle w:val="TableParagraph"/>
              <w:spacing w:before="116"/>
              <w:ind w:left="143"/>
              <w:rPr>
                <w:sz w:val="24"/>
              </w:rPr>
            </w:pPr>
            <w:r>
              <w:rPr>
                <w:spacing w:val="-2"/>
                <w:sz w:val="24"/>
              </w:rPr>
              <w:t>Алирокумаб**/эволокумаб**/инклисиран**</w:t>
            </w:r>
          </w:p>
        </w:tc>
        <w:tc>
          <w:tcPr>
            <w:tcW w:w="3852" w:type="dxa"/>
          </w:tcPr>
          <w:p>
            <w:pPr>
              <w:pStyle w:val="TableParagraph"/>
              <w:spacing w:before="116"/>
              <w:ind w:left="143"/>
              <w:rPr>
                <w:sz w:val="24"/>
              </w:rPr>
            </w:pPr>
            <w:r>
              <w:rPr>
                <w:sz w:val="24"/>
              </w:rPr>
              <w:t>≈ </w:t>
            </w:r>
            <w:r>
              <w:rPr>
                <w:spacing w:val="-5"/>
                <w:sz w:val="24"/>
              </w:rPr>
              <w:t>60</w:t>
            </w:r>
          </w:p>
        </w:tc>
      </w:tr>
      <w:tr>
        <w:trPr>
          <w:trHeight w:val="647" w:hRule="atLeast"/>
        </w:trPr>
        <w:tc>
          <w:tcPr>
            <w:tcW w:w="5011" w:type="dxa"/>
          </w:tcPr>
          <w:p>
            <w:pPr>
              <w:pStyle w:val="TableParagraph"/>
              <w:spacing w:before="116"/>
              <w:ind w:left="143"/>
              <w:rPr>
                <w:sz w:val="24"/>
              </w:rPr>
            </w:pPr>
            <w:r>
              <w:rPr>
                <w:spacing w:val="-2"/>
                <w:sz w:val="24"/>
              </w:rPr>
              <w:t>Алирокумаб**/эволокумаб**/инклисиран**</w:t>
            </w:r>
          </w:p>
        </w:tc>
        <w:tc>
          <w:tcPr>
            <w:tcW w:w="3852" w:type="dxa"/>
          </w:tcPr>
          <w:p>
            <w:pPr>
              <w:pStyle w:val="TableParagraph"/>
              <w:spacing w:before="116"/>
              <w:ind w:left="143"/>
              <w:rPr>
                <w:sz w:val="24"/>
              </w:rPr>
            </w:pPr>
            <w:r>
              <w:rPr>
                <w:sz w:val="24"/>
              </w:rPr>
              <w:t>≈ </w:t>
            </w:r>
            <w:r>
              <w:rPr>
                <w:spacing w:val="-5"/>
                <w:sz w:val="24"/>
              </w:rPr>
              <w:t>75</w:t>
            </w:r>
          </w:p>
        </w:tc>
      </w:tr>
    </w:tbl>
    <w:p>
      <w:pPr>
        <w:spacing w:after="0"/>
        <w:rPr>
          <w:sz w:val="24"/>
        </w:rPr>
        <w:sectPr>
          <w:pgSz w:w="11910" w:h="16840"/>
          <w:pgMar w:header="0" w:footer="710" w:top="1040" w:bottom="900" w:left="440" w:right="280"/>
        </w:sectPr>
      </w:pPr>
    </w:p>
    <w:tbl>
      <w:tblPr>
        <w:tblW w:w="0" w:type="auto"/>
        <w:jc w:val="left"/>
        <w:tblInd w:w="11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5011"/>
        <w:gridCol w:w="3852"/>
      </w:tblGrid>
      <w:tr>
        <w:trPr>
          <w:trHeight w:val="649" w:hRule="atLeast"/>
        </w:trPr>
        <w:tc>
          <w:tcPr>
            <w:tcW w:w="5011" w:type="dxa"/>
          </w:tcPr>
          <w:p>
            <w:pPr>
              <w:pStyle w:val="TableParagraph"/>
              <w:spacing w:before="73"/>
              <w:ind w:left="143"/>
              <w:rPr>
                <w:sz w:val="24"/>
              </w:rPr>
            </w:pPr>
            <w:r>
              <w:rPr>
                <w:sz w:val="24"/>
              </w:rPr>
              <w:t>+</w:t>
            </w:r>
            <w:r>
              <w:rPr>
                <w:spacing w:val="-1"/>
                <w:sz w:val="24"/>
              </w:rPr>
              <w:t> </w:t>
            </w:r>
            <w:r>
              <w:rPr>
                <w:sz w:val="24"/>
              </w:rPr>
              <w:t>интенсивная терапия</w:t>
            </w:r>
            <w:r>
              <w:rPr>
                <w:spacing w:val="-2"/>
                <w:sz w:val="24"/>
              </w:rPr>
              <w:t> </w:t>
            </w:r>
            <w:r>
              <w:rPr>
                <w:rFonts w:ascii="Calibri" w:hAnsi="Calibri"/>
                <w:spacing w:val="-2"/>
                <w:sz w:val="22"/>
              </w:rPr>
              <w:t>с</w:t>
            </w:r>
            <w:r>
              <w:rPr>
                <w:spacing w:val="-2"/>
                <w:sz w:val="24"/>
              </w:rPr>
              <w:t>татином</w:t>
            </w:r>
          </w:p>
        </w:tc>
        <w:tc>
          <w:tcPr>
            <w:tcW w:w="3852" w:type="dxa"/>
          </w:tcPr>
          <w:p>
            <w:pPr>
              <w:pStyle w:val="TableParagraph"/>
              <w:ind w:left="0"/>
              <w:rPr>
                <w:sz w:val="24"/>
              </w:rPr>
            </w:pPr>
          </w:p>
        </w:tc>
      </w:tr>
      <w:tr>
        <w:trPr>
          <w:trHeight w:val="978" w:hRule="atLeast"/>
        </w:trPr>
        <w:tc>
          <w:tcPr>
            <w:tcW w:w="5011" w:type="dxa"/>
          </w:tcPr>
          <w:p>
            <w:pPr>
              <w:pStyle w:val="TableParagraph"/>
              <w:spacing w:before="71"/>
              <w:ind w:left="143"/>
              <w:rPr>
                <w:sz w:val="24"/>
              </w:rPr>
            </w:pPr>
            <w:r>
              <w:rPr>
                <w:spacing w:val="-2"/>
                <w:sz w:val="24"/>
              </w:rPr>
              <w:t>Алирокумаб**/эволокумаб**/инклисиран**</w:t>
            </w:r>
          </w:p>
          <w:p>
            <w:pPr>
              <w:pStyle w:val="TableParagraph"/>
              <w:spacing w:before="136"/>
              <w:ind w:left="143"/>
              <w:rPr>
                <w:sz w:val="24"/>
              </w:rPr>
            </w:pPr>
            <w:r>
              <w:rPr>
                <w:sz w:val="24"/>
              </w:rPr>
              <w:t>+</w:t>
            </w:r>
            <w:r>
              <w:rPr>
                <w:spacing w:val="-1"/>
                <w:sz w:val="24"/>
              </w:rPr>
              <w:t> </w:t>
            </w:r>
            <w:r>
              <w:rPr>
                <w:sz w:val="24"/>
              </w:rPr>
              <w:t>интенсивная терапия</w:t>
            </w:r>
            <w:r>
              <w:rPr>
                <w:spacing w:val="-2"/>
                <w:sz w:val="24"/>
              </w:rPr>
              <w:t> </w:t>
            </w:r>
            <w:r>
              <w:rPr>
                <w:rFonts w:ascii="Calibri" w:hAnsi="Calibri"/>
                <w:sz w:val="22"/>
              </w:rPr>
              <w:t>с</w:t>
            </w:r>
            <w:r>
              <w:rPr>
                <w:sz w:val="24"/>
              </w:rPr>
              <w:t>татином</w:t>
            </w:r>
            <w:r>
              <w:rPr>
                <w:spacing w:val="-11"/>
                <w:sz w:val="24"/>
              </w:rPr>
              <w:t> </w:t>
            </w:r>
            <w:r>
              <w:rPr>
                <w:sz w:val="24"/>
              </w:rPr>
              <w:t>+ </w:t>
            </w:r>
            <w:r>
              <w:rPr>
                <w:spacing w:val="-2"/>
                <w:sz w:val="24"/>
              </w:rPr>
              <w:t>эзетимиб</w:t>
            </w:r>
          </w:p>
        </w:tc>
        <w:tc>
          <w:tcPr>
            <w:tcW w:w="3852" w:type="dxa"/>
          </w:tcPr>
          <w:p>
            <w:pPr>
              <w:pStyle w:val="TableParagraph"/>
              <w:spacing w:before="6"/>
              <w:ind w:left="0"/>
              <w:rPr>
                <w:b/>
                <w:sz w:val="24"/>
              </w:rPr>
            </w:pPr>
          </w:p>
          <w:p>
            <w:pPr>
              <w:pStyle w:val="TableParagraph"/>
              <w:ind w:left="143"/>
              <w:rPr>
                <w:sz w:val="24"/>
              </w:rPr>
            </w:pPr>
            <w:r>
              <w:rPr>
                <w:sz w:val="24"/>
              </w:rPr>
              <w:t>≈ </w:t>
            </w:r>
            <w:r>
              <w:rPr>
                <w:spacing w:val="-5"/>
                <w:sz w:val="24"/>
              </w:rPr>
              <w:t>85</w:t>
            </w:r>
          </w:p>
        </w:tc>
      </w:tr>
    </w:tbl>
    <w:p>
      <w:pPr>
        <w:pStyle w:val="BodyText"/>
        <w:spacing w:before="4"/>
        <w:ind w:left="0"/>
        <w:rPr>
          <w:b/>
          <w:sz w:val="29"/>
        </w:rPr>
      </w:pPr>
    </w:p>
    <w:p>
      <w:pPr>
        <w:spacing w:before="90"/>
        <w:ind w:left="1261" w:right="0" w:firstLine="0"/>
        <w:jc w:val="left"/>
        <w:rPr>
          <w:b/>
          <w:sz w:val="24"/>
        </w:rPr>
      </w:pPr>
      <w:r>
        <w:rPr>
          <w:b/>
          <w:sz w:val="24"/>
        </w:rPr>
        <w:t>Таблица</w:t>
      </w:r>
      <w:r>
        <w:rPr>
          <w:b/>
          <w:spacing w:val="-5"/>
          <w:sz w:val="24"/>
        </w:rPr>
        <w:t> </w:t>
      </w:r>
      <w:r>
        <w:rPr>
          <w:b/>
          <w:sz w:val="24"/>
        </w:rPr>
        <w:t>А3.12.</w:t>
      </w:r>
      <w:r>
        <w:rPr>
          <w:b/>
          <w:spacing w:val="-8"/>
          <w:sz w:val="24"/>
        </w:rPr>
        <w:t> </w:t>
      </w:r>
      <w:r>
        <w:rPr>
          <w:b/>
          <w:sz w:val="24"/>
        </w:rPr>
        <w:t>Показания</w:t>
      </w:r>
      <w:r>
        <w:rPr>
          <w:b/>
          <w:spacing w:val="-3"/>
          <w:sz w:val="24"/>
        </w:rPr>
        <w:t> </w:t>
      </w:r>
      <w:r>
        <w:rPr>
          <w:b/>
          <w:sz w:val="24"/>
        </w:rPr>
        <w:t>к</w:t>
      </w:r>
      <w:r>
        <w:rPr>
          <w:b/>
          <w:spacing w:val="-3"/>
          <w:sz w:val="24"/>
        </w:rPr>
        <w:t> </w:t>
      </w:r>
      <w:r>
        <w:rPr>
          <w:b/>
          <w:sz w:val="24"/>
        </w:rPr>
        <w:t>плазмаферезу,</w:t>
      </w:r>
      <w:r>
        <w:rPr>
          <w:b/>
          <w:spacing w:val="-2"/>
          <w:sz w:val="24"/>
        </w:rPr>
        <w:t> плазмосорбции</w:t>
      </w:r>
    </w:p>
    <w:p>
      <w:pPr>
        <w:pStyle w:val="BodyText"/>
        <w:spacing w:before="2"/>
        <w:ind w:left="0"/>
        <w:rPr>
          <w:b/>
          <w:sz w:val="12"/>
        </w:rPr>
      </w:pPr>
    </w:p>
    <w:tbl>
      <w:tblPr>
        <w:tblW w:w="0" w:type="auto"/>
        <w:jc w:val="left"/>
        <w:tblInd w:w="1261"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CellMar>
          <w:top w:w="0" w:type="dxa"/>
          <w:left w:w="0" w:type="dxa"/>
          <w:bottom w:w="0" w:type="dxa"/>
          <w:right w:w="0" w:type="dxa"/>
        </w:tblCellMar>
        <w:tblLook w:val="01E0"/>
      </w:tblPr>
      <w:tblGrid>
        <w:gridCol w:w="8705"/>
      </w:tblGrid>
      <w:tr>
        <w:trPr>
          <w:trHeight w:val="414" w:hRule="atLeast"/>
        </w:trPr>
        <w:tc>
          <w:tcPr>
            <w:tcW w:w="8705" w:type="dxa"/>
          </w:tcPr>
          <w:p>
            <w:pPr>
              <w:pStyle w:val="TableParagraph"/>
              <w:spacing w:line="275" w:lineRule="exact"/>
              <w:ind w:left="4"/>
              <w:rPr>
                <w:b/>
                <w:sz w:val="24"/>
              </w:rPr>
            </w:pPr>
            <w:r>
              <w:rPr>
                <w:b/>
                <w:spacing w:val="-2"/>
                <w:sz w:val="24"/>
              </w:rPr>
              <w:t>Показания</w:t>
            </w:r>
          </w:p>
        </w:tc>
      </w:tr>
      <w:tr>
        <w:trPr>
          <w:trHeight w:val="426" w:hRule="atLeast"/>
        </w:trPr>
        <w:tc>
          <w:tcPr>
            <w:tcW w:w="8705" w:type="dxa"/>
          </w:tcPr>
          <w:p>
            <w:pPr>
              <w:pStyle w:val="TableParagraph"/>
              <w:spacing w:line="275" w:lineRule="exact"/>
              <w:ind w:left="4"/>
              <w:rPr>
                <w:sz w:val="24"/>
              </w:rPr>
            </w:pPr>
            <w:r>
              <w:rPr>
                <w:sz w:val="24"/>
              </w:rPr>
              <w:t>Гомозиготная</w:t>
            </w:r>
            <w:r>
              <w:rPr>
                <w:spacing w:val="-2"/>
                <w:sz w:val="24"/>
              </w:rPr>
              <w:t> </w:t>
            </w:r>
            <w:r>
              <w:rPr>
                <w:sz w:val="24"/>
              </w:rPr>
              <w:t>форма</w:t>
            </w:r>
            <w:r>
              <w:rPr>
                <w:spacing w:val="-2"/>
                <w:sz w:val="24"/>
              </w:rPr>
              <w:t> </w:t>
            </w:r>
            <w:r>
              <w:rPr>
                <w:sz w:val="24"/>
              </w:rPr>
              <w:t>СГХС</w:t>
            </w:r>
            <w:r>
              <w:rPr>
                <w:spacing w:val="-1"/>
                <w:sz w:val="24"/>
              </w:rPr>
              <w:t> </w:t>
            </w:r>
            <w:r>
              <w:rPr>
                <w:sz w:val="24"/>
              </w:rPr>
              <w:t>—</w:t>
            </w:r>
            <w:r>
              <w:rPr>
                <w:spacing w:val="-1"/>
                <w:sz w:val="24"/>
              </w:rPr>
              <w:t> </w:t>
            </w:r>
            <w:r>
              <w:rPr>
                <w:sz w:val="24"/>
              </w:rPr>
              <w:t>абсолютное</w:t>
            </w:r>
            <w:r>
              <w:rPr>
                <w:spacing w:val="-2"/>
                <w:sz w:val="24"/>
              </w:rPr>
              <w:t> показание</w:t>
            </w:r>
          </w:p>
        </w:tc>
      </w:tr>
      <w:tr>
        <w:trPr>
          <w:trHeight w:val="829" w:hRule="atLeast"/>
        </w:trPr>
        <w:tc>
          <w:tcPr>
            <w:tcW w:w="8705" w:type="dxa"/>
          </w:tcPr>
          <w:p>
            <w:pPr>
              <w:pStyle w:val="TableParagraph"/>
              <w:spacing w:before="1"/>
              <w:ind w:left="4"/>
              <w:rPr>
                <w:sz w:val="24"/>
              </w:rPr>
            </w:pPr>
            <w:r>
              <w:rPr>
                <w:sz w:val="24"/>
              </w:rPr>
              <w:t>Гетерозиготная</w:t>
            </w:r>
            <w:r>
              <w:rPr>
                <w:spacing w:val="-4"/>
                <w:sz w:val="24"/>
              </w:rPr>
              <w:t> </w:t>
            </w:r>
            <w:r>
              <w:rPr>
                <w:sz w:val="24"/>
              </w:rPr>
              <w:t>форма</w:t>
            </w:r>
            <w:r>
              <w:rPr>
                <w:spacing w:val="-5"/>
                <w:sz w:val="24"/>
              </w:rPr>
              <w:t> </w:t>
            </w:r>
            <w:r>
              <w:rPr>
                <w:sz w:val="24"/>
              </w:rPr>
              <w:t>СГХС</w:t>
            </w:r>
            <w:r>
              <w:rPr>
                <w:spacing w:val="-2"/>
                <w:sz w:val="24"/>
              </w:rPr>
              <w:t> </w:t>
            </w:r>
            <w:r>
              <w:rPr>
                <w:sz w:val="24"/>
              </w:rPr>
              <w:t>—</w:t>
            </w:r>
            <w:r>
              <w:rPr>
                <w:spacing w:val="-1"/>
                <w:sz w:val="24"/>
              </w:rPr>
              <w:t> </w:t>
            </w:r>
            <w:r>
              <w:rPr>
                <w:sz w:val="24"/>
              </w:rPr>
              <w:t>тяжелое</w:t>
            </w:r>
            <w:r>
              <w:rPr>
                <w:spacing w:val="-3"/>
                <w:sz w:val="24"/>
              </w:rPr>
              <w:t> </w:t>
            </w:r>
            <w:r>
              <w:rPr>
                <w:sz w:val="24"/>
              </w:rPr>
              <w:t>течение</w:t>
            </w:r>
            <w:r>
              <w:rPr>
                <w:spacing w:val="-2"/>
                <w:sz w:val="24"/>
              </w:rPr>
              <w:t> </w:t>
            </w:r>
            <w:r>
              <w:rPr>
                <w:sz w:val="24"/>
              </w:rPr>
              <w:t>Недостаточный</w:t>
            </w:r>
            <w:r>
              <w:rPr>
                <w:spacing w:val="-1"/>
                <w:sz w:val="24"/>
              </w:rPr>
              <w:t> </w:t>
            </w:r>
            <w:r>
              <w:rPr>
                <w:sz w:val="24"/>
              </w:rPr>
              <w:t>эффект</w:t>
            </w:r>
            <w:r>
              <w:rPr>
                <w:spacing w:val="-1"/>
                <w:sz w:val="24"/>
              </w:rPr>
              <w:t> </w:t>
            </w:r>
            <w:r>
              <w:rPr>
                <w:spacing w:val="-5"/>
                <w:sz w:val="24"/>
              </w:rPr>
              <w:t>от</w:t>
            </w:r>
          </w:p>
          <w:p>
            <w:pPr>
              <w:pStyle w:val="TableParagraph"/>
              <w:spacing w:before="137"/>
              <w:ind w:left="4"/>
              <w:rPr>
                <w:sz w:val="24"/>
              </w:rPr>
            </w:pPr>
            <w:r>
              <w:rPr>
                <w:sz w:val="24"/>
              </w:rPr>
              <w:t>медикаментозной</w:t>
            </w:r>
            <w:r>
              <w:rPr>
                <w:spacing w:val="-5"/>
                <w:sz w:val="24"/>
              </w:rPr>
              <w:t> </w:t>
            </w:r>
            <w:r>
              <w:rPr>
                <w:sz w:val="24"/>
              </w:rPr>
              <w:t>терапии;</w:t>
            </w:r>
            <w:r>
              <w:rPr>
                <w:spacing w:val="-3"/>
                <w:sz w:val="24"/>
              </w:rPr>
              <w:t> </w:t>
            </w:r>
            <w:r>
              <w:rPr>
                <w:sz w:val="24"/>
              </w:rPr>
              <w:t>непереносимость</w:t>
            </w:r>
            <w:r>
              <w:rPr>
                <w:spacing w:val="-1"/>
                <w:sz w:val="24"/>
              </w:rPr>
              <w:t> </w:t>
            </w:r>
            <w:r>
              <w:rPr>
                <w:sz w:val="24"/>
              </w:rPr>
              <w:t>лекарственных</w:t>
            </w:r>
            <w:r>
              <w:rPr>
                <w:spacing w:val="-1"/>
                <w:sz w:val="24"/>
              </w:rPr>
              <w:t> </w:t>
            </w:r>
            <w:r>
              <w:rPr>
                <w:spacing w:val="-2"/>
                <w:sz w:val="24"/>
              </w:rPr>
              <w:t>препаратов</w:t>
            </w:r>
          </w:p>
        </w:tc>
      </w:tr>
      <w:tr>
        <w:trPr>
          <w:trHeight w:val="827" w:hRule="atLeast"/>
        </w:trPr>
        <w:tc>
          <w:tcPr>
            <w:tcW w:w="8705" w:type="dxa"/>
          </w:tcPr>
          <w:p>
            <w:pPr>
              <w:pStyle w:val="TableParagraph"/>
              <w:spacing w:line="275" w:lineRule="exact"/>
              <w:ind w:left="4"/>
              <w:rPr>
                <w:sz w:val="24"/>
              </w:rPr>
            </w:pPr>
            <w:r>
              <w:rPr>
                <w:sz w:val="24"/>
              </w:rPr>
              <w:t>Другие</w:t>
            </w:r>
            <w:r>
              <w:rPr>
                <w:spacing w:val="-3"/>
                <w:sz w:val="24"/>
              </w:rPr>
              <w:t> </w:t>
            </w:r>
            <w:r>
              <w:rPr>
                <w:sz w:val="24"/>
              </w:rPr>
              <w:t>формы</w:t>
            </w:r>
            <w:r>
              <w:rPr>
                <w:spacing w:val="-2"/>
                <w:sz w:val="24"/>
              </w:rPr>
              <w:t> </w:t>
            </w:r>
            <w:r>
              <w:rPr>
                <w:sz w:val="24"/>
              </w:rPr>
              <w:t>ГХС,</w:t>
            </w:r>
            <w:r>
              <w:rPr>
                <w:spacing w:val="-1"/>
                <w:sz w:val="24"/>
              </w:rPr>
              <w:t> </w:t>
            </w:r>
            <w:r>
              <w:rPr>
                <w:sz w:val="24"/>
              </w:rPr>
              <w:t>рефрактерные</w:t>
            </w:r>
            <w:r>
              <w:rPr>
                <w:spacing w:val="-2"/>
                <w:sz w:val="24"/>
              </w:rPr>
              <w:t> </w:t>
            </w:r>
            <w:r>
              <w:rPr>
                <w:sz w:val="24"/>
              </w:rPr>
              <w:t>к</w:t>
            </w:r>
            <w:r>
              <w:rPr>
                <w:spacing w:val="-1"/>
                <w:sz w:val="24"/>
              </w:rPr>
              <w:t> </w:t>
            </w:r>
            <w:r>
              <w:rPr>
                <w:sz w:val="24"/>
              </w:rPr>
              <w:t>максимальной медикаментозной</w:t>
            </w:r>
            <w:r>
              <w:rPr>
                <w:spacing w:val="-3"/>
                <w:sz w:val="24"/>
              </w:rPr>
              <w:t> </w:t>
            </w:r>
            <w:r>
              <w:rPr>
                <w:sz w:val="24"/>
              </w:rPr>
              <w:t>терапии </w:t>
            </w:r>
            <w:r>
              <w:rPr>
                <w:spacing w:val="-10"/>
                <w:sz w:val="24"/>
              </w:rPr>
              <w:t>у</w:t>
            </w:r>
          </w:p>
          <w:p>
            <w:pPr>
              <w:pStyle w:val="TableParagraph"/>
              <w:spacing w:before="137"/>
              <w:ind w:left="4"/>
              <w:rPr>
                <w:sz w:val="24"/>
              </w:rPr>
            </w:pPr>
            <w:r>
              <w:rPr>
                <w:sz w:val="24"/>
              </w:rPr>
              <w:t>больных с</w:t>
            </w:r>
            <w:r>
              <w:rPr>
                <w:spacing w:val="-1"/>
                <w:sz w:val="24"/>
              </w:rPr>
              <w:t> </w:t>
            </w:r>
            <w:r>
              <w:rPr>
                <w:spacing w:val="-5"/>
                <w:sz w:val="24"/>
              </w:rPr>
              <w:t>ИБС</w:t>
            </w:r>
          </w:p>
        </w:tc>
      </w:tr>
      <w:tr>
        <w:trPr>
          <w:trHeight w:val="827" w:hRule="atLeast"/>
        </w:trPr>
        <w:tc>
          <w:tcPr>
            <w:tcW w:w="8705" w:type="dxa"/>
          </w:tcPr>
          <w:p>
            <w:pPr>
              <w:pStyle w:val="TableParagraph"/>
              <w:spacing w:line="275" w:lineRule="exact"/>
              <w:ind w:left="4"/>
              <w:rPr>
                <w:sz w:val="24"/>
              </w:rPr>
            </w:pPr>
            <w:r>
              <w:rPr>
                <w:sz w:val="24"/>
              </w:rPr>
              <w:t>Гиперлипопротеидемия(а)</w:t>
            </w:r>
            <w:r>
              <w:rPr>
                <w:spacing w:val="-3"/>
                <w:sz w:val="24"/>
              </w:rPr>
              <w:t> </w:t>
            </w:r>
            <w:r>
              <w:rPr>
                <w:sz w:val="24"/>
              </w:rPr>
              <w:t>(&gt;60</w:t>
            </w:r>
            <w:r>
              <w:rPr>
                <w:spacing w:val="-1"/>
                <w:sz w:val="24"/>
              </w:rPr>
              <w:t> </w:t>
            </w:r>
            <w:r>
              <w:rPr>
                <w:sz w:val="24"/>
              </w:rPr>
              <w:t>мг/дл)</w:t>
            </w:r>
            <w:r>
              <w:rPr>
                <w:spacing w:val="-2"/>
                <w:sz w:val="24"/>
              </w:rPr>
              <w:t> </w:t>
            </w:r>
            <w:r>
              <w:rPr>
                <w:sz w:val="24"/>
              </w:rPr>
              <w:t>у</w:t>
            </w:r>
            <w:r>
              <w:rPr>
                <w:spacing w:val="-2"/>
                <w:sz w:val="24"/>
              </w:rPr>
              <w:t> </w:t>
            </w:r>
            <w:r>
              <w:rPr>
                <w:sz w:val="24"/>
              </w:rPr>
              <w:t>больных</w:t>
            </w:r>
            <w:r>
              <w:rPr>
                <w:spacing w:val="-1"/>
                <w:sz w:val="24"/>
              </w:rPr>
              <w:t> </w:t>
            </w:r>
            <w:r>
              <w:rPr>
                <w:sz w:val="24"/>
              </w:rPr>
              <w:t>с</w:t>
            </w:r>
            <w:r>
              <w:rPr>
                <w:spacing w:val="-2"/>
                <w:sz w:val="24"/>
              </w:rPr>
              <w:t> </w:t>
            </w:r>
            <w:r>
              <w:rPr>
                <w:sz w:val="24"/>
              </w:rPr>
              <w:t>ИБС,</w:t>
            </w:r>
            <w:r>
              <w:rPr>
                <w:spacing w:val="-2"/>
                <w:sz w:val="24"/>
              </w:rPr>
              <w:t> </w:t>
            </w:r>
            <w:r>
              <w:rPr>
                <w:sz w:val="24"/>
              </w:rPr>
              <w:t>особенно</w:t>
            </w:r>
            <w:r>
              <w:rPr>
                <w:spacing w:val="-1"/>
                <w:sz w:val="24"/>
              </w:rPr>
              <w:t> </w:t>
            </w:r>
            <w:r>
              <w:rPr>
                <w:sz w:val="24"/>
              </w:rPr>
              <w:t>в</w:t>
            </w:r>
            <w:r>
              <w:rPr>
                <w:spacing w:val="-2"/>
                <w:sz w:val="24"/>
              </w:rPr>
              <w:t> </w:t>
            </w:r>
            <w:r>
              <w:rPr>
                <w:sz w:val="24"/>
              </w:rPr>
              <w:t>сочетании </w:t>
            </w:r>
            <w:r>
              <w:rPr>
                <w:spacing w:val="-10"/>
                <w:sz w:val="24"/>
              </w:rPr>
              <w:t>с</w:t>
            </w:r>
          </w:p>
          <w:p>
            <w:pPr>
              <w:pStyle w:val="TableParagraph"/>
              <w:spacing w:before="137"/>
              <w:ind w:left="4"/>
              <w:rPr>
                <w:sz w:val="24"/>
              </w:rPr>
            </w:pPr>
            <w:r>
              <w:rPr>
                <w:sz w:val="24"/>
              </w:rPr>
              <w:t>рефрактерной</w:t>
            </w:r>
            <w:r>
              <w:rPr>
                <w:spacing w:val="-4"/>
                <w:sz w:val="24"/>
              </w:rPr>
              <w:t> </w:t>
            </w:r>
            <w:r>
              <w:rPr>
                <w:sz w:val="24"/>
              </w:rPr>
              <w:t>к</w:t>
            </w:r>
            <w:r>
              <w:rPr>
                <w:spacing w:val="-1"/>
                <w:sz w:val="24"/>
              </w:rPr>
              <w:t> </w:t>
            </w:r>
            <w:r>
              <w:rPr>
                <w:sz w:val="24"/>
              </w:rPr>
              <w:t>терапии</w:t>
            </w:r>
            <w:r>
              <w:rPr>
                <w:spacing w:val="-1"/>
                <w:sz w:val="24"/>
              </w:rPr>
              <w:t> </w:t>
            </w:r>
            <w:r>
              <w:rPr>
                <w:spacing w:val="-5"/>
                <w:sz w:val="24"/>
              </w:rPr>
              <w:t>ГХС</w:t>
            </w:r>
          </w:p>
        </w:tc>
      </w:tr>
      <w:tr>
        <w:trPr>
          <w:trHeight w:val="827" w:hRule="atLeast"/>
        </w:trPr>
        <w:tc>
          <w:tcPr>
            <w:tcW w:w="8705" w:type="dxa"/>
          </w:tcPr>
          <w:p>
            <w:pPr>
              <w:pStyle w:val="TableParagraph"/>
              <w:spacing w:line="275" w:lineRule="exact"/>
              <w:ind w:left="4"/>
              <w:rPr>
                <w:sz w:val="24"/>
              </w:rPr>
            </w:pPr>
            <w:r>
              <w:rPr>
                <w:sz w:val="24"/>
              </w:rPr>
              <w:t>Рефрактерная</w:t>
            </w:r>
            <w:r>
              <w:rPr>
                <w:spacing w:val="-1"/>
                <w:sz w:val="24"/>
              </w:rPr>
              <w:t> </w:t>
            </w:r>
            <w:r>
              <w:rPr>
                <w:sz w:val="24"/>
              </w:rPr>
              <w:t>к</w:t>
            </w:r>
            <w:r>
              <w:rPr>
                <w:spacing w:val="-1"/>
                <w:sz w:val="24"/>
              </w:rPr>
              <w:t> </w:t>
            </w:r>
            <w:r>
              <w:rPr>
                <w:sz w:val="24"/>
              </w:rPr>
              <w:t>терапии ГХС</w:t>
            </w:r>
            <w:r>
              <w:rPr>
                <w:spacing w:val="-1"/>
                <w:sz w:val="24"/>
              </w:rPr>
              <w:t> </w:t>
            </w:r>
            <w:r>
              <w:rPr>
                <w:sz w:val="24"/>
              </w:rPr>
              <w:t>у</w:t>
            </w:r>
            <w:r>
              <w:rPr>
                <w:spacing w:val="-1"/>
                <w:sz w:val="24"/>
              </w:rPr>
              <w:t> </w:t>
            </w:r>
            <w:r>
              <w:rPr>
                <w:sz w:val="24"/>
              </w:rPr>
              <w:t>больных,</w:t>
            </w:r>
            <w:r>
              <w:rPr>
                <w:spacing w:val="-1"/>
                <w:sz w:val="24"/>
              </w:rPr>
              <w:t> </w:t>
            </w:r>
            <w:r>
              <w:rPr>
                <w:sz w:val="24"/>
              </w:rPr>
              <w:t>перенесших</w:t>
            </w:r>
            <w:r>
              <w:rPr>
                <w:spacing w:val="-1"/>
                <w:sz w:val="24"/>
              </w:rPr>
              <w:t> </w:t>
            </w:r>
            <w:r>
              <w:rPr>
                <w:sz w:val="24"/>
              </w:rPr>
              <w:t>реваскуляризацию,</w:t>
            </w:r>
            <w:r>
              <w:rPr>
                <w:spacing w:val="-1"/>
                <w:sz w:val="24"/>
              </w:rPr>
              <w:t> </w:t>
            </w:r>
            <w:r>
              <w:rPr>
                <w:sz w:val="24"/>
              </w:rPr>
              <w:t>с</w:t>
            </w:r>
            <w:r>
              <w:rPr>
                <w:spacing w:val="-1"/>
                <w:sz w:val="24"/>
              </w:rPr>
              <w:t> </w:t>
            </w:r>
            <w:r>
              <w:rPr>
                <w:spacing w:val="-2"/>
                <w:sz w:val="24"/>
              </w:rPr>
              <w:t>целью</w:t>
            </w:r>
          </w:p>
          <w:p>
            <w:pPr>
              <w:pStyle w:val="TableParagraph"/>
              <w:spacing w:before="139"/>
              <w:ind w:left="4"/>
              <w:rPr>
                <w:sz w:val="24"/>
              </w:rPr>
            </w:pPr>
            <w:r>
              <w:rPr>
                <w:sz w:val="24"/>
              </w:rPr>
              <w:t>предотвращения</w:t>
            </w:r>
            <w:r>
              <w:rPr>
                <w:spacing w:val="-4"/>
                <w:sz w:val="24"/>
              </w:rPr>
              <w:t> </w:t>
            </w:r>
            <w:r>
              <w:rPr>
                <w:sz w:val="24"/>
              </w:rPr>
              <w:t>рестенозов</w:t>
            </w:r>
            <w:r>
              <w:rPr>
                <w:spacing w:val="-2"/>
                <w:sz w:val="24"/>
              </w:rPr>
              <w:t> </w:t>
            </w:r>
            <w:r>
              <w:rPr>
                <w:sz w:val="24"/>
              </w:rPr>
              <w:t>и</w:t>
            </w:r>
            <w:r>
              <w:rPr>
                <w:spacing w:val="-1"/>
                <w:sz w:val="24"/>
              </w:rPr>
              <w:t> </w:t>
            </w:r>
            <w:r>
              <w:rPr>
                <w:sz w:val="24"/>
              </w:rPr>
              <w:t>окклюзий шунтов</w:t>
            </w:r>
            <w:r>
              <w:rPr>
                <w:spacing w:val="-3"/>
                <w:sz w:val="24"/>
              </w:rPr>
              <w:t> </w:t>
            </w:r>
            <w:r>
              <w:rPr>
                <w:sz w:val="24"/>
              </w:rPr>
              <w:t>и </w:t>
            </w:r>
            <w:r>
              <w:rPr>
                <w:spacing w:val="-2"/>
                <w:sz w:val="24"/>
              </w:rPr>
              <w:t>стентов</w:t>
            </w:r>
          </w:p>
        </w:tc>
      </w:tr>
      <w:tr>
        <w:trPr>
          <w:trHeight w:val="1242" w:hRule="atLeast"/>
        </w:trPr>
        <w:tc>
          <w:tcPr>
            <w:tcW w:w="8705" w:type="dxa"/>
          </w:tcPr>
          <w:p>
            <w:pPr>
              <w:pStyle w:val="TableParagraph"/>
              <w:spacing w:line="275" w:lineRule="exact"/>
              <w:ind w:left="4"/>
              <w:rPr>
                <w:sz w:val="24"/>
              </w:rPr>
            </w:pPr>
            <w:r>
              <w:rPr>
                <w:sz w:val="24"/>
              </w:rPr>
              <w:t>Рефрактерная</w:t>
            </w:r>
            <w:r>
              <w:rPr>
                <w:spacing w:val="-4"/>
                <w:sz w:val="24"/>
              </w:rPr>
              <w:t> </w:t>
            </w:r>
            <w:r>
              <w:rPr>
                <w:sz w:val="24"/>
              </w:rPr>
              <w:t>дислипидемия</w:t>
            </w:r>
            <w:r>
              <w:rPr>
                <w:spacing w:val="-1"/>
                <w:sz w:val="24"/>
              </w:rPr>
              <w:t> </w:t>
            </w:r>
            <w:r>
              <w:rPr>
                <w:sz w:val="24"/>
              </w:rPr>
              <w:t>у</w:t>
            </w:r>
            <w:r>
              <w:rPr>
                <w:spacing w:val="-1"/>
                <w:sz w:val="24"/>
              </w:rPr>
              <w:t> </w:t>
            </w:r>
            <w:r>
              <w:rPr>
                <w:sz w:val="24"/>
              </w:rPr>
              <w:t>беременных</w:t>
            </w:r>
            <w:r>
              <w:rPr>
                <w:spacing w:val="-1"/>
                <w:sz w:val="24"/>
              </w:rPr>
              <w:t> </w:t>
            </w:r>
            <w:r>
              <w:rPr>
                <w:sz w:val="24"/>
              </w:rPr>
              <w:t>с</w:t>
            </w:r>
            <w:r>
              <w:rPr>
                <w:spacing w:val="-2"/>
                <w:sz w:val="24"/>
              </w:rPr>
              <w:t> </w:t>
            </w:r>
            <w:r>
              <w:rPr>
                <w:sz w:val="24"/>
              </w:rPr>
              <w:t>высоким</w:t>
            </w:r>
            <w:r>
              <w:rPr>
                <w:spacing w:val="-2"/>
                <w:sz w:val="24"/>
              </w:rPr>
              <w:t> </w:t>
            </w:r>
            <w:r>
              <w:rPr>
                <w:sz w:val="24"/>
              </w:rPr>
              <w:t>риском</w:t>
            </w:r>
            <w:r>
              <w:rPr>
                <w:spacing w:val="-2"/>
                <w:sz w:val="24"/>
              </w:rPr>
              <w:t> осложнений,</w:t>
            </w:r>
          </w:p>
          <w:p>
            <w:pPr>
              <w:pStyle w:val="TableParagraph"/>
              <w:spacing w:line="410" w:lineRule="atLeast" w:before="5"/>
              <w:ind w:left="4"/>
              <w:rPr>
                <w:sz w:val="24"/>
              </w:rPr>
            </w:pPr>
            <w:r>
              <w:rPr>
                <w:sz w:val="24"/>
              </w:rPr>
              <w:t>особенно</w:t>
            </w:r>
            <w:r>
              <w:rPr>
                <w:spacing w:val="-8"/>
                <w:sz w:val="24"/>
              </w:rPr>
              <w:t> </w:t>
            </w:r>
            <w:r>
              <w:rPr>
                <w:sz w:val="24"/>
              </w:rPr>
              <w:t>с</w:t>
            </w:r>
            <w:r>
              <w:rPr>
                <w:spacing w:val="-9"/>
                <w:sz w:val="24"/>
              </w:rPr>
              <w:t> </w:t>
            </w:r>
            <w:r>
              <w:rPr>
                <w:sz w:val="24"/>
              </w:rPr>
              <w:t>наследственной</w:t>
            </w:r>
            <w:r>
              <w:rPr>
                <w:spacing w:val="-7"/>
                <w:sz w:val="24"/>
              </w:rPr>
              <w:t> </w:t>
            </w:r>
            <w:r>
              <w:rPr>
                <w:sz w:val="24"/>
              </w:rPr>
              <w:t>формой</w:t>
            </w:r>
            <w:r>
              <w:rPr>
                <w:spacing w:val="-7"/>
                <w:sz w:val="24"/>
              </w:rPr>
              <w:t> </w:t>
            </w:r>
            <w:r>
              <w:rPr>
                <w:sz w:val="24"/>
              </w:rPr>
              <w:t>дислипидемии,</w:t>
            </w:r>
            <w:r>
              <w:rPr>
                <w:spacing w:val="-8"/>
                <w:sz w:val="24"/>
              </w:rPr>
              <w:t> </w:t>
            </w:r>
            <w:r>
              <w:rPr>
                <w:sz w:val="24"/>
              </w:rPr>
              <w:t>гиперлипопротеидемии(а), выраженной гипервязкостью крови</w:t>
            </w:r>
          </w:p>
        </w:tc>
      </w:tr>
    </w:tbl>
    <w:p>
      <w:pPr>
        <w:pStyle w:val="BodyText"/>
        <w:spacing w:before="4"/>
        <w:ind w:left="1261"/>
      </w:pPr>
      <w:r>
        <w:rPr/>
        <w:t>СГХС</w:t>
      </w:r>
      <w:r>
        <w:rPr>
          <w:spacing w:val="-2"/>
        </w:rPr>
        <w:t> </w:t>
      </w:r>
      <w:r>
        <w:rPr/>
        <w:t>—</w:t>
      </w:r>
      <w:r>
        <w:rPr>
          <w:spacing w:val="-1"/>
        </w:rPr>
        <w:t> </w:t>
      </w:r>
      <w:r>
        <w:rPr/>
        <w:t>семейная</w:t>
      </w:r>
      <w:r>
        <w:rPr>
          <w:spacing w:val="-1"/>
        </w:rPr>
        <w:t> </w:t>
      </w:r>
      <w:r>
        <w:rPr>
          <w:spacing w:val="-2"/>
        </w:rPr>
        <w:t>гиперхолестеринемия.</w:t>
      </w:r>
    </w:p>
    <w:p>
      <w:pPr>
        <w:pStyle w:val="BodyText"/>
        <w:ind w:left="0"/>
        <w:rPr>
          <w:sz w:val="26"/>
        </w:rPr>
      </w:pPr>
    </w:p>
    <w:p>
      <w:pPr>
        <w:pStyle w:val="BodyText"/>
        <w:ind w:left="0"/>
        <w:rPr>
          <w:sz w:val="22"/>
        </w:rPr>
      </w:pPr>
    </w:p>
    <w:p>
      <w:pPr>
        <w:pStyle w:val="Heading3"/>
        <w:rPr>
          <w:b w:val="0"/>
        </w:rPr>
      </w:pPr>
      <w:r>
        <w:rPr/>
        <w:t>Таблица</w:t>
      </w:r>
      <w:r>
        <w:rPr>
          <w:spacing w:val="-5"/>
        </w:rPr>
        <w:t> </w:t>
      </w:r>
      <w:r>
        <w:rPr/>
        <w:t>А3.13.</w:t>
      </w:r>
      <w:r>
        <w:rPr>
          <w:spacing w:val="-3"/>
        </w:rPr>
        <w:t> </w:t>
      </w:r>
      <w:r>
        <w:rPr/>
        <w:t>Сводные</w:t>
      </w:r>
      <w:r>
        <w:rPr>
          <w:spacing w:val="-3"/>
        </w:rPr>
        <w:t> </w:t>
      </w:r>
      <w:r>
        <w:rPr/>
        <w:t>данные</w:t>
      </w:r>
      <w:r>
        <w:rPr>
          <w:spacing w:val="-4"/>
        </w:rPr>
        <w:t> </w:t>
      </w:r>
      <w:r>
        <w:rPr/>
        <w:t>по</w:t>
      </w:r>
      <w:r>
        <w:rPr>
          <w:spacing w:val="-3"/>
        </w:rPr>
        <w:t> </w:t>
      </w:r>
      <w:r>
        <w:rPr/>
        <w:t>эффектам</w:t>
      </w:r>
      <w:r>
        <w:rPr>
          <w:spacing w:val="-3"/>
        </w:rPr>
        <w:t> </w:t>
      </w:r>
      <w:r>
        <w:rPr/>
        <w:t>гиполипидемических</w:t>
      </w:r>
      <w:r>
        <w:rPr>
          <w:spacing w:val="-3"/>
        </w:rPr>
        <w:t> </w:t>
      </w:r>
      <w:r>
        <w:rPr/>
        <w:t>препаратов</w:t>
      </w:r>
      <w:r>
        <w:rPr>
          <w:spacing w:val="-2"/>
        </w:rPr>
        <w:t> </w:t>
      </w:r>
      <w:r>
        <w:rPr>
          <w:b w:val="0"/>
          <w:spacing w:val="-2"/>
        </w:rPr>
        <w:t>[</w:t>
      </w:r>
      <w:hyperlink w:history="true" w:anchor="_bookmark194">
        <w:r>
          <w:rPr>
            <w:b w:val="0"/>
            <w:spacing w:val="-2"/>
          </w:rPr>
          <w:t>149</w:t>
        </w:r>
      </w:hyperlink>
      <w:r>
        <w:rPr>
          <w:b w:val="0"/>
          <w:spacing w:val="-2"/>
        </w:rPr>
        <w:t>]</w:t>
      </w:r>
    </w:p>
    <w:p>
      <w:pPr>
        <w:pStyle w:val="BodyText"/>
        <w:spacing w:before="11"/>
        <w:ind w:left="0"/>
        <w:rPr>
          <w:sz w:val="11"/>
        </w:rPr>
      </w:pPr>
    </w:p>
    <w:tbl>
      <w:tblPr>
        <w:tblW w:w="0" w:type="auto"/>
        <w:jc w:val="left"/>
        <w:tblInd w:w="11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62"/>
        <w:gridCol w:w="2366"/>
        <w:gridCol w:w="1843"/>
        <w:gridCol w:w="1843"/>
        <w:gridCol w:w="1807"/>
      </w:tblGrid>
      <w:tr>
        <w:trPr>
          <w:trHeight w:val="762" w:hRule="atLeast"/>
        </w:trPr>
        <w:tc>
          <w:tcPr>
            <w:tcW w:w="1562" w:type="dxa"/>
          </w:tcPr>
          <w:p>
            <w:pPr>
              <w:pStyle w:val="TableParagraph"/>
              <w:spacing w:before="2"/>
              <w:ind w:left="0"/>
              <w:rPr>
                <w:sz w:val="21"/>
              </w:rPr>
            </w:pPr>
          </w:p>
          <w:p>
            <w:pPr>
              <w:pStyle w:val="TableParagraph"/>
              <w:ind w:left="105"/>
              <w:rPr>
                <w:b/>
                <w:sz w:val="24"/>
              </w:rPr>
            </w:pPr>
            <w:r>
              <w:rPr>
                <w:b/>
                <w:sz w:val="24"/>
              </w:rPr>
              <w:t>Код</w:t>
            </w:r>
            <w:r>
              <w:rPr>
                <w:b/>
                <w:spacing w:val="1"/>
                <w:sz w:val="24"/>
              </w:rPr>
              <w:t> </w:t>
            </w:r>
            <w:r>
              <w:rPr>
                <w:b/>
                <w:spacing w:val="-5"/>
                <w:sz w:val="24"/>
              </w:rPr>
              <w:t>АТХ</w:t>
            </w:r>
          </w:p>
        </w:tc>
        <w:tc>
          <w:tcPr>
            <w:tcW w:w="2366" w:type="dxa"/>
          </w:tcPr>
          <w:p>
            <w:pPr>
              <w:pStyle w:val="TableParagraph"/>
              <w:spacing w:before="104"/>
              <w:ind w:left="103" w:right="630"/>
              <w:rPr>
                <w:b/>
                <w:sz w:val="24"/>
              </w:rPr>
            </w:pPr>
            <w:r>
              <w:rPr>
                <w:b/>
                <w:sz w:val="24"/>
              </w:rPr>
              <w:t>Препараты и суточные</w:t>
            </w:r>
            <w:r>
              <w:rPr>
                <w:b/>
                <w:spacing w:val="-15"/>
                <w:sz w:val="24"/>
              </w:rPr>
              <w:t> </w:t>
            </w:r>
            <w:r>
              <w:rPr>
                <w:b/>
                <w:sz w:val="24"/>
              </w:rPr>
              <w:t>дозы</w:t>
            </w:r>
          </w:p>
        </w:tc>
        <w:tc>
          <w:tcPr>
            <w:tcW w:w="1843" w:type="dxa"/>
          </w:tcPr>
          <w:p>
            <w:pPr>
              <w:pStyle w:val="TableParagraph"/>
              <w:spacing w:before="104"/>
              <w:ind w:left="106"/>
              <w:rPr>
                <w:b/>
                <w:sz w:val="24"/>
              </w:rPr>
            </w:pPr>
            <w:r>
              <w:rPr>
                <w:b/>
                <w:spacing w:val="-2"/>
                <w:sz w:val="24"/>
              </w:rPr>
              <w:t>Липидные эффекты</w:t>
            </w:r>
          </w:p>
        </w:tc>
        <w:tc>
          <w:tcPr>
            <w:tcW w:w="1843" w:type="dxa"/>
          </w:tcPr>
          <w:p>
            <w:pPr>
              <w:pStyle w:val="TableParagraph"/>
              <w:spacing w:before="104"/>
              <w:ind w:left="106" w:right="608"/>
              <w:rPr>
                <w:b/>
                <w:sz w:val="24"/>
              </w:rPr>
            </w:pPr>
            <w:r>
              <w:rPr>
                <w:b/>
                <w:spacing w:val="-2"/>
                <w:sz w:val="24"/>
              </w:rPr>
              <w:t>Побочные эффекты</w:t>
            </w:r>
          </w:p>
        </w:tc>
        <w:tc>
          <w:tcPr>
            <w:tcW w:w="1807" w:type="dxa"/>
          </w:tcPr>
          <w:p>
            <w:pPr>
              <w:pStyle w:val="TableParagraph"/>
              <w:spacing w:before="2"/>
              <w:ind w:left="0"/>
              <w:rPr>
                <w:sz w:val="21"/>
              </w:rPr>
            </w:pPr>
          </w:p>
          <w:p>
            <w:pPr>
              <w:pStyle w:val="TableParagraph"/>
              <w:ind w:left="104"/>
              <w:rPr>
                <w:b/>
                <w:sz w:val="24"/>
              </w:rPr>
            </w:pPr>
            <w:r>
              <w:rPr>
                <w:b/>
                <w:spacing w:val="-2"/>
                <w:sz w:val="24"/>
              </w:rPr>
              <w:t>Примечание</w:t>
            </w:r>
          </w:p>
        </w:tc>
      </w:tr>
      <w:tr>
        <w:trPr>
          <w:trHeight w:val="2450" w:hRule="atLeast"/>
        </w:trPr>
        <w:tc>
          <w:tcPr>
            <w:tcW w:w="1562" w:type="dxa"/>
          </w:tcPr>
          <w:p>
            <w:pPr>
              <w:pStyle w:val="TableParagraph"/>
              <w:ind w:left="0"/>
              <w:rPr>
                <w:sz w:val="26"/>
              </w:rPr>
            </w:pPr>
          </w:p>
          <w:p>
            <w:pPr>
              <w:pStyle w:val="TableParagraph"/>
              <w:spacing w:before="5"/>
              <w:ind w:left="0"/>
              <w:rPr>
                <w:sz w:val="20"/>
              </w:rPr>
            </w:pPr>
          </w:p>
          <w:p>
            <w:pPr>
              <w:pStyle w:val="TableParagraph"/>
              <w:ind w:left="105"/>
              <w:rPr>
                <w:sz w:val="24"/>
              </w:rPr>
            </w:pPr>
            <w:r>
              <w:rPr>
                <w:spacing w:val="-2"/>
                <w:sz w:val="24"/>
              </w:rPr>
              <w:t>C10AA</w:t>
            </w:r>
          </w:p>
          <w:p>
            <w:pPr>
              <w:pStyle w:val="TableParagraph"/>
              <w:ind w:left="105" w:right="157"/>
              <w:rPr>
                <w:sz w:val="24"/>
              </w:rPr>
            </w:pPr>
            <w:r>
              <w:rPr>
                <w:spacing w:val="-2"/>
                <w:sz w:val="24"/>
              </w:rPr>
              <w:t>Ингибиторы ГМГ-КоА-</w:t>
            </w:r>
          </w:p>
          <w:p>
            <w:pPr>
              <w:pStyle w:val="TableParagraph"/>
              <w:ind w:left="105"/>
              <w:rPr>
                <w:sz w:val="24"/>
              </w:rPr>
            </w:pPr>
            <w:r>
              <w:rPr>
                <w:spacing w:val="-2"/>
                <w:sz w:val="24"/>
              </w:rPr>
              <w:t>редуктазы (статины)</w:t>
            </w:r>
          </w:p>
        </w:tc>
        <w:tc>
          <w:tcPr>
            <w:tcW w:w="2366" w:type="dxa"/>
          </w:tcPr>
          <w:p>
            <w:pPr>
              <w:pStyle w:val="TableParagraph"/>
              <w:spacing w:before="5"/>
              <w:ind w:left="0"/>
              <w:rPr>
                <w:sz w:val="22"/>
              </w:rPr>
            </w:pPr>
          </w:p>
          <w:p>
            <w:pPr>
              <w:pStyle w:val="TableParagraph"/>
              <w:ind w:left="103"/>
              <w:rPr>
                <w:sz w:val="24"/>
              </w:rPr>
            </w:pPr>
            <w:r>
              <w:rPr>
                <w:sz w:val="24"/>
              </w:rPr>
              <w:t>Симвастатин**</w:t>
            </w:r>
            <w:r>
              <w:rPr>
                <w:spacing w:val="-4"/>
                <w:sz w:val="24"/>
              </w:rPr>
              <w:t> (20–</w:t>
            </w:r>
          </w:p>
          <w:p>
            <w:pPr>
              <w:pStyle w:val="TableParagraph"/>
              <w:ind w:left="103"/>
              <w:rPr>
                <w:sz w:val="24"/>
              </w:rPr>
            </w:pPr>
            <w:r>
              <w:rPr>
                <w:sz w:val="24"/>
              </w:rPr>
              <w:t>40 </w:t>
            </w:r>
            <w:r>
              <w:rPr>
                <w:spacing w:val="-5"/>
                <w:sz w:val="24"/>
              </w:rPr>
              <w:t>мг)</w:t>
            </w:r>
          </w:p>
          <w:p>
            <w:pPr>
              <w:pStyle w:val="TableParagraph"/>
              <w:ind w:left="103"/>
              <w:rPr>
                <w:sz w:val="24"/>
              </w:rPr>
            </w:pPr>
            <w:r>
              <w:rPr>
                <w:sz w:val="24"/>
              </w:rPr>
              <w:t>Аторвастатин**</w:t>
            </w:r>
            <w:r>
              <w:rPr>
                <w:spacing w:val="-5"/>
                <w:sz w:val="24"/>
              </w:rPr>
              <w:t> </w:t>
            </w:r>
            <w:r>
              <w:rPr>
                <w:spacing w:val="-4"/>
                <w:sz w:val="24"/>
              </w:rPr>
              <w:t>(10–</w:t>
            </w:r>
          </w:p>
          <w:p>
            <w:pPr>
              <w:pStyle w:val="TableParagraph"/>
              <w:ind w:left="103"/>
              <w:rPr>
                <w:sz w:val="24"/>
              </w:rPr>
            </w:pPr>
            <w:r>
              <w:rPr>
                <w:sz w:val="24"/>
              </w:rPr>
              <w:t>80 </w:t>
            </w:r>
            <w:r>
              <w:rPr>
                <w:spacing w:val="-5"/>
                <w:sz w:val="24"/>
              </w:rPr>
              <w:t>мг)</w:t>
            </w:r>
          </w:p>
          <w:p>
            <w:pPr>
              <w:pStyle w:val="TableParagraph"/>
              <w:ind w:left="103" w:right="245"/>
              <w:rPr>
                <w:sz w:val="24"/>
              </w:rPr>
            </w:pPr>
            <w:r>
              <w:rPr>
                <w:sz w:val="24"/>
              </w:rPr>
              <w:t>Розувастатин</w:t>
            </w:r>
            <w:r>
              <w:rPr>
                <w:spacing w:val="-15"/>
                <w:sz w:val="24"/>
              </w:rPr>
              <w:t> </w:t>
            </w:r>
            <w:r>
              <w:rPr>
                <w:sz w:val="24"/>
              </w:rPr>
              <w:t>5–40 </w:t>
            </w:r>
            <w:r>
              <w:rPr>
                <w:spacing w:val="-6"/>
                <w:sz w:val="24"/>
              </w:rPr>
              <w:t>мг</w:t>
            </w:r>
          </w:p>
          <w:p>
            <w:pPr>
              <w:pStyle w:val="TableParagraph"/>
              <w:ind w:left="103"/>
              <w:rPr>
                <w:sz w:val="24"/>
              </w:rPr>
            </w:pPr>
            <w:r>
              <w:rPr>
                <w:sz w:val="24"/>
              </w:rPr>
              <w:t>Питавастатин</w:t>
            </w:r>
            <w:r>
              <w:rPr>
                <w:spacing w:val="-4"/>
                <w:sz w:val="24"/>
              </w:rPr>
              <w:t> </w:t>
            </w:r>
            <w:r>
              <w:rPr>
                <w:sz w:val="24"/>
              </w:rPr>
              <w:t>1–4</w:t>
            </w:r>
            <w:r>
              <w:rPr>
                <w:spacing w:val="-2"/>
                <w:sz w:val="24"/>
              </w:rPr>
              <w:t> </w:t>
            </w:r>
            <w:r>
              <w:rPr>
                <w:spacing w:val="-5"/>
                <w:sz w:val="24"/>
              </w:rPr>
              <w:t>мг</w:t>
            </w:r>
          </w:p>
        </w:tc>
        <w:tc>
          <w:tcPr>
            <w:tcW w:w="1843" w:type="dxa"/>
          </w:tcPr>
          <w:p>
            <w:pPr>
              <w:pStyle w:val="TableParagraph"/>
              <w:spacing w:before="5"/>
              <w:ind w:left="0"/>
              <w:rPr>
                <w:sz w:val="22"/>
              </w:rPr>
            </w:pPr>
          </w:p>
          <w:p>
            <w:pPr>
              <w:pStyle w:val="TableParagraph"/>
              <w:ind w:left="106"/>
              <w:rPr>
                <w:sz w:val="24"/>
              </w:rPr>
            </w:pPr>
            <w:r>
              <w:rPr>
                <w:sz w:val="24"/>
              </w:rPr>
              <w:t>ХС</w:t>
            </w:r>
            <w:r>
              <w:rPr>
                <w:spacing w:val="-13"/>
                <w:sz w:val="24"/>
              </w:rPr>
              <w:t> </w:t>
            </w:r>
            <w:r>
              <w:rPr>
                <w:sz w:val="24"/>
              </w:rPr>
              <w:t>ЛНП</w:t>
            </w:r>
            <w:r>
              <w:rPr>
                <w:spacing w:val="-14"/>
                <w:sz w:val="24"/>
              </w:rPr>
              <w:t> </w:t>
            </w:r>
            <w:r>
              <w:rPr>
                <w:sz w:val="24"/>
              </w:rPr>
              <w:t>↓</w:t>
            </w:r>
            <w:r>
              <w:rPr>
                <w:spacing w:val="-13"/>
                <w:sz w:val="24"/>
              </w:rPr>
              <w:t> </w:t>
            </w:r>
            <w:r>
              <w:rPr>
                <w:sz w:val="24"/>
              </w:rPr>
              <w:t>20– </w:t>
            </w:r>
            <w:r>
              <w:rPr>
                <w:spacing w:val="-4"/>
                <w:sz w:val="24"/>
              </w:rPr>
              <w:t>60%</w:t>
            </w:r>
          </w:p>
          <w:p>
            <w:pPr>
              <w:pStyle w:val="TableParagraph"/>
              <w:ind w:left="106"/>
              <w:rPr>
                <w:sz w:val="24"/>
              </w:rPr>
            </w:pPr>
            <w:r>
              <w:rPr>
                <w:sz w:val="24"/>
              </w:rPr>
              <w:t>ХС</w:t>
            </w:r>
            <w:r>
              <w:rPr>
                <w:spacing w:val="-12"/>
                <w:sz w:val="24"/>
              </w:rPr>
              <w:t> </w:t>
            </w:r>
            <w:r>
              <w:rPr>
                <w:sz w:val="24"/>
              </w:rPr>
              <w:t>ЛВП</w:t>
            </w:r>
            <w:r>
              <w:rPr>
                <w:spacing w:val="-13"/>
                <w:sz w:val="24"/>
              </w:rPr>
              <w:t> </w:t>
            </w:r>
            <w:r>
              <w:rPr>
                <w:sz w:val="24"/>
              </w:rPr>
              <w:t>↑</w:t>
            </w:r>
            <w:r>
              <w:rPr>
                <w:spacing w:val="-12"/>
                <w:sz w:val="24"/>
              </w:rPr>
              <w:t> </w:t>
            </w:r>
            <w:r>
              <w:rPr>
                <w:sz w:val="24"/>
              </w:rPr>
              <w:t>5– </w:t>
            </w:r>
            <w:r>
              <w:rPr>
                <w:spacing w:val="-4"/>
                <w:sz w:val="24"/>
              </w:rPr>
              <w:t>15%</w:t>
            </w:r>
          </w:p>
          <w:p>
            <w:pPr>
              <w:pStyle w:val="TableParagraph"/>
              <w:ind w:left="106"/>
              <w:rPr>
                <w:sz w:val="24"/>
              </w:rPr>
            </w:pPr>
            <w:r>
              <w:rPr>
                <w:sz w:val="24"/>
              </w:rPr>
              <w:t>ТГ</w:t>
            </w:r>
            <w:r>
              <w:rPr>
                <w:spacing w:val="-1"/>
                <w:sz w:val="24"/>
              </w:rPr>
              <w:t> </w:t>
            </w:r>
            <w:r>
              <w:rPr>
                <w:sz w:val="24"/>
              </w:rPr>
              <w:t>↓ </w:t>
            </w:r>
            <w:r>
              <w:rPr>
                <w:spacing w:val="-2"/>
                <w:sz w:val="24"/>
              </w:rPr>
              <w:t>7–30%</w:t>
            </w:r>
          </w:p>
          <w:p>
            <w:pPr>
              <w:pStyle w:val="TableParagraph"/>
              <w:ind w:left="106"/>
              <w:rPr>
                <w:sz w:val="24"/>
              </w:rPr>
            </w:pPr>
            <w:r>
              <w:rPr>
                <w:sz w:val="24"/>
              </w:rPr>
              <w:t>ХС</w:t>
            </w:r>
            <w:r>
              <w:rPr>
                <w:spacing w:val="-1"/>
                <w:sz w:val="24"/>
              </w:rPr>
              <w:t> </w:t>
            </w:r>
            <w:r>
              <w:rPr>
                <w:sz w:val="24"/>
              </w:rPr>
              <w:t>не-ЛВП</w:t>
            </w:r>
            <w:r>
              <w:rPr>
                <w:spacing w:val="-2"/>
                <w:sz w:val="24"/>
              </w:rPr>
              <w:t> </w:t>
            </w:r>
            <w:r>
              <w:rPr>
                <w:spacing w:val="-10"/>
                <w:sz w:val="24"/>
              </w:rPr>
              <w:t>↓</w:t>
            </w:r>
          </w:p>
          <w:p>
            <w:pPr>
              <w:pStyle w:val="TableParagraph"/>
              <w:ind w:left="106"/>
              <w:rPr>
                <w:sz w:val="24"/>
              </w:rPr>
            </w:pPr>
            <w:r>
              <w:rPr>
                <w:spacing w:val="-2"/>
                <w:sz w:val="24"/>
              </w:rPr>
              <w:t>15–50%</w:t>
            </w:r>
          </w:p>
        </w:tc>
        <w:tc>
          <w:tcPr>
            <w:tcW w:w="1843" w:type="dxa"/>
          </w:tcPr>
          <w:p>
            <w:pPr>
              <w:pStyle w:val="TableParagraph"/>
              <w:ind w:left="0"/>
              <w:rPr>
                <w:sz w:val="26"/>
              </w:rPr>
            </w:pPr>
          </w:p>
          <w:p>
            <w:pPr>
              <w:pStyle w:val="TableParagraph"/>
              <w:spacing w:before="5"/>
              <w:ind w:left="0"/>
              <w:rPr>
                <w:sz w:val="20"/>
              </w:rPr>
            </w:pPr>
          </w:p>
          <w:p>
            <w:pPr>
              <w:pStyle w:val="TableParagraph"/>
              <w:ind w:left="106" w:right="106"/>
              <w:rPr>
                <w:sz w:val="24"/>
              </w:rPr>
            </w:pPr>
            <w:r>
              <w:rPr>
                <w:spacing w:val="-2"/>
                <w:sz w:val="24"/>
              </w:rPr>
              <w:t>Миалгия Миозит Увеличение сывороточных трансаминаз</w:t>
            </w:r>
          </w:p>
        </w:tc>
        <w:tc>
          <w:tcPr>
            <w:tcW w:w="1807" w:type="dxa"/>
          </w:tcPr>
          <w:p>
            <w:pPr>
              <w:pStyle w:val="TableParagraph"/>
              <w:spacing w:before="5"/>
              <w:ind w:left="0"/>
              <w:rPr>
                <w:sz w:val="22"/>
              </w:rPr>
            </w:pPr>
          </w:p>
          <w:p>
            <w:pPr>
              <w:pStyle w:val="TableParagraph"/>
              <w:ind w:left="104"/>
              <w:rPr>
                <w:sz w:val="24"/>
              </w:rPr>
            </w:pPr>
            <w:r>
              <w:rPr>
                <w:spacing w:val="-2"/>
                <w:sz w:val="24"/>
              </w:rPr>
              <w:t>Редкие осложнения: рабдомиолиз, снижение когнитивных способностей, </w:t>
            </w:r>
            <w:r>
              <w:rPr>
                <w:sz w:val="24"/>
              </w:rPr>
              <w:t>развитие СД</w:t>
            </w:r>
          </w:p>
        </w:tc>
      </w:tr>
      <w:tr>
        <w:trPr>
          <w:trHeight w:val="1866" w:hRule="atLeast"/>
        </w:trPr>
        <w:tc>
          <w:tcPr>
            <w:tcW w:w="1562" w:type="dxa"/>
          </w:tcPr>
          <w:p>
            <w:pPr>
              <w:pStyle w:val="TableParagraph"/>
              <w:spacing w:before="2"/>
              <w:ind w:left="0"/>
              <w:rPr>
                <w:sz w:val="21"/>
              </w:rPr>
            </w:pPr>
          </w:p>
          <w:p>
            <w:pPr>
              <w:pStyle w:val="TableParagraph"/>
              <w:ind w:left="105"/>
              <w:rPr>
                <w:sz w:val="24"/>
              </w:rPr>
            </w:pPr>
            <w:r>
              <w:rPr>
                <w:spacing w:val="-2"/>
                <w:sz w:val="24"/>
              </w:rPr>
              <w:t>C10AX</w:t>
            </w:r>
          </w:p>
          <w:p>
            <w:pPr>
              <w:pStyle w:val="TableParagraph"/>
              <w:ind w:left="105"/>
              <w:rPr>
                <w:sz w:val="24"/>
              </w:rPr>
            </w:pPr>
            <w:r>
              <w:rPr>
                <w:spacing w:val="-2"/>
                <w:sz w:val="24"/>
              </w:rPr>
              <w:t>Другие гиполипиде мические средства</w:t>
            </w:r>
          </w:p>
        </w:tc>
        <w:tc>
          <w:tcPr>
            <w:tcW w:w="2366" w:type="dxa"/>
          </w:tcPr>
          <w:p>
            <w:pPr>
              <w:pStyle w:val="TableParagraph"/>
              <w:ind w:left="0"/>
              <w:rPr>
                <w:sz w:val="26"/>
              </w:rPr>
            </w:pPr>
          </w:p>
          <w:p>
            <w:pPr>
              <w:pStyle w:val="TableParagraph"/>
              <w:ind w:left="0"/>
              <w:rPr>
                <w:sz w:val="26"/>
              </w:rPr>
            </w:pPr>
          </w:p>
          <w:p>
            <w:pPr>
              <w:pStyle w:val="TableParagraph"/>
              <w:spacing w:before="197"/>
              <w:ind w:left="103"/>
              <w:rPr>
                <w:sz w:val="24"/>
              </w:rPr>
            </w:pPr>
            <w:r>
              <w:rPr>
                <w:sz w:val="24"/>
              </w:rPr>
              <w:t>Эзетимиб 10 </w:t>
            </w:r>
            <w:r>
              <w:rPr>
                <w:spacing w:val="-5"/>
                <w:sz w:val="24"/>
              </w:rPr>
              <w:t>мг</w:t>
            </w:r>
          </w:p>
        </w:tc>
        <w:tc>
          <w:tcPr>
            <w:tcW w:w="1843" w:type="dxa"/>
          </w:tcPr>
          <w:p>
            <w:pPr>
              <w:pStyle w:val="TableParagraph"/>
              <w:spacing w:before="104"/>
              <w:ind w:left="106"/>
              <w:rPr>
                <w:sz w:val="24"/>
              </w:rPr>
            </w:pPr>
            <w:r>
              <w:rPr>
                <w:sz w:val="24"/>
              </w:rPr>
              <w:t>ХС</w:t>
            </w:r>
            <w:r>
              <w:rPr>
                <w:spacing w:val="-13"/>
                <w:sz w:val="24"/>
              </w:rPr>
              <w:t> </w:t>
            </w:r>
            <w:r>
              <w:rPr>
                <w:sz w:val="24"/>
              </w:rPr>
              <w:t>ЛНП</w:t>
            </w:r>
            <w:r>
              <w:rPr>
                <w:spacing w:val="-14"/>
                <w:sz w:val="24"/>
              </w:rPr>
              <w:t> </w:t>
            </w:r>
            <w:r>
              <w:rPr>
                <w:sz w:val="24"/>
              </w:rPr>
              <w:t>↓</w:t>
            </w:r>
            <w:r>
              <w:rPr>
                <w:spacing w:val="-13"/>
                <w:sz w:val="24"/>
              </w:rPr>
              <w:t> </w:t>
            </w:r>
            <w:r>
              <w:rPr>
                <w:sz w:val="24"/>
              </w:rPr>
              <w:t>15– </w:t>
            </w:r>
            <w:r>
              <w:rPr>
                <w:spacing w:val="-4"/>
                <w:sz w:val="24"/>
              </w:rPr>
              <w:t>22%</w:t>
            </w:r>
          </w:p>
          <w:p>
            <w:pPr>
              <w:pStyle w:val="TableParagraph"/>
              <w:ind w:left="106" w:right="106"/>
              <w:rPr>
                <w:sz w:val="24"/>
              </w:rPr>
            </w:pPr>
            <w:r>
              <w:rPr>
                <w:sz w:val="24"/>
              </w:rPr>
              <w:t>ХС</w:t>
            </w:r>
            <w:r>
              <w:rPr>
                <w:spacing w:val="-12"/>
                <w:sz w:val="24"/>
              </w:rPr>
              <w:t> </w:t>
            </w:r>
            <w:r>
              <w:rPr>
                <w:sz w:val="24"/>
              </w:rPr>
              <w:t>ЛВП</w:t>
            </w:r>
            <w:r>
              <w:rPr>
                <w:spacing w:val="-13"/>
                <w:sz w:val="24"/>
              </w:rPr>
              <w:t> </w:t>
            </w:r>
            <w:r>
              <w:rPr>
                <w:sz w:val="24"/>
              </w:rPr>
              <w:t>↑</w:t>
            </w:r>
            <w:r>
              <w:rPr>
                <w:spacing w:val="-12"/>
                <w:sz w:val="24"/>
              </w:rPr>
              <w:t> </w:t>
            </w:r>
            <w:r>
              <w:rPr>
                <w:sz w:val="24"/>
              </w:rPr>
              <w:t>1– </w:t>
            </w:r>
            <w:r>
              <w:rPr>
                <w:spacing w:val="-6"/>
                <w:sz w:val="24"/>
              </w:rPr>
              <w:t>2%</w:t>
            </w:r>
          </w:p>
          <w:p>
            <w:pPr>
              <w:pStyle w:val="TableParagraph"/>
              <w:ind w:left="106"/>
              <w:rPr>
                <w:sz w:val="24"/>
              </w:rPr>
            </w:pPr>
            <w:r>
              <w:rPr>
                <w:sz w:val="24"/>
              </w:rPr>
              <w:t>TГ</w:t>
            </w:r>
            <w:r>
              <w:rPr>
                <w:spacing w:val="-1"/>
                <w:sz w:val="24"/>
              </w:rPr>
              <w:t> </w:t>
            </w:r>
            <w:r>
              <w:rPr>
                <w:sz w:val="24"/>
              </w:rPr>
              <w:t>↓ </w:t>
            </w:r>
            <w:r>
              <w:rPr>
                <w:spacing w:val="-2"/>
                <w:sz w:val="24"/>
              </w:rPr>
              <w:t>5–10%</w:t>
            </w:r>
          </w:p>
          <w:p>
            <w:pPr>
              <w:pStyle w:val="TableParagraph"/>
              <w:ind w:left="106"/>
              <w:rPr>
                <w:sz w:val="24"/>
              </w:rPr>
            </w:pPr>
            <w:r>
              <w:rPr>
                <w:sz w:val="24"/>
              </w:rPr>
              <w:t>ХС</w:t>
            </w:r>
            <w:r>
              <w:rPr>
                <w:spacing w:val="-1"/>
                <w:sz w:val="24"/>
              </w:rPr>
              <w:t> </w:t>
            </w:r>
            <w:r>
              <w:rPr>
                <w:sz w:val="24"/>
              </w:rPr>
              <w:t>не-ЛВП</w:t>
            </w:r>
            <w:r>
              <w:rPr>
                <w:spacing w:val="-2"/>
                <w:sz w:val="24"/>
              </w:rPr>
              <w:t> </w:t>
            </w:r>
            <w:r>
              <w:rPr>
                <w:spacing w:val="-10"/>
                <w:sz w:val="24"/>
              </w:rPr>
              <w:t>↓</w:t>
            </w:r>
          </w:p>
        </w:tc>
        <w:tc>
          <w:tcPr>
            <w:tcW w:w="1843" w:type="dxa"/>
          </w:tcPr>
          <w:p>
            <w:pPr>
              <w:pStyle w:val="TableParagraph"/>
              <w:ind w:left="0"/>
              <w:rPr>
                <w:sz w:val="26"/>
              </w:rPr>
            </w:pPr>
          </w:p>
          <w:p>
            <w:pPr>
              <w:pStyle w:val="TableParagraph"/>
              <w:spacing w:before="1"/>
              <w:ind w:left="0"/>
              <w:rPr>
                <w:sz w:val="31"/>
              </w:rPr>
            </w:pPr>
          </w:p>
          <w:p>
            <w:pPr>
              <w:pStyle w:val="TableParagraph"/>
              <w:ind w:left="106"/>
              <w:rPr>
                <w:sz w:val="24"/>
              </w:rPr>
            </w:pPr>
            <w:r>
              <w:rPr>
                <w:sz w:val="24"/>
              </w:rPr>
              <w:t>Головная боль Боль</w:t>
            </w:r>
            <w:r>
              <w:rPr>
                <w:spacing w:val="-15"/>
                <w:sz w:val="24"/>
              </w:rPr>
              <w:t> </w:t>
            </w:r>
            <w:r>
              <w:rPr>
                <w:sz w:val="24"/>
              </w:rPr>
              <w:t>в</w:t>
            </w:r>
            <w:r>
              <w:rPr>
                <w:spacing w:val="-15"/>
                <w:sz w:val="24"/>
              </w:rPr>
              <w:t> </w:t>
            </w:r>
            <w:r>
              <w:rPr>
                <w:sz w:val="24"/>
              </w:rPr>
              <w:t>мышцах</w:t>
            </w:r>
          </w:p>
        </w:tc>
        <w:tc>
          <w:tcPr>
            <w:tcW w:w="1807" w:type="dxa"/>
          </w:tcPr>
          <w:p>
            <w:pPr>
              <w:pStyle w:val="TableParagraph"/>
              <w:ind w:left="0"/>
              <w:rPr>
                <w:sz w:val="26"/>
              </w:rPr>
            </w:pPr>
          </w:p>
          <w:p>
            <w:pPr>
              <w:pStyle w:val="TableParagraph"/>
              <w:spacing w:before="220"/>
              <w:ind w:left="104"/>
              <w:rPr>
                <w:sz w:val="24"/>
              </w:rPr>
            </w:pPr>
            <w:r>
              <w:rPr>
                <w:sz w:val="24"/>
              </w:rPr>
              <w:t>Эффективен</w:t>
            </w:r>
            <w:r>
              <w:rPr>
                <w:spacing w:val="-15"/>
                <w:sz w:val="24"/>
              </w:rPr>
              <w:t> </w:t>
            </w:r>
            <w:r>
              <w:rPr>
                <w:sz w:val="24"/>
              </w:rPr>
              <w:t>в сочетании со </w:t>
            </w:r>
            <w:r>
              <w:rPr>
                <w:spacing w:val="-2"/>
                <w:sz w:val="24"/>
              </w:rPr>
              <w:t>статинами</w:t>
            </w:r>
          </w:p>
        </w:tc>
      </w:tr>
    </w:tbl>
    <w:p>
      <w:pPr>
        <w:spacing w:after="0"/>
        <w:rPr>
          <w:sz w:val="24"/>
        </w:rPr>
        <w:sectPr>
          <w:type w:val="continuous"/>
          <w:pgSz w:w="11910" w:h="16840"/>
          <w:pgMar w:header="0" w:footer="710" w:top="1100" w:bottom="1160" w:left="440" w:right="280"/>
        </w:sectPr>
      </w:pPr>
    </w:p>
    <w:tbl>
      <w:tblPr>
        <w:tblW w:w="0" w:type="auto"/>
        <w:jc w:val="left"/>
        <w:tblInd w:w="11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62"/>
        <w:gridCol w:w="2366"/>
        <w:gridCol w:w="1843"/>
        <w:gridCol w:w="1843"/>
        <w:gridCol w:w="1807"/>
      </w:tblGrid>
      <w:tr>
        <w:trPr>
          <w:trHeight w:val="486" w:hRule="atLeast"/>
        </w:trPr>
        <w:tc>
          <w:tcPr>
            <w:tcW w:w="1562" w:type="dxa"/>
          </w:tcPr>
          <w:p>
            <w:pPr>
              <w:pStyle w:val="TableParagraph"/>
              <w:ind w:left="0"/>
              <w:rPr>
                <w:sz w:val="22"/>
              </w:rPr>
            </w:pPr>
          </w:p>
        </w:tc>
        <w:tc>
          <w:tcPr>
            <w:tcW w:w="2366" w:type="dxa"/>
          </w:tcPr>
          <w:p>
            <w:pPr>
              <w:pStyle w:val="TableParagraph"/>
              <w:ind w:left="0"/>
              <w:rPr>
                <w:sz w:val="22"/>
              </w:rPr>
            </w:pPr>
          </w:p>
        </w:tc>
        <w:tc>
          <w:tcPr>
            <w:tcW w:w="1843" w:type="dxa"/>
          </w:tcPr>
          <w:p>
            <w:pPr>
              <w:pStyle w:val="TableParagraph"/>
              <w:spacing w:before="104"/>
              <w:ind w:left="106"/>
              <w:rPr>
                <w:sz w:val="24"/>
              </w:rPr>
            </w:pPr>
            <w:r>
              <w:rPr>
                <w:spacing w:val="-2"/>
                <w:sz w:val="24"/>
              </w:rPr>
              <w:t>14–19%</w:t>
            </w:r>
          </w:p>
        </w:tc>
        <w:tc>
          <w:tcPr>
            <w:tcW w:w="1843" w:type="dxa"/>
          </w:tcPr>
          <w:p>
            <w:pPr>
              <w:pStyle w:val="TableParagraph"/>
              <w:ind w:left="0"/>
              <w:rPr>
                <w:sz w:val="22"/>
              </w:rPr>
            </w:pPr>
          </w:p>
        </w:tc>
        <w:tc>
          <w:tcPr>
            <w:tcW w:w="1807" w:type="dxa"/>
          </w:tcPr>
          <w:p>
            <w:pPr>
              <w:pStyle w:val="TableParagraph"/>
              <w:ind w:left="0"/>
              <w:rPr>
                <w:sz w:val="22"/>
              </w:rPr>
            </w:pPr>
          </w:p>
        </w:tc>
      </w:tr>
      <w:tr>
        <w:trPr>
          <w:trHeight w:val="4902" w:hRule="atLeast"/>
        </w:trPr>
        <w:tc>
          <w:tcPr>
            <w:tcW w:w="1562" w:type="dxa"/>
          </w:tcPr>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spacing w:before="1"/>
              <w:ind w:left="0"/>
              <w:rPr>
                <w:sz w:val="23"/>
              </w:rPr>
            </w:pPr>
          </w:p>
          <w:p>
            <w:pPr>
              <w:pStyle w:val="TableParagraph"/>
              <w:ind w:left="105"/>
              <w:rPr>
                <w:sz w:val="24"/>
              </w:rPr>
            </w:pPr>
            <w:r>
              <w:rPr>
                <w:spacing w:val="-2"/>
                <w:sz w:val="24"/>
              </w:rPr>
              <w:t>C10AX</w:t>
            </w:r>
          </w:p>
          <w:p>
            <w:pPr>
              <w:pStyle w:val="TableParagraph"/>
              <w:ind w:left="105"/>
              <w:rPr>
                <w:sz w:val="24"/>
              </w:rPr>
            </w:pPr>
            <w:r>
              <w:rPr>
                <w:spacing w:val="-2"/>
                <w:sz w:val="24"/>
              </w:rPr>
              <w:t>Другие гиполипиде мические средства</w:t>
            </w:r>
          </w:p>
        </w:tc>
        <w:tc>
          <w:tcPr>
            <w:tcW w:w="2366" w:type="dxa"/>
          </w:tcPr>
          <w:p>
            <w:pPr>
              <w:pStyle w:val="TableParagraph"/>
              <w:spacing w:before="104"/>
              <w:ind w:left="103" w:right="124"/>
              <w:rPr>
                <w:sz w:val="24"/>
              </w:rPr>
            </w:pPr>
            <w:r>
              <w:rPr>
                <w:sz w:val="24"/>
              </w:rPr>
              <w:t>Эволокумаб (**) (140 мг (1 мл), подкожно, раз в 2 нед./420</w:t>
            </w:r>
            <w:r>
              <w:rPr>
                <w:spacing w:val="-13"/>
                <w:sz w:val="24"/>
              </w:rPr>
              <w:t> </w:t>
            </w:r>
            <w:r>
              <w:rPr>
                <w:sz w:val="24"/>
              </w:rPr>
              <w:t>мг</w:t>
            </w:r>
            <w:r>
              <w:rPr>
                <w:spacing w:val="-14"/>
                <w:sz w:val="24"/>
              </w:rPr>
              <w:t> </w:t>
            </w:r>
            <w:r>
              <w:rPr>
                <w:sz w:val="24"/>
              </w:rPr>
              <w:t>(3х1</w:t>
            </w:r>
            <w:r>
              <w:rPr>
                <w:spacing w:val="-13"/>
                <w:sz w:val="24"/>
              </w:rPr>
              <w:t> </w:t>
            </w:r>
            <w:r>
              <w:rPr>
                <w:sz w:val="24"/>
              </w:rPr>
              <w:t>мл), подкожно, раз в </w:t>
            </w:r>
            <w:r>
              <w:rPr>
                <w:spacing w:val="-2"/>
                <w:sz w:val="24"/>
              </w:rPr>
              <w:t>месяц)</w:t>
            </w:r>
          </w:p>
          <w:p>
            <w:pPr>
              <w:pStyle w:val="TableParagraph"/>
              <w:ind w:left="103" w:right="133"/>
              <w:rPr>
                <w:sz w:val="24"/>
              </w:rPr>
            </w:pPr>
            <w:r>
              <w:rPr>
                <w:sz w:val="24"/>
              </w:rPr>
              <w:t>Алирокумаб</w:t>
            </w:r>
            <w:r>
              <w:rPr>
                <w:spacing w:val="-15"/>
                <w:sz w:val="24"/>
              </w:rPr>
              <w:t> </w:t>
            </w:r>
            <w:r>
              <w:rPr>
                <w:sz w:val="24"/>
              </w:rPr>
              <w:t>(**)</w:t>
            </w:r>
            <w:r>
              <w:rPr>
                <w:spacing w:val="-15"/>
                <w:sz w:val="24"/>
              </w:rPr>
              <w:t> </w:t>
            </w:r>
            <w:r>
              <w:rPr>
                <w:sz w:val="24"/>
              </w:rPr>
              <w:t>(75 мг, подкожно, раз в 2</w:t>
            </w:r>
            <w:r>
              <w:rPr>
                <w:spacing w:val="-1"/>
                <w:sz w:val="24"/>
              </w:rPr>
              <w:t> </w:t>
            </w:r>
            <w:r>
              <w:rPr>
                <w:sz w:val="24"/>
              </w:rPr>
              <w:t>нед);</w:t>
            </w:r>
            <w:r>
              <w:rPr>
                <w:spacing w:val="-1"/>
                <w:sz w:val="24"/>
              </w:rPr>
              <w:t> </w:t>
            </w:r>
            <w:r>
              <w:rPr>
                <w:sz w:val="24"/>
              </w:rPr>
              <w:t>150</w:t>
            </w:r>
            <w:r>
              <w:rPr>
                <w:spacing w:val="-1"/>
                <w:sz w:val="24"/>
              </w:rPr>
              <w:t> </w:t>
            </w:r>
            <w:r>
              <w:rPr>
                <w:sz w:val="24"/>
              </w:rPr>
              <w:t>мг</w:t>
            </w:r>
            <w:r>
              <w:rPr>
                <w:spacing w:val="-2"/>
                <w:sz w:val="24"/>
              </w:rPr>
              <w:t> </w:t>
            </w:r>
            <w:r>
              <w:rPr>
                <w:sz w:val="24"/>
              </w:rPr>
              <w:t>(1</w:t>
            </w:r>
            <w:r>
              <w:rPr>
                <w:spacing w:val="-1"/>
                <w:sz w:val="24"/>
              </w:rPr>
              <w:t> </w:t>
            </w:r>
            <w:r>
              <w:rPr>
                <w:sz w:val="24"/>
              </w:rPr>
              <w:t>мл) раз в 2 нед./300мг (2х1 мл или 2 мл) раз в месяц Инклисиран** (284 мг, подкожно, 1-й год — 3 инъекции, далее 2 инъекции в </w:t>
            </w:r>
            <w:r>
              <w:rPr>
                <w:spacing w:val="-4"/>
                <w:sz w:val="24"/>
              </w:rPr>
              <w:t>год</w:t>
            </w:r>
          </w:p>
        </w:tc>
        <w:tc>
          <w:tcPr>
            <w:tcW w:w="1843" w:type="dxa"/>
          </w:tcPr>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spacing w:before="1"/>
              <w:ind w:left="0"/>
              <w:rPr>
                <w:sz w:val="25"/>
              </w:rPr>
            </w:pPr>
          </w:p>
          <w:p>
            <w:pPr>
              <w:pStyle w:val="TableParagraph"/>
              <w:ind w:left="106"/>
              <w:rPr>
                <w:sz w:val="24"/>
              </w:rPr>
            </w:pPr>
            <w:r>
              <w:rPr>
                <w:sz w:val="24"/>
              </w:rPr>
              <w:t>ХС</w:t>
            </w:r>
            <w:r>
              <w:rPr>
                <w:spacing w:val="-13"/>
                <w:sz w:val="24"/>
              </w:rPr>
              <w:t> </w:t>
            </w:r>
            <w:r>
              <w:rPr>
                <w:sz w:val="24"/>
              </w:rPr>
              <w:t>ЛНП</w:t>
            </w:r>
            <w:r>
              <w:rPr>
                <w:spacing w:val="-14"/>
                <w:sz w:val="24"/>
              </w:rPr>
              <w:t> </w:t>
            </w:r>
            <w:r>
              <w:rPr>
                <w:sz w:val="24"/>
              </w:rPr>
              <w:t>↓</w:t>
            </w:r>
            <w:r>
              <w:rPr>
                <w:spacing w:val="-13"/>
                <w:sz w:val="24"/>
              </w:rPr>
              <w:t> </w:t>
            </w:r>
            <w:r>
              <w:rPr>
                <w:sz w:val="24"/>
              </w:rPr>
              <w:t>50– </w:t>
            </w:r>
            <w:r>
              <w:rPr>
                <w:spacing w:val="-4"/>
                <w:sz w:val="24"/>
              </w:rPr>
              <w:t>70%</w:t>
            </w:r>
          </w:p>
          <w:p>
            <w:pPr>
              <w:pStyle w:val="TableParagraph"/>
              <w:ind w:left="106" w:right="106"/>
              <w:rPr>
                <w:sz w:val="24"/>
              </w:rPr>
            </w:pPr>
            <w:r>
              <w:rPr>
                <w:sz w:val="24"/>
              </w:rPr>
              <w:t>ХС</w:t>
            </w:r>
            <w:r>
              <w:rPr>
                <w:spacing w:val="-12"/>
                <w:sz w:val="24"/>
              </w:rPr>
              <w:t> </w:t>
            </w:r>
            <w:r>
              <w:rPr>
                <w:sz w:val="24"/>
              </w:rPr>
              <w:t>ЛВП</w:t>
            </w:r>
            <w:r>
              <w:rPr>
                <w:spacing w:val="-13"/>
                <w:sz w:val="24"/>
              </w:rPr>
              <w:t> </w:t>
            </w:r>
            <w:r>
              <w:rPr>
                <w:sz w:val="24"/>
              </w:rPr>
              <w:t>↑</w:t>
            </w:r>
            <w:r>
              <w:rPr>
                <w:spacing w:val="-12"/>
                <w:sz w:val="24"/>
              </w:rPr>
              <w:t> </w:t>
            </w:r>
            <w:r>
              <w:rPr>
                <w:sz w:val="24"/>
              </w:rPr>
              <w:t>4– </w:t>
            </w:r>
            <w:r>
              <w:rPr>
                <w:spacing w:val="-6"/>
                <w:sz w:val="24"/>
              </w:rPr>
              <w:t>7%</w:t>
            </w:r>
          </w:p>
          <w:p>
            <w:pPr>
              <w:pStyle w:val="TableParagraph"/>
              <w:ind w:left="106"/>
              <w:rPr>
                <w:sz w:val="24"/>
              </w:rPr>
            </w:pPr>
            <w:r>
              <w:rPr>
                <w:sz w:val="24"/>
              </w:rPr>
              <w:t>TГ</w:t>
            </w:r>
            <w:r>
              <w:rPr>
                <w:spacing w:val="-1"/>
                <w:sz w:val="24"/>
              </w:rPr>
              <w:t> </w:t>
            </w:r>
            <w:r>
              <w:rPr>
                <w:sz w:val="24"/>
              </w:rPr>
              <w:t>↓ </w:t>
            </w:r>
            <w:r>
              <w:rPr>
                <w:spacing w:val="-2"/>
                <w:sz w:val="24"/>
              </w:rPr>
              <w:t>6–19%</w:t>
            </w:r>
          </w:p>
          <w:p>
            <w:pPr>
              <w:pStyle w:val="TableParagraph"/>
              <w:ind w:left="106"/>
              <w:rPr>
                <w:sz w:val="24"/>
              </w:rPr>
            </w:pPr>
            <w:r>
              <w:rPr>
                <w:sz w:val="24"/>
              </w:rPr>
              <w:t>ХС</w:t>
            </w:r>
            <w:r>
              <w:rPr>
                <w:spacing w:val="-1"/>
                <w:sz w:val="24"/>
              </w:rPr>
              <w:t> </w:t>
            </w:r>
            <w:r>
              <w:rPr>
                <w:sz w:val="24"/>
              </w:rPr>
              <w:t>не-ЛВП</w:t>
            </w:r>
            <w:r>
              <w:rPr>
                <w:spacing w:val="-2"/>
                <w:sz w:val="24"/>
              </w:rPr>
              <w:t> </w:t>
            </w:r>
            <w:r>
              <w:rPr>
                <w:spacing w:val="-10"/>
                <w:sz w:val="24"/>
              </w:rPr>
              <w:t>↓</w:t>
            </w:r>
          </w:p>
          <w:p>
            <w:pPr>
              <w:pStyle w:val="TableParagraph"/>
              <w:ind w:left="106"/>
              <w:rPr>
                <w:sz w:val="24"/>
              </w:rPr>
            </w:pPr>
            <w:r>
              <w:rPr>
                <w:spacing w:val="-2"/>
                <w:sz w:val="24"/>
              </w:rPr>
              <w:t>20–50%</w:t>
            </w:r>
          </w:p>
        </w:tc>
        <w:tc>
          <w:tcPr>
            <w:tcW w:w="1843" w:type="dxa"/>
          </w:tcPr>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spacing w:before="1"/>
              <w:ind w:left="0"/>
              <w:rPr>
                <w:sz w:val="21"/>
              </w:rPr>
            </w:pPr>
          </w:p>
          <w:p>
            <w:pPr>
              <w:pStyle w:val="TableParagraph"/>
              <w:ind w:left="106" w:right="98"/>
              <w:rPr>
                <w:sz w:val="24"/>
              </w:rPr>
            </w:pPr>
            <w:r>
              <w:rPr>
                <w:sz w:val="24"/>
              </w:rPr>
              <w:t>Реакция в</w:t>
            </w:r>
            <w:r>
              <w:rPr>
                <w:spacing w:val="40"/>
                <w:sz w:val="24"/>
              </w:rPr>
              <w:t> </w:t>
            </w:r>
            <w:r>
              <w:rPr>
                <w:sz w:val="24"/>
              </w:rPr>
              <w:t>месте</w:t>
            </w:r>
            <w:r>
              <w:rPr>
                <w:spacing w:val="-15"/>
                <w:sz w:val="24"/>
              </w:rPr>
              <w:t> </w:t>
            </w:r>
            <w:r>
              <w:rPr>
                <w:sz w:val="24"/>
              </w:rPr>
              <w:t>инъекции </w:t>
            </w:r>
            <w:r>
              <w:rPr>
                <w:spacing w:val="-4"/>
                <w:sz w:val="24"/>
              </w:rPr>
              <w:t>(5%)</w:t>
            </w:r>
          </w:p>
        </w:tc>
        <w:tc>
          <w:tcPr>
            <w:tcW w:w="1807" w:type="dxa"/>
          </w:tcPr>
          <w:p>
            <w:pPr>
              <w:pStyle w:val="TableParagraph"/>
              <w:ind w:left="0"/>
              <w:rPr>
                <w:sz w:val="26"/>
              </w:rPr>
            </w:pPr>
          </w:p>
          <w:p>
            <w:pPr>
              <w:pStyle w:val="TableParagraph"/>
              <w:ind w:left="0"/>
              <w:rPr>
                <w:sz w:val="26"/>
              </w:rPr>
            </w:pPr>
          </w:p>
          <w:p>
            <w:pPr>
              <w:pStyle w:val="TableParagraph"/>
              <w:ind w:left="0"/>
              <w:rPr>
                <w:sz w:val="26"/>
              </w:rPr>
            </w:pPr>
          </w:p>
          <w:p>
            <w:pPr>
              <w:pStyle w:val="TableParagraph"/>
              <w:ind w:left="0"/>
              <w:rPr>
                <w:sz w:val="26"/>
              </w:rPr>
            </w:pPr>
          </w:p>
          <w:p>
            <w:pPr>
              <w:pStyle w:val="TableParagraph"/>
              <w:spacing w:before="1"/>
              <w:ind w:left="0"/>
              <w:rPr>
                <w:sz w:val="25"/>
              </w:rPr>
            </w:pPr>
          </w:p>
          <w:p>
            <w:pPr>
              <w:pStyle w:val="TableParagraph"/>
              <w:ind w:left="104"/>
              <w:rPr>
                <w:sz w:val="24"/>
              </w:rPr>
            </w:pPr>
            <w:r>
              <w:rPr>
                <w:sz w:val="24"/>
              </w:rPr>
              <w:t>Не</w:t>
            </w:r>
            <w:r>
              <w:rPr>
                <w:spacing w:val="-15"/>
                <w:sz w:val="24"/>
              </w:rPr>
              <w:t> </w:t>
            </w:r>
            <w:r>
              <w:rPr>
                <w:sz w:val="24"/>
              </w:rPr>
              <w:t>влияет</w:t>
            </w:r>
            <w:r>
              <w:rPr>
                <w:spacing w:val="-15"/>
                <w:sz w:val="24"/>
              </w:rPr>
              <w:t> </w:t>
            </w:r>
            <w:r>
              <w:rPr>
                <w:sz w:val="24"/>
              </w:rPr>
              <w:t>на </w:t>
            </w:r>
            <w:r>
              <w:rPr>
                <w:spacing w:val="-2"/>
                <w:sz w:val="24"/>
              </w:rPr>
              <w:t>уровень трансаминаз</w:t>
            </w:r>
          </w:p>
          <w:p>
            <w:pPr>
              <w:pStyle w:val="TableParagraph"/>
              <w:ind w:left="0"/>
              <w:rPr>
                <w:sz w:val="24"/>
              </w:rPr>
            </w:pPr>
          </w:p>
          <w:p>
            <w:pPr>
              <w:pStyle w:val="TableParagraph"/>
              <w:ind w:left="104"/>
              <w:rPr>
                <w:sz w:val="24"/>
              </w:rPr>
            </w:pPr>
            <w:r>
              <w:rPr>
                <w:spacing w:val="-2"/>
                <w:sz w:val="24"/>
              </w:rPr>
              <w:t>Требуется подкожная инъекция</w:t>
            </w:r>
          </w:p>
        </w:tc>
      </w:tr>
      <w:tr>
        <w:trPr>
          <w:trHeight w:val="2140" w:hRule="atLeast"/>
        </w:trPr>
        <w:tc>
          <w:tcPr>
            <w:tcW w:w="1562" w:type="dxa"/>
          </w:tcPr>
          <w:p>
            <w:pPr>
              <w:pStyle w:val="TableParagraph"/>
              <w:ind w:left="0"/>
              <w:rPr>
                <w:sz w:val="26"/>
              </w:rPr>
            </w:pPr>
          </w:p>
          <w:p>
            <w:pPr>
              <w:pStyle w:val="TableParagraph"/>
              <w:ind w:left="0"/>
              <w:rPr>
                <w:sz w:val="26"/>
              </w:rPr>
            </w:pPr>
          </w:p>
          <w:p>
            <w:pPr>
              <w:pStyle w:val="TableParagraph"/>
              <w:spacing w:before="195"/>
              <w:ind w:left="105"/>
              <w:rPr>
                <w:sz w:val="24"/>
              </w:rPr>
            </w:pPr>
            <w:r>
              <w:rPr>
                <w:spacing w:val="-2"/>
                <w:sz w:val="24"/>
              </w:rPr>
              <w:t>C10AB</w:t>
            </w:r>
          </w:p>
          <w:p>
            <w:pPr>
              <w:pStyle w:val="TableParagraph"/>
              <w:ind w:left="105"/>
              <w:rPr>
                <w:sz w:val="24"/>
              </w:rPr>
            </w:pPr>
            <w:r>
              <w:rPr>
                <w:spacing w:val="-2"/>
                <w:sz w:val="24"/>
              </w:rPr>
              <w:t>Фибраты</w:t>
            </w:r>
          </w:p>
        </w:tc>
        <w:tc>
          <w:tcPr>
            <w:tcW w:w="2366" w:type="dxa"/>
          </w:tcPr>
          <w:p>
            <w:pPr>
              <w:pStyle w:val="TableParagraph"/>
              <w:ind w:left="0"/>
              <w:rPr>
                <w:sz w:val="26"/>
              </w:rPr>
            </w:pPr>
          </w:p>
          <w:p>
            <w:pPr>
              <w:pStyle w:val="TableParagraph"/>
              <w:ind w:left="0"/>
              <w:rPr>
                <w:sz w:val="26"/>
              </w:rPr>
            </w:pPr>
          </w:p>
          <w:p>
            <w:pPr>
              <w:pStyle w:val="TableParagraph"/>
              <w:spacing w:before="195"/>
              <w:ind w:left="103" w:right="245"/>
              <w:rPr>
                <w:sz w:val="24"/>
              </w:rPr>
            </w:pPr>
            <w:r>
              <w:rPr>
                <w:sz w:val="24"/>
              </w:rPr>
              <w:t>Фенофибрат**,</w:t>
            </w:r>
            <w:r>
              <w:rPr>
                <w:spacing w:val="-15"/>
                <w:sz w:val="24"/>
              </w:rPr>
              <w:t> </w:t>
            </w:r>
            <w:r>
              <w:rPr>
                <w:sz w:val="24"/>
              </w:rPr>
              <w:t>145 мг в сутки</w:t>
            </w:r>
          </w:p>
        </w:tc>
        <w:tc>
          <w:tcPr>
            <w:tcW w:w="1843" w:type="dxa"/>
          </w:tcPr>
          <w:p>
            <w:pPr>
              <w:pStyle w:val="TableParagraph"/>
              <w:spacing w:before="104"/>
              <w:ind w:left="106"/>
              <w:rPr>
                <w:sz w:val="24"/>
              </w:rPr>
            </w:pPr>
            <w:r>
              <w:rPr>
                <w:sz w:val="24"/>
              </w:rPr>
              <w:t>ХС</w:t>
            </w:r>
            <w:r>
              <w:rPr>
                <w:spacing w:val="-13"/>
                <w:sz w:val="24"/>
              </w:rPr>
              <w:t> </w:t>
            </w:r>
            <w:r>
              <w:rPr>
                <w:sz w:val="24"/>
              </w:rPr>
              <w:t>ЛНП</w:t>
            </w:r>
            <w:r>
              <w:rPr>
                <w:spacing w:val="-14"/>
                <w:sz w:val="24"/>
              </w:rPr>
              <w:t> </w:t>
            </w:r>
            <w:r>
              <w:rPr>
                <w:sz w:val="24"/>
              </w:rPr>
              <w:t>↓</w:t>
            </w:r>
            <w:r>
              <w:rPr>
                <w:spacing w:val="-13"/>
                <w:sz w:val="24"/>
              </w:rPr>
              <w:t> </w:t>
            </w:r>
            <w:r>
              <w:rPr>
                <w:sz w:val="24"/>
              </w:rPr>
              <w:t>10– </w:t>
            </w:r>
            <w:r>
              <w:rPr>
                <w:spacing w:val="-4"/>
                <w:sz w:val="24"/>
              </w:rPr>
              <w:t>15%</w:t>
            </w:r>
          </w:p>
          <w:p>
            <w:pPr>
              <w:pStyle w:val="TableParagraph"/>
              <w:ind w:left="106"/>
              <w:rPr>
                <w:sz w:val="24"/>
              </w:rPr>
            </w:pPr>
            <w:r>
              <w:rPr>
                <w:sz w:val="24"/>
              </w:rPr>
              <w:t>ХС</w:t>
            </w:r>
            <w:r>
              <w:rPr>
                <w:spacing w:val="-12"/>
                <w:sz w:val="24"/>
              </w:rPr>
              <w:t> </w:t>
            </w:r>
            <w:r>
              <w:rPr>
                <w:sz w:val="24"/>
              </w:rPr>
              <w:t>ЛВП</w:t>
            </w:r>
            <w:r>
              <w:rPr>
                <w:spacing w:val="-13"/>
                <w:sz w:val="24"/>
              </w:rPr>
              <w:t> </w:t>
            </w:r>
            <w:r>
              <w:rPr>
                <w:sz w:val="24"/>
              </w:rPr>
              <w:t>↑</w:t>
            </w:r>
            <w:r>
              <w:rPr>
                <w:spacing w:val="-12"/>
                <w:sz w:val="24"/>
              </w:rPr>
              <w:t> </w:t>
            </w:r>
            <w:r>
              <w:rPr>
                <w:sz w:val="24"/>
              </w:rPr>
              <w:t>10- </w:t>
            </w:r>
            <w:r>
              <w:rPr>
                <w:spacing w:val="-4"/>
                <w:sz w:val="24"/>
              </w:rPr>
              <w:t>20%</w:t>
            </w:r>
          </w:p>
          <w:p>
            <w:pPr>
              <w:pStyle w:val="TableParagraph"/>
              <w:ind w:left="106"/>
              <w:rPr>
                <w:sz w:val="24"/>
              </w:rPr>
            </w:pPr>
            <w:r>
              <w:rPr>
                <w:sz w:val="24"/>
              </w:rPr>
              <w:t>TГ</w:t>
            </w:r>
            <w:r>
              <w:rPr>
                <w:spacing w:val="-1"/>
                <w:sz w:val="24"/>
              </w:rPr>
              <w:t> </w:t>
            </w:r>
            <w:r>
              <w:rPr>
                <w:sz w:val="24"/>
              </w:rPr>
              <w:t>↓ </w:t>
            </w:r>
            <w:r>
              <w:rPr>
                <w:spacing w:val="-2"/>
                <w:sz w:val="24"/>
              </w:rPr>
              <w:t>20–50%</w:t>
            </w:r>
          </w:p>
          <w:p>
            <w:pPr>
              <w:pStyle w:val="TableParagraph"/>
              <w:ind w:left="106"/>
              <w:rPr>
                <w:sz w:val="24"/>
              </w:rPr>
            </w:pPr>
            <w:r>
              <w:rPr>
                <w:sz w:val="24"/>
              </w:rPr>
              <w:t>ХС</w:t>
            </w:r>
            <w:r>
              <w:rPr>
                <w:spacing w:val="-1"/>
                <w:sz w:val="24"/>
              </w:rPr>
              <w:t> </w:t>
            </w:r>
            <w:r>
              <w:rPr>
                <w:sz w:val="24"/>
              </w:rPr>
              <w:t>не-ЛВП</w:t>
            </w:r>
            <w:r>
              <w:rPr>
                <w:spacing w:val="-2"/>
                <w:sz w:val="24"/>
              </w:rPr>
              <w:t> </w:t>
            </w:r>
            <w:r>
              <w:rPr>
                <w:spacing w:val="-10"/>
                <w:sz w:val="24"/>
              </w:rPr>
              <w:t>↓</w:t>
            </w:r>
          </w:p>
          <w:p>
            <w:pPr>
              <w:pStyle w:val="TableParagraph"/>
              <w:ind w:left="106"/>
              <w:rPr>
                <w:sz w:val="24"/>
              </w:rPr>
            </w:pPr>
            <w:r>
              <w:rPr>
                <w:spacing w:val="-2"/>
                <w:sz w:val="24"/>
              </w:rPr>
              <w:t>5-</w:t>
            </w:r>
            <w:r>
              <w:rPr>
                <w:spacing w:val="-5"/>
                <w:sz w:val="24"/>
              </w:rPr>
              <w:t>19%</w:t>
            </w:r>
          </w:p>
        </w:tc>
        <w:tc>
          <w:tcPr>
            <w:tcW w:w="1843" w:type="dxa"/>
          </w:tcPr>
          <w:p>
            <w:pPr>
              <w:pStyle w:val="TableParagraph"/>
              <w:spacing w:before="11"/>
              <w:ind w:left="0"/>
              <w:rPr>
                <w:sz w:val="20"/>
              </w:rPr>
            </w:pPr>
          </w:p>
          <w:p>
            <w:pPr>
              <w:pStyle w:val="TableParagraph"/>
              <w:ind w:left="106" w:right="358"/>
              <w:rPr>
                <w:sz w:val="24"/>
              </w:rPr>
            </w:pPr>
            <w:r>
              <w:rPr>
                <w:spacing w:val="-2"/>
                <w:sz w:val="24"/>
              </w:rPr>
              <w:t>Диспепсия Миопатия </w:t>
            </w:r>
            <w:r>
              <w:rPr>
                <w:sz w:val="24"/>
              </w:rPr>
              <w:t>Возможно ↑ креатинина</w:t>
            </w:r>
            <w:r>
              <w:rPr>
                <w:spacing w:val="-15"/>
                <w:sz w:val="24"/>
              </w:rPr>
              <w:t> </w:t>
            </w:r>
            <w:r>
              <w:rPr>
                <w:sz w:val="24"/>
              </w:rPr>
              <w:t>и </w:t>
            </w:r>
            <w:r>
              <w:rPr>
                <w:spacing w:val="-2"/>
                <w:sz w:val="24"/>
              </w:rPr>
              <w:t>желчных кислот</w:t>
            </w:r>
          </w:p>
        </w:tc>
        <w:tc>
          <w:tcPr>
            <w:tcW w:w="1807" w:type="dxa"/>
          </w:tcPr>
          <w:p>
            <w:pPr>
              <w:pStyle w:val="TableParagraph"/>
              <w:spacing w:before="11"/>
              <w:ind w:left="0"/>
              <w:rPr>
                <w:sz w:val="20"/>
              </w:rPr>
            </w:pPr>
          </w:p>
          <w:p>
            <w:pPr>
              <w:pStyle w:val="TableParagraph"/>
              <w:ind w:left="104"/>
              <w:rPr>
                <w:sz w:val="24"/>
              </w:rPr>
            </w:pPr>
            <w:r>
              <w:rPr>
                <w:spacing w:val="-2"/>
                <w:sz w:val="24"/>
              </w:rPr>
              <w:t>Возможно совместное </w:t>
            </w:r>
            <w:r>
              <w:rPr>
                <w:sz w:val="24"/>
              </w:rPr>
              <w:t>применение в комбинации</w:t>
            </w:r>
            <w:r>
              <w:rPr>
                <w:spacing w:val="-15"/>
                <w:sz w:val="24"/>
              </w:rPr>
              <w:t> </w:t>
            </w:r>
            <w:r>
              <w:rPr>
                <w:sz w:val="24"/>
              </w:rPr>
              <w:t>со статинами и </w:t>
            </w:r>
            <w:r>
              <w:rPr>
                <w:spacing w:val="-2"/>
                <w:sz w:val="24"/>
              </w:rPr>
              <w:t>эзетимибом</w:t>
            </w:r>
          </w:p>
        </w:tc>
      </w:tr>
      <w:tr>
        <w:trPr>
          <w:trHeight w:val="2142" w:hRule="atLeast"/>
        </w:trPr>
        <w:tc>
          <w:tcPr>
            <w:tcW w:w="1562" w:type="dxa"/>
          </w:tcPr>
          <w:p>
            <w:pPr>
              <w:pStyle w:val="TableParagraph"/>
              <w:spacing w:before="1"/>
              <w:ind w:left="0"/>
              <w:rPr>
                <w:sz w:val="33"/>
              </w:rPr>
            </w:pPr>
          </w:p>
          <w:p>
            <w:pPr>
              <w:pStyle w:val="TableParagraph"/>
              <w:ind w:left="105"/>
              <w:rPr>
                <w:sz w:val="24"/>
              </w:rPr>
            </w:pPr>
            <w:r>
              <w:rPr>
                <w:spacing w:val="-2"/>
                <w:sz w:val="24"/>
              </w:rPr>
              <w:t>C10AX</w:t>
            </w:r>
          </w:p>
          <w:p>
            <w:pPr>
              <w:pStyle w:val="TableParagraph"/>
              <w:ind w:left="105"/>
              <w:rPr>
                <w:sz w:val="24"/>
              </w:rPr>
            </w:pPr>
            <w:r>
              <w:rPr>
                <w:spacing w:val="-2"/>
                <w:sz w:val="24"/>
              </w:rPr>
              <w:t>Другие гиполипиде мические средства</w:t>
            </w:r>
          </w:p>
        </w:tc>
        <w:tc>
          <w:tcPr>
            <w:tcW w:w="2366" w:type="dxa"/>
          </w:tcPr>
          <w:p>
            <w:pPr>
              <w:pStyle w:val="TableParagraph"/>
              <w:ind w:left="0"/>
              <w:rPr>
                <w:sz w:val="26"/>
              </w:rPr>
            </w:pPr>
          </w:p>
          <w:p>
            <w:pPr>
              <w:pStyle w:val="TableParagraph"/>
              <w:spacing w:before="1"/>
              <w:ind w:left="0"/>
              <w:rPr>
                <w:sz w:val="31"/>
              </w:rPr>
            </w:pPr>
          </w:p>
          <w:p>
            <w:pPr>
              <w:pStyle w:val="TableParagraph"/>
              <w:ind w:left="103" w:right="124"/>
              <w:rPr>
                <w:sz w:val="24"/>
              </w:rPr>
            </w:pPr>
            <w:r>
              <w:rPr>
                <w:sz w:val="24"/>
              </w:rPr>
              <w:t>Омега-3 кислоты этиловых</w:t>
            </w:r>
            <w:r>
              <w:rPr>
                <w:spacing w:val="-15"/>
                <w:sz w:val="24"/>
              </w:rPr>
              <w:t> </w:t>
            </w:r>
            <w:r>
              <w:rPr>
                <w:sz w:val="24"/>
              </w:rPr>
              <w:t>эфиров</w:t>
            </w:r>
            <w:r>
              <w:rPr>
                <w:spacing w:val="-15"/>
                <w:sz w:val="24"/>
              </w:rPr>
              <w:t> </w:t>
            </w:r>
            <w:r>
              <w:rPr>
                <w:sz w:val="24"/>
              </w:rPr>
              <w:t>2– 4 г в сут.</w:t>
            </w:r>
          </w:p>
        </w:tc>
        <w:tc>
          <w:tcPr>
            <w:tcW w:w="1843" w:type="dxa"/>
          </w:tcPr>
          <w:p>
            <w:pPr>
              <w:pStyle w:val="TableParagraph"/>
              <w:spacing w:before="104"/>
              <w:ind w:left="106"/>
              <w:rPr>
                <w:sz w:val="24"/>
              </w:rPr>
            </w:pPr>
            <w:r>
              <w:rPr>
                <w:sz w:val="24"/>
              </w:rPr>
              <w:t>ХС</w:t>
            </w:r>
            <w:r>
              <w:rPr>
                <w:spacing w:val="-1"/>
                <w:sz w:val="24"/>
              </w:rPr>
              <w:t> </w:t>
            </w:r>
            <w:r>
              <w:rPr>
                <w:sz w:val="24"/>
              </w:rPr>
              <w:t>ЛНП</w:t>
            </w:r>
            <w:r>
              <w:rPr>
                <w:spacing w:val="-2"/>
                <w:sz w:val="24"/>
              </w:rPr>
              <w:t> </w:t>
            </w:r>
            <w:r>
              <w:rPr>
                <w:sz w:val="24"/>
              </w:rPr>
              <w:t>↓ </w:t>
            </w:r>
            <w:r>
              <w:rPr>
                <w:spacing w:val="-5"/>
                <w:sz w:val="24"/>
              </w:rPr>
              <w:t>6%</w:t>
            </w:r>
          </w:p>
          <w:p>
            <w:pPr>
              <w:pStyle w:val="TableParagraph"/>
              <w:ind w:left="106"/>
              <w:rPr>
                <w:sz w:val="24"/>
              </w:rPr>
            </w:pPr>
            <w:r>
              <w:rPr>
                <w:sz w:val="24"/>
              </w:rPr>
              <w:t>— ↑ </w:t>
            </w:r>
            <w:r>
              <w:rPr>
                <w:spacing w:val="-5"/>
                <w:sz w:val="24"/>
              </w:rPr>
              <w:t>25%</w:t>
            </w:r>
          </w:p>
          <w:p>
            <w:pPr>
              <w:pStyle w:val="TableParagraph"/>
              <w:ind w:left="106"/>
              <w:rPr>
                <w:sz w:val="24"/>
              </w:rPr>
            </w:pPr>
            <w:r>
              <w:rPr>
                <w:sz w:val="24"/>
              </w:rPr>
              <w:t>ХС</w:t>
            </w:r>
            <w:r>
              <w:rPr>
                <w:spacing w:val="-1"/>
                <w:sz w:val="24"/>
              </w:rPr>
              <w:t> </w:t>
            </w:r>
            <w:r>
              <w:rPr>
                <w:sz w:val="24"/>
              </w:rPr>
              <w:t>ЛВП</w:t>
            </w:r>
            <w:r>
              <w:rPr>
                <w:spacing w:val="-1"/>
                <w:sz w:val="24"/>
              </w:rPr>
              <w:t> </w:t>
            </w:r>
            <w:r>
              <w:rPr>
                <w:sz w:val="24"/>
              </w:rPr>
              <w:t>↓ </w:t>
            </w:r>
            <w:r>
              <w:rPr>
                <w:spacing w:val="-5"/>
                <w:sz w:val="24"/>
              </w:rPr>
              <w:t>5%</w:t>
            </w:r>
          </w:p>
          <w:p>
            <w:pPr>
              <w:pStyle w:val="TableParagraph"/>
              <w:ind w:left="106"/>
              <w:rPr>
                <w:sz w:val="24"/>
              </w:rPr>
            </w:pPr>
            <w:r>
              <w:rPr>
                <w:sz w:val="24"/>
              </w:rPr>
              <w:t>— ↑ </w:t>
            </w:r>
            <w:r>
              <w:rPr>
                <w:spacing w:val="-5"/>
                <w:sz w:val="24"/>
              </w:rPr>
              <w:t>7%</w:t>
            </w:r>
          </w:p>
          <w:p>
            <w:pPr>
              <w:pStyle w:val="TableParagraph"/>
              <w:ind w:left="106"/>
              <w:rPr>
                <w:sz w:val="24"/>
              </w:rPr>
            </w:pPr>
            <w:r>
              <w:rPr>
                <w:sz w:val="24"/>
              </w:rPr>
              <w:t>TГ</w:t>
            </w:r>
            <w:r>
              <w:rPr>
                <w:spacing w:val="-1"/>
                <w:sz w:val="24"/>
              </w:rPr>
              <w:t> </w:t>
            </w:r>
            <w:r>
              <w:rPr>
                <w:sz w:val="24"/>
              </w:rPr>
              <w:t>↓ </w:t>
            </w:r>
            <w:r>
              <w:rPr>
                <w:spacing w:val="-2"/>
                <w:sz w:val="24"/>
              </w:rPr>
              <w:t>20–45%</w:t>
            </w:r>
          </w:p>
          <w:p>
            <w:pPr>
              <w:pStyle w:val="TableParagraph"/>
              <w:ind w:left="106"/>
              <w:rPr>
                <w:sz w:val="24"/>
              </w:rPr>
            </w:pPr>
            <w:r>
              <w:rPr>
                <w:sz w:val="24"/>
              </w:rPr>
              <w:t>ХС</w:t>
            </w:r>
            <w:r>
              <w:rPr>
                <w:spacing w:val="-1"/>
                <w:sz w:val="24"/>
              </w:rPr>
              <w:t> </w:t>
            </w:r>
            <w:r>
              <w:rPr>
                <w:sz w:val="24"/>
              </w:rPr>
              <w:t>не-ЛВП</w:t>
            </w:r>
            <w:r>
              <w:rPr>
                <w:spacing w:val="-2"/>
                <w:sz w:val="24"/>
              </w:rPr>
              <w:t> </w:t>
            </w:r>
            <w:r>
              <w:rPr>
                <w:spacing w:val="-10"/>
                <w:sz w:val="24"/>
              </w:rPr>
              <w:t>↓</w:t>
            </w:r>
          </w:p>
          <w:p>
            <w:pPr>
              <w:pStyle w:val="TableParagraph"/>
              <w:ind w:left="106"/>
              <w:rPr>
                <w:sz w:val="24"/>
              </w:rPr>
            </w:pPr>
            <w:r>
              <w:rPr>
                <w:spacing w:val="-2"/>
                <w:sz w:val="24"/>
              </w:rPr>
              <w:t>5–14%</w:t>
            </w:r>
          </w:p>
        </w:tc>
        <w:tc>
          <w:tcPr>
            <w:tcW w:w="1843" w:type="dxa"/>
          </w:tcPr>
          <w:p>
            <w:pPr>
              <w:pStyle w:val="TableParagraph"/>
              <w:ind w:left="0"/>
              <w:rPr>
                <w:sz w:val="26"/>
              </w:rPr>
            </w:pPr>
          </w:p>
          <w:p>
            <w:pPr>
              <w:pStyle w:val="TableParagraph"/>
              <w:ind w:left="0"/>
              <w:rPr>
                <w:sz w:val="26"/>
              </w:rPr>
            </w:pPr>
          </w:p>
          <w:p>
            <w:pPr>
              <w:pStyle w:val="TableParagraph"/>
              <w:spacing w:before="197"/>
              <w:ind w:left="106" w:right="270"/>
              <w:rPr>
                <w:sz w:val="24"/>
              </w:rPr>
            </w:pPr>
            <w:r>
              <w:rPr>
                <w:sz w:val="24"/>
              </w:rPr>
              <w:t>Рыбный</w:t>
            </w:r>
            <w:r>
              <w:rPr>
                <w:spacing w:val="-15"/>
                <w:sz w:val="24"/>
              </w:rPr>
              <w:t> </w:t>
            </w:r>
            <w:r>
              <w:rPr>
                <w:sz w:val="24"/>
              </w:rPr>
              <w:t>запах </w:t>
            </w:r>
            <w:r>
              <w:rPr>
                <w:spacing w:val="-2"/>
                <w:sz w:val="24"/>
              </w:rPr>
              <w:t>Экзема</w:t>
            </w:r>
          </w:p>
        </w:tc>
        <w:tc>
          <w:tcPr>
            <w:tcW w:w="1807" w:type="dxa"/>
          </w:tcPr>
          <w:p>
            <w:pPr>
              <w:pStyle w:val="TableParagraph"/>
              <w:spacing w:before="2"/>
              <w:ind w:left="0"/>
              <w:rPr>
                <w:sz w:val="21"/>
              </w:rPr>
            </w:pPr>
          </w:p>
          <w:p>
            <w:pPr>
              <w:pStyle w:val="TableParagraph"/>
              <w:ind w:left="104" w:right="118"/>
              <w:rPr>
                <w:sz w:val="24"/>
              </w:rPr>
            </w:pPr>
            <w:r>
              <w:rPr>
                <w:sz w:val="24"/>
              </w:rPr>
              <w:t>Комбинация</w:t>
            </w:r>
            <w:r>
              <w:rPr>
                <w:spacing w:val="-15"/>
                <w:sz w:val="24"/>
              </w:rPr>
              <w:t> </w:t>
            </w:r>
            <w:r>
              <w:rPr>
                <w:sz w:val="24"/>
              </w:rPr>
              <w:t>со </w:t>
            </w:r>
            <w:r>
              <w:rPr>
                <w:spacing w:val="-2"/>
                <w:sz w:val="24"/>
              </w:rPr>
              <w:t>статинами улучшает постпрандиаль </w:t>
            </w:r>
            <w:r>
              <w:rPr>
                <w:sz w:val="24"/>
              </w:rPr>
              <w:t>ный уровень </w:t>
            </w:r>
            <w:r>
              <w:rPr>
                <w:spacing w:val="-6"/>
                <w:sz w:val="24"/>
              </w:rPr>
              <w:t>ТГ</w:t>
            </w:r>
          </w:p>
        </w:tc>
      </w:tr>
    </w:tbl>
    <w:p>
      <w:pPr>
        <w:spacing w:after="0"/>
        <w:rPr>
          <w:sz w:val="24"/>
        </w:rPr>
        <w:sectPr>
          <w:type w:val="continuous"/>
          <w:pgSz w:w="11910" w:h="16840"/>
          <w:pgMar w:header="0" w:footer="710" w:top="1100" w:bottom="900" w:left="440" w:right="280"/>
        </w:sectPr>
      </w:pPr>
    </w:p>
    <w:p>
      <w:pPr>
        <w:spacing w:line="360" w:lineRule="auto" w:before="73"/>
        <w:ind w:left="1261" w:right="2822" w:firstLine="2301"/>
        <w:jc w:val="left"/>
        <w:rPr>
          <w:b/>
          <w:sz w:val="24"/>
        </w:rPr>
      </w:pPr>
      <w:bookmarkStart w:name="Приложение Б. Алгоритмы действий врача" w:id="344"/>
      <w:bookmarkEnd w:id="344"/>
      <w:r>
        <w:rPr/>
      </w:r>
      <w:bookmarkStart w:name="_bookmark291" w:id="345"/>
      <w:bookmarkEnd w:id="345"/>
      <w:r>
        <w:rPr/>
      </w:r>
      <w:r>
        <w:rPr>
          <w:b/>
          <w:sz w:val="24"/>
        </w:rPr>
        <w:t>Приложение</w:t>
      </w:r>
      <w:r>
        <w:rPr>
          <w:b/>
          <w:spacing w:val="-9"/>
          <w:sz w:val="24"/>
        </w:rPr>
        <w:t> </w:t>
      </w:r>
      <w:r>
        <w:rPr>
          <w:b/>
          <w:sz w:val="24"/>
        </w:rPr>
        <w:t>Б.</w:t>
      </w:r>
      <w:r>
        <w:rPr>
          <w:b/>
          <w:spacing w:val="-8"/>
          <w:sz w:val="24"/>
        </w:rPr>
        <w:t> </w:t>
      </w:r>
      <w:r>
        <w:rPr>
          <w:b/>
          <w:sz w:val="24"/>
        </w:rPr>
        <w:t>Алгоритмы</w:t>
      </w:r>
      <w:r>
        <w:rPr>
          <w:b/>
          <w:spacing w:val="-9"/>
          <w:sz w:val="24"/>
        </w:rPr>
        <w:t> </w:t>
      </w:r>
      <w:r>
        <w:rPr>
          <w:b/>
          <w:sz w:val="24"/>
        </w:rPr>
        <w:t>действий</w:t>
      </w:r>
      <w:r>
        <w:rPr>
          <w:b/>
          <w:spacing w:val="-8"/>
          <w:sz w:val="24"/>
        </w:rPr>
        <w:t> </w:t>
      </w:r>
      <w:r>
        <w:rPr>
          <w:b/>
          <w:sz w:val="24"/>
        </w:rPr>
        <w:t>врача Приложение Б1. Алгоритм лечения гипертриглицеридемии</w:t>
      </w:r>
    </w:p>
    <w:p>
      <w:pPr>
        <w:pStyle w:val="BodyText"/>
        <w:ind w:left="0"/>
        <w:rPr>
          <w:b/>
          <w:sz w:val="20"/>
        </w:rPr>
      </w:pPr>
    </w:p>
    <w:p>
      <w:pPr>
        <w:pStyle w:val="BodyText"/>
        <w:ind w:left="0"/>
        <w:rPr>
          <w:b/>
          <w:sz w:val="20"/>
        </w:rPr>
      </w:pPr>
    </w:p>
    <w:p>
      <w:pPr>
        <w:pStyle w:val="BodyText"/>
        <w:spacing w:before="6"/>
        <w:ind w:left="0"/>
        <w:rPr>
          <w:b/>
          <w:sz w:val="20"/>
        </w:rPr>
      </w:pPr>
      <w:r>
        <w:rPr/>
        <w:drawing>
          <wp:anchor distT="0" distB="0" distL="0" distR="0" allowOverlap="1" layoutInCell="1" locked="0" behindDoc="0" simplePos="0" relativeHeight="3">
            <wp:simplePos x="0" y="0"/>
            <wp:positionH relativeFrom="page">
              <wp:posOffset>1335361</wp:posOffset>
            </wp:positionH>
            <wp:positionV relativeFrom="paragraph">
              <wp:posOffset>165662</wp:posOffset>
            </wp:positionV>
            <wp:extent cx="5466062" cy="2823686"/>
            <wp:effectExtent l="0" t="0" r="0" b="0"/>
            <wp:wrapTopAndBottom/>
            <wp:docPr id="1" name="image1.png"/>
            <wp:cNvGraphicFramePr>
              <a:graphicFrameLocks noChangeAspect="1"/>
            </wp:cNvGraphicFramePr>
            <a:graphic>
              <a:graphicData uri="http://schemas.openxmlformats.org/drawingml/2006/picture">
                <pic:pic>
                  <pic:nvPicPr>
                    <pic:cNvPr id="2" name="image1.png"/>
                    <pic:cNvPicPr/>
                  </pic:nvPicPr>
                  <pic:blipFill>
                    <a:blip r:embed="rId8" cstate="print"/>
                    <a:stretch>
                      <a:fillRect/>
                    </a:stretch>
                  </pic:blipFill>
                  <pic:spPr>
                    <a:xfrm>
                      <a:off x="0" y="0"/>
                      <a:ext cx="5466062" cy="2823686"/>
                    </a:xfrm>
                    <a:prstGeom prst="rect">
                      <a:avLst/>
                    </a:prstGeom>
                  </pic:spPr>
                </pic:pic>
              </a:graphicData>
            </a:graphic>
          </wp:anchor>
        </w:drawing>
      </w:r>
    </w:p>
    <w:p>
      <w:pPr>
        <w:pStyle w:val="BodyText"/>
        <w:spacing w:before="5"/>
        <w:ind w:left="0"/>
        <w:rPr>
          <w:b/>
          <w:sz w:val="29"/>
        </w:rPr>
      </w:pPr>
    </w:p>
    <w:p>
      <w:pPr>
        <w:pStyle w:val="BodyText"/>
        <w:ind w:left="1261" w:right="1197"/>
        <w:jc w:val="both"/>
      </w:pPr>
      <w:r>
        <w:rPr>
          <w:b/>
        </w:rPr>
        <w:t>Примечание.</w:t>
      </w:r>
      <w:r>
        <w:rPr>
          <w:b/>
          <w:spacing w:val="-3"/>
        </w:rPr>
        <w:t> </w:t>
      </w:r>
      <w:r>
        <w:rPr/>
        <w:t>Омега3</w:t>
      </w:r>
      <w:r>
        <w:rPr>
          <w:spacing w:val="-1"/>
        </w:rPr>
        <w:t> </w:t>
      </w:r>
      <w:r>
        <w:rPr/>
        <w:t>ПНЖК</w:t>
      </w:r>
      <w:r>
        <w:rPr>
          <w:spacing w:val="-3"/>
        </w:rPr>
        <w:t> </w:t>
      </w:r>
      <w:r>
        <w:rPr/>
        <w:t>—</w:t>
      </w:r>
      <w:r>
        <w:rPr>
          <w:spacing w:val="-3"/>
        </w:rPr>
        <w:t> </w:t>
      </w:r>
      <w:r>
        <w:rPr/>
        <w:t>Омега-3</w:t>
      </w:r>
      <w:r>
        <w:rPr>
          <w:spacing w:val="-3"/>
        </w:rPr>
        <w:t> </w:t>
      </w:r>
      <w:r>
        <w:rPr/>
        <w:t>кислоты</w:t>
      </w:r>
      <w:r>
        <w:rPr>
          <w:spacing w:val="-4"/>
        </w:rPr>
        <w:t> </w:t>
      </w:r>
      <w:r>
        <w:rPr/>
        <w:t>этиловых</w:t>
      </w:r>
      <w:r>
        <w:rPr>
          <w:spacing w:val="-3"/>
        </w:rPr>
        <w:t> </w:t>
      </w:r>
      <w:r>
        <w:rPr/>
        <w:t>эфиров,</w:t>
      </w:r>
      <w:r>
        <w:rPr>
          <w:spacing w:val="-3"/>
        </w:rPr>
        <w:t> </w:t>
      </w:r>
      <w:r>
        <w:rPr/>
        <w:t>включая</w:t>
      </w:r>
      <w:r>
        <w:rPr>
          <w:spacing w:val="-3"/>
        </w:rPr>
        <w:t> </w:t>
      </w:r>
      <w:r>
        <w:rPr/>
        <w:t>другие эфиры</w:t>
      </w:r>
      <w:r>
        <w:rPr>
          <w:spacing w:val="-5"/>
        </w:rPr>
        <w:t> </w:t>
      </w:r>
      <w:r>
        <w:rPr/>
        <w:t>и</w:t>
      </w:r>
      <w:r>
        <w:rPr>
          <w:spacing w:val="-3"/>
        </w:rPr>
        <w:t> </w:t>
      </w:r>
      <w:r>
        <w:rPr/>
        <w:t>кислоты,</w:t>
      </w:r>
      <w:r>
        <w:rPr>
          <w:spacing w:val="-4"/>
        </w:rPr>
        <w:t> </w:t>
      </w:r>
      <w:r>
        <w:rPr/>
        <w:t>в</w:t>
      </w:r>
      <w:r>
        <w:rPr>
          <w:spacing w:val="-5"/>
        </w:rPr>
        <w:t> </w:t>
      </w:r>
      <w:r>
        <w:rPr/>
        <w:t>дозе</w:t>
      </w:r>
      <w:r>
        <w:rPr>
          <w:spacing w:val="-5"/>
        </w:rPr>
        <w:t> </w:t>
      </w:r>
      <w:r>
        <w:rPr/>
        <w:t>2–4</w:t>
      </w:r>
      <w:r>
        <w:rPr>
          <w:spacing w:val="-4"/>
        </w:rPr>
        <w:t> </w:t>
      </w:r>
      <w:r>
        <w:rPr/>
        <w:t>г/сут.</w:t>
      </w:r>
      <w:r>
        <w:rPr>
          <w:spacing w:val="-4"/>
        </w:rPr>
        <w:t> </w:t>
      </w:r>
      <w:r>
        <w:rPr/>
        <w:t>При</w:t>
      </w:r>
      <w:r>
        <w:rPr>
          <w:spacing w:val="-3"/>
        </w:rPr>
        <w:t> </w:t>
      </w:r>
      <w:r>
        <w:rPr/>
        <w:t>тяжелой</w:t>
      </w:r>
      <w:r>
        <w:rPr>
          <w:spacing w:val="-3"/>
        </w:rPr>
        <w:t> </w:t>
      </w:r>
      <w:r>
        <w:rPr/>
        <w:t>гипертриглицеридемии</w:t>
      </w:r>
      <w:r>
        <w:rPr>
          <w:spacing w:val="-3"/>
        </w:rPr>
        <w:t> </w:t>
      </w:r>
      <w:r>
        <w:rPr/>
        <w:t>рассмотреть вопрос использования плазмафереза, плазмосорбции.</w:t>
      </w:r>
    </w:p>
    <w:p>
      <w:pPr>
        <w:spacing w:after="0"/>
        <w:jc w:val="both"/>
        <w:sectPr>
          <w:pgSz w:w="11910" w:h="16840"/>
          <w:pgMar w:header="0" w:footer="710" w:top="1040" w:bottom="900" w:left="440" w:right="280"/>
        </w:sectPr>
      </w:pPr>
    </w:p>
    <w:p>
      <w:pPr>
        <w:pStyle w:val="Heading3"/>
        <w:spacing w:line="278" w:lineRule="auto" w:before="73"/>
      </w:pPr>
      <w:r>
        <w:rPr/>
        <w:t>Приложение</w:t>
      </w:r>
      <w:r>
        <w:rPr>
          <w:spacing w:val="80"/>
        </w:rPr>
        <w:t> </w:t>
      </w:r>
      <w:r>
        <w:rPr/>
        <w:t>Б2.</w:t>
      </w:r>
      <w:r>
        <w:rPr>
          <w:spacing w:val="80"/>
        </w:rPr>
        <w:t> </w:t>
      </w:r>
      <w:r>
        <w:rPr/>
        <w:t>Алгоритм</w:t>
      </w:r>
      <w:r>
        <w:rPr>
          <w:spacing w:val="80"/>
        </w:rPr>
        <w:t> </w:t>
      </w:r>
      <w:r>
        <w:rPr/>
        <w:t>медикаментозной</w:t>
      </w:r>
      <w:r>
        <w:rPr>
          <w:spacing w:val="80"/>
        </w:rPr>
        <w:t> </w:t>
      </w:r>
      <w:r>
        <w:rPr/>
        <w:t>терапии</w:t>
      </w:r>
      <w:r>
        <w:rPr>
          <w:spacing w:val="80"/>
        </w:rPr>
        <w:t> </w:t>
      </w:r>
      <w:r>
        <w:rPr/>
        <w:t>для</w:t>
      </w:r>
      <w:r>
        <w:rPr>
          <w:spacing w:val="80"/>
        </w:rPr>
        <w:t> </w:t>
      </w:r>
      <w:r>
        <w:rPr/>
        <w:t>достижения</w:t>
      </w:r>
      <w:r>
        <w:rPr>
          <w:spacing w:val="80"/>
        </w:rPr>
        <w:t> </w:t>
      </w:r>
      <w:r>
        <w:rPr/>
        <w:t>целевого уровня ХС ЛНП</w:t>
      </w:r>
    </w:p>
    <w:p>
      <w:pPr>
        <w:pStyle w:val="BodyText"/>
        <w:ind w:left="0"/>
        <w:rPr>
          <w:b/>
          <w:sz w:val="20"/>
        </w:rPr>
      </w:pPr>
    </w:p>
    <w:p>
      <w:pPr>
        <w:pStyle w:val="BodyText"/>
        <w:spacing w:before="10"/>
        <w:ind w:left="0"/>
        <w:rPr>
          <w:b/>
          <w:sz w:val="15"/>
        </w:rPr>
      </w:pPr>
    </w:p>
    <w:p>
      <w:pPr>
        <w:pStyle w:val="BodyText"/>
        <w:ind w:left="4915"/>
        <w:rPr>
          <w:sz w:val="20"/>
        </w:rPr>
      </w:pPr>
      <w:r>
        <w:rPr>
          <w:sz w:val="20"/>
        </w:rPr>
        <w:pict>
          <v:group style="width:135.75pt;height:35.25pt;mso-position-horizontal-relative:char;mso-position-vertical-relative:line" id="docshapegroup7" coordorigin="0,0" coordsize="2715,705">
            <v:shape style="position:absolute;left:0;top:0;width:2715;height:705" id="docshape8" coordorigin="0,0" coordsize="2715,705" path="m2598,0l118,0,72,9,34,34,9,72,0,118,0,588,9,633,34,671,72,696,118,705,2598,705,2643,696,2681,671,2706,633,2715,588,2715,118,2706,72,2681,34,2643,9,2598,0xe" filled="true" fillcolor="#5b9bd4" stroked="false">
              <v:path arrowok="t"/>
              <v:fill type="solid"/>
            </v:shape>
            <v:shape style="position:absolute;left:0;top:0;width:2715;height:705" type="#_x0000_t202" id="docshape9" filled="false" stroked="false">
              <v:textbox inset="0,0,0,0">
                <w:txbxContent>
                  <w:p>
                    <w:pPr>
                      <w:spacing w:line="278" w:lineRule="auto" w:before="117"/>
                      <w:ind w:left="613" w:right="0" w:hanging="296"/>
                      <w:jc w:val="left"/>
                      <w:rPr>
                        <w:b/>
                        <w:sz w:val="18"/>
                      </w:rPr>
                    </w:pPr>
                    <w:r>
                      <w:rPr>
                        <w:b/>
                        <w:color w:val="FFFFFF"/>
                        <w:sz w:val="18"/>
                      </w:rPr>
                      <w:t>Оценка</w:t>
                    </w:r>
                    <w:r>
                      <w:rPr>
                        <w:b/>
                        <w:color w:val="FFFFFF"/>
                        <w:spacing w:val="-12"/>
                        <w:sz w:val="18"/>
                      </w:rPr>
                      <w:t> </w:t>
                    </w:r>
                    <w:r>
                      <w:rPr>
                        <w:b/>
                        <w:color w:val="FFFFFF"/>
                        <w:sz w:val="18"/>
                      </w:rPr>
                      <w:t>общего</w:t>
                    </w:r>
                    <w:r>
                      <w:rPr>
                        <w:b/>
                        <w:color w:val="FFFFFF"/>
                        <w:spacing w:val="-12"/>
                        <w:sz w:val="18"/>
                      </w:rPr>
                      <w:t> </w:t>
                    </w:r>
                    <w:r>
                      <w:rPr>
                        <w:b/>
                        <w:color w:val="FFFFFF"/>
                        <w:sz w:val="18"/>
                      </w:rPr>
                      <w:t>сердечно- сосудистого риска</w:t>
                    </w:r>
                  </w:p>
                </w:txbxContent>
              </v:textbox>
              <w10:wrap type="none"/>
            </v:shape>
          </v:group>
        </w:pict>
      </w:r>
      <w:r>
        <w:rPr>
          <w:sz w:val="20"/>
        </w:rPr>
      </w:r>
    </w:p>
    <w:p>
      <w:pPr>
        <w:spacing w:after="0"/>
        <w:rPr>
          <w:sz w:val="20"/>
        </w:rPr>
        <w:sectPr>
          <w:footerReference w:type="default" r:id="rId9"/>
          <w:pgSz w:w="11910" w:h="16840"/>
          <w:pgMar w:footer="0" w:header="0" w:top="1040" w:bottom="0" w:left="440" w:right="280"/>
        </w:sectPr>
      </w:pPr>
    </w:p>
    <w:p>
      <w:pPr>
        <w:spacing w:before="46"/>
        <w:ind w:left="108" w:right="41" w:firstLine="0"/>
        <w:jc w:val="center"/>
        <w:rPr>
          <w:i/>
          <w:sz w:val="16"/>
        </w:rPr>
      </w:pPr>
      <w:r>
        <w:rPr/>
        <w:pict>
          <v:group style="position:absolute;margin-left:14.625pt;margin-top:-4.638825pt;width:571.75pt;height:630.6pt;mso-position-horizontal-relative:page;mso-position-vertical-relative:paragraph;z-index:-18174976" id="docshapegroup10" coordorigin="293,-93" coordsize="11435,12612">
            <v:shape style="position:absolute;left:5055;top:266;width:3901;height:1823" id="docshape11" coordorigin="5055,267" coordsize="3901,1823" path="m8385,1527l8376,1483,8352,1448,8316,1424,8273,1415,5168,1415,5124,1424,5088,1448,5064,1483,5055,1527,5055,1977,5064,2021,5088,2057,5124,2081,5168,2090,8273,2090,8316,2081,8352,2057,8376,2021,8385,1977,8385,1527xm8956,342l8950,313,8934,289,8910,273,8881,267,5398,267,5369,273,5345,289,5329,313,5323,342,5323,642,5329,671,5345,695,5369,711,5398,717,8881,717,8910,711,8934,695,8950,671,8956,642,8956,342xe" filled="true" fillcolor="#5b9bd4" stroked="false">
              <v:path arrowok="t"/>
              <v:fill type="solid"/>
            </v:shape>
            <v:line style="position:absolute" from="6705,680" to="6720,1400" stroked="true" strokeweight="1.5pt" strokecolor="#000000">
              <v:stroke dashstyle="solid"/>
            </v:line>
            <v:line style="position:absolute" from="6705,1069" to="4005,1069" stroked="true" strokeweight="1.5pt" strokecolor="#000000">
              <v:stroke dashstyle="solid"/>
            </v:line>
            <v:shape style="position:absolute;left:645;top:468;width:3375;height:1245" id="docshape12" coordorigin="645,469" coordsize="3375,1245" path="m3813,469l853,469,787,479,730,509,685,554,656,611,645,676,645,1506,656,1572,685,1629,730,1674,787,1703,853,1714,3813,1714,3878,1703,3935,1674,3980,1629,4009,1572,4020,1506,4020,676,4009,611,3980,554,3935,509,3878,479,3813,469xe" filled="true" fillcolor="#fff1cc" stroked="false">
              <v:path arrowok="t"/>
              <v:fill type="solid"/>
            </v:shape>
            <v:shape style="position:absolute;left:645;top:468;width:3375;height:1245" id="docshape13" coordorigin="645,469" coordsize="3375,1245" path="m645,676l656,611,685,554,730,509,787,479,853,469,3813,469,3878,479,3935,509,3980,554,4009,611,4020,676,4020,1506,4009,1572,3980,1629,3935,1674,3878,1703,3813,1714,853,1714,787,1703,730,1674,685,1629,656,1572,645,1506,645,676xe" filled="false" stroked="true" strokeweight="2.25pt" strokecolor="#ffc000">
              <v:path arrowok="t"/>
              <v:stroke dashstyle="solid"/>
            </v:shape>
            <v:shape style="position:absolute;left:315;top:-71;width:4020;height:420" id="docshape14" coordorigin="315,-70" coordsize="4020,420" path="m315,0l321,-28,336,-50,358,-65,385,-70,4265,-70,4292,-65,4314,-50,4329,-28,4335,0,4335,280,4329,307,4314,329,4292,344,4265,350,385,350,358,344,336,329,321,307,315,280,315,0xe" filled="false" stroked="true" strokeweight="2.25pt" strokecolor="#ffc000">
              <v:path arrowok="t"/>
              <v:stroke dashstyle="solid"/>
            </v:shape>
            <v:line style="position:absolute" from="6734,2090" to="6734,2540" stroked="true" strokeweight="1.5pt" strokecolor="#000000">
              <v:stroke dashstyle="solid"/>
            </v:line>
            <v:line style="position:absolute" from="10079,2540" to="3464,2525" stroked="true" strokeweight="1.5pt" strokecolor="#000000">
              <v:stroke dashstyle="longdash"/>
            </v:line>
            <v:line style="position:absolute" from="3479,2526" to="3479,2976" stroked="true" strokeweight="1.5pt" strokecolor="#000000">
              <v:stroke dashstyle="solid"/>
            </v:line>
            <v:line style="position:absolute" from="10072,2531" to="10072,2981" stroked="true" strokeweight="1.5pt" strokecolor="#000000">
              <v:stroke dashstyle="solid"/>
            </v:line>
            <v:shape style="position:absolute;left:4574;top:2171;width:745;height:745" id="docshape15" coordorigin="4574,2172" coordsize="745,745" path="m4946,2172l4871,2179,4802,2201,4738,2235,4683,2281,4638,2336,4603,2399,4582,2469,4574,2544,4582,2619,4603,2689,4638,2752,4683,2808,4738,2853,4802,2887,4871,2909,4946,2917,5022,2909,5091,2887,5155,2853,5210,2808,5255,2752,5290,2689,5311,2619,5319,2544,5311,2469,5290,2399,5255,2336,5210,2281,5155,2235,5091,2201,5022,2179,4946,2172xe" filled="true" fillcolor="#00af50" stroked="false">
              <v:path arrowok="t"/>
              <v:fill type="solid"/>
            </v:shape>
            <v:shape style="position:absolute;left:8025;top:2343;width:930;height:711" id="docshape16" coordorigin="8025,2343" coordsize="930,711" path="m8490,2343l8406,2349,8328,2366,8255,2392,8190,2427,8134,2470,8088,2520,8054,2575,8032,2635,8025,2699,8032,2763,8054,2823,8088,2878,8134,2928,8190,2971,8255,3006,8328,3032,8406,3049,8490,3054,8574,3049,8652,3032,8725,3006,8790,2971,8846,2928,8892,2878,8926,2823,8948,2763,8955,2699,8948,2635,8926,2575,8892,2520,8846,2470,8790,2427,8725,2392,8652,2366,8574,2349,8490,2343xe" filled="true" fillcolor="#ff0000" stroked="false">
              <v:path arrowok="t"/>
              <v:fill type="solid"/>
            </v:shape>
            <v:shape style="position:absolute;left:1701;top:2984;width:2626;height:457" id="docshape17" coordorigin="1701,2985" coordsize="2626,457" path="m4251,2985l1777,2985,1748,2991,1723,3007,1707,3031,1701,3061,1701,3366,1707,3395,1723,3419,1748,3436,1777,3442,4251,3442,4280,3436,4305,3419,4321,3395,4327,3366,4327,3061,4321,3031,4305,3007,4280,2991,4251,2985xe" filled="true" fillcolor="#5b9bd4" stroked="false">
              <v:path arrowok="t"/>
              <v:fill type="solid"/>
            </v:shape>
            <v:line style="position:absolute" from="3478,3440" to="3478,3890" stroked="true" strokeweight="1.5pt" strokecolor="#000000">
              <v:stroke dashstyle="solid"/>
            </v:line>
            <v:shape style="position:absolute;left:1338;top:3916;width:3320;height:1237" id="docshape18" coordorigin="1338,3917" coordsize="3320,1237" path="m4452,3917l1544,3917,1464,3933,1398,3977,1354,4043,1338,4123,1338,4948,1354,5028,1398,5093,1464,5138,1544,5154,4452,5154,4532,5138,4598,5093,4642,5028,4658,4948,4658,4123,4642,4043,4598,3977,4532,3933,4452,3917xe" filled="true" fillcolor="#a9d18e" stroked="false">
              <v:path arrowok="t"/>
              <v:fill type="solid"/>
            </v:shape>
            <v:shape style="position:absolute;left:1338;top:3916;width:3320;height:1237" id="docshape19" coordorigin="1338,3917" coordsize="3320,1237" path="m1338,4123l1354,4043,1398,3977,1464,3933,1544,3917,4452,3917,4532,3933,4598,3977,4642,4043,4658,4123,4658,4948,4642,5028,4598,5093,4532,5138,4452,5154,1544,5154,1464,5138,1398,5093,1354,5028,1338,4948,1338,4123xe" filled="false" stroked="true" strokeweight="1.5pt" strokecolor="#385622">
              <v:path arrowok="t"/>
              <v:stroke dashstyle="solid"/>
            </v:shape>
            <v:line style="position:absolute" from="3513,5169" to="3513,5619" stroked="true" strokeweight="1.5pt" strokecolor="#000000">
              <v:stroke dashstyle="solid"/>
            </v:line>
            <v:shape style="position:absolute;left:1701;top:5624;width:2715;height:695" id="docshape20" coordorigin="1701,5625" coordsize="2715,695" path="m4300,5625l1817,5625,1772,5634,1735,5659,1710,5695,1701,5741,1701,6204,1710,6249,1735,6286,1772,6311,1817,6320,4300,6320,4345,6311,4382,6286,4407,6249,4416,6204,4416,5741,4407,5695,4382,5659,4345,5634,4300,5625xe" filled="true" fillcolor="#5b9bd4" stroked="false">
              <v:path arrowok="t"/>
              <v:fill type="solid"/>
            </v:shape>
            <v:line style="position:absolute" from="3513,6323" to="3513,6773" stroked="true" strokeweight="1.5pt" strokecolor="#000000">
              <v:stroke dashstyle="solid"/>
            </v:line>
            <v:line style="position:absolute" from="6150,6790" to="966,6780" stroked="true" strokeweight="1.5pt" strokecolor="#000000">
              <v:stroke dashstyle="longdash"/>
            </v:line>
            <v:line style="position:absolute" from="978,6775" to="978,7225" stroked="true" strokeweight="1.5pt" strokecolor="#000000">
              <v:stroke dashstyle="solid"/>
            </v:line>
            <v:line style="position:absolute" from="6130,6772" to="6130,7222" stroked="true" strokeweight="1.5pt" strokecolor="#000000">
              <v:stroke dashstyle="solid"/>
            </v:line>
            <v:shape style="position:absolute;left:1404;top:6421;width:745;height:745" id="docshape21" coordorigin="1404,6422" coordsize="745,745" path="m1776,6422l1701,6429,1632,6451,1568,6485,1513,6531,1468,6586,1433,6649,1412,6719,1404,6794,1412,6869,1433,6939,1468,7002,1513,7058,1568,7103,1632,7137,1701,7159,1776,7167,1852,7159,1921,7137,1985,7103,2040,7058,2085,7002,2120,6939,2141,6869,2149,6794,2141,6719,2120,6649,2085,6586,2040,6531,1985,6485,1921,6451,1852,6429,1776,6422xe" filled="true" fillcolor="#00af50" stroked="false">
              <v:path arrowok="t"/>
              <v:fill type="solid"/>
            </v:shape>
            <v:shape style="position:absolute;left:4572;top:6450;width:930;height:711" id="docshape22" coordorigin="4572,6451" coordsize="930,711" path="m5037,6451l4953,6457,4875,6473,4802,6499,4737,6534,4681,6577,4635,6627,4601,6682,4579,6742,4572,6806,4579,6870,4601,6930,4635,6986,4681,7035,4737,7078,4802,7113,4875,7140,4953,7156,5037,7162,5121,7156,5199,7140,5272,7113,5337,7078,5393,7035,5439,6986,5473,6930,5495,6870,5502,6806,5495,6742,5473,6682,5439,6627,5393,6577,5337,6534,5272,6499,5199,6473,5121,6457,5037,6451xe" filled="true" fillcolor="#ff0000" stroked="false">
              <v:path arrowok="t"/>
              <v:fill type="solid"/>
            </v:shape>
            <v:shape style="position:absolute;left:457;top:7220;width:2423;height:1067" id="docshape23" coordorigin="457,7221" coordsize="2423,1067" path="m2702,7221l635,7221,566,7235,509,7273,471,7329,457,7399,457,8110,471,8179,509,8236,566,8274,635,8288,2702,8288,2771,8274,2828,8236,2866,8179,2880,8110,2880,7399,2866,7329,2828,7273,2771,7235,2702,7221xe" filled="true" fillcolor="#5b9bd4" stroked="false">
              <v:path arrowok="t"/>
              <v:fill type="solid"/>
            </v:shape>
            <v:shape style="position:absolute;left:4575;top:7229;width:2168;height:440" id="docshape24" coordorigin="4575,7230" coordsize="2168,440" path="m6670,7230l4648,7230,4620,7235,4596,7251,4581,7275,4575,7303,4575,7596,4581,7625,4596,7648,4620,7664,4648,7670,6670,7670,6698,7664,6722,7648,6737,7625,6743,7596,6743,7303,6737,7275,6722,7251,6698,7235,6670,7230xe" filled="true" fillcolor="#a9d18e" stroked="false">
              <v:path arrowok="t"/>
              <v:fill type="solid"/>
            </v:shape>
            <v:shape style="position:absolute;left:4575;top:7229;width:2168;height:440" id="docshape25" coordorigin="4575,7230" coordsize="2168,440" path="m4575,7303l4581,7275,4596,7251,4620,7235,4648,7230,6670,7230,6698,7235,6722,7251,6737,7275,6743,7303,6743,7596,6737,7625,6722,7648,6698,7664,6670,7670,4648,7670,4620,7664,4596,7648,4581,7625,4575,7596,4575,7303xe" filled="false" stroked="true" strokeweight="1.5pt" strokecolor="#385622">
              <v:path arrowok="t"/>
              <v:stroke dashstyle="solid"/>
            </v:shape>
            <v:line style="position:absolute" from="6139,7659" to="6139,8109" stroked="true" strokeweight="1.5pt" strokecolor="#000000">
              <v:stroke dashstyle="solid"/>
            </v:line>
            <v:shape style="position:absolute;left:4378;top:8108;width:2715;height:695" id="docshape26" coordorigin="4378,8109" coordsize="2715,695" path="m6977,8109l4494,8109,4449,8118,4412,8143,4387,8179,4378,8225,4378,8688,4387,8733,4412,8770,4449,8795,4494,8804,6977,8804,7022,8795,7059,8770,7084,8733,7093,8688,7093,8225,7084,8179,7059,8143,7022,8118,6977,8109xe" filled="true" fillcolor="#5b9bd4" stroked="false">
              <v:path arrowok="t"/>
              <v:fill type="solid"/>
            </v:shape>
            <v:line style="position:absolute" from="6144,8813" to="6144,9263" stroked="true" strokeweight="1.5pt" strokecolor="#000000">
              <v:stroke dashstyle="solid"/>
            </v:line>
            <v:line style="position:absolute" from="7957,9809" to="4485,9850" stroked="true" strokeweight="1.5pt" strokecolor="#000000">
              <v:stroke dashstyle="longdash"/>
            </v:line>
            <v:line style="position:absolute" from="4461,9295" to="4461,9745" stroked="true" strokeweight="1.5pt" strokecolor="#000000">
              <v:stroke dashstyle="solid"/>
            </v:line>
            <v:line style="position:absolute" from="7951,9262" to="7951,9712" stroked="true" strokeweight="1.5pt" strokecolor="#000000">
              <v:stroke dashstyle="solid"/>
            </v:line>
            <v:shape style="position:absolute;left:4928;top:8911;width:745;height:745" id="docshape27" coordorigin="4928,8912" coordsize="745,745" path="m5301,8912l5225,8919,5156,8941,5092,8975,5037,9021,4992,9076,4957,9139,4936,9209,4928,9284,4936,9359,4957,9429,4992,9492,5037,9548,5092,9593,5156,9627,5225,9649,5301,9657,5376,9649,5445,9627,5509,9593,5564,9548,5609,9492,5644,9429,5665,9359,5673,9284,5665,9209,5644,9139,5609,9076,5564,9021,5509,8975,5445,8941,5376,8919,5301,8912xe" filled="true" fillcolor="#00af50" stroked="false">
              <v:path arrowok="t"/>
              <v:fill type="solid"/>
            </v:shape>
            <v:shape style="position:absolute;left:6420;top:9443;width:1005;height:711" id="docshape28" coordorigin="6420,9443" coordsize="1005,711" path="m6923,9443l6832,9449,6747,9466,6669,9492,6599,9527,6538,9570,6489,9619,6451,9675,6428,9735,6420,9799,6428,9863,6451,9923,6489,9978,6538,10028,6599,10071,6669,10106,6747,10132,6832,10149,6923,10154,7013,10149,7098,10132,7176,10106,7246,10071,7307,10028,7356,9978,7394,9923,7417,9863,7425,9799,7417,9735,7394,9675,7356,9619,7307,9570,7246,9527,7176,9492,7098,9466,7013,9449,6923,9443xe" filled="true" fillcolor="#ff0000" stroked="false">
              <v:path arrowok="t"/>
              <v:fill type="solid"/>
            </v:shape>
            <v:shape style="position:absolute;left:3812;top:9756;width:2422;height:1067" id="docshape29" coordorigin="3812,9757" coordsize="2422,1067" path="m6056,9757l3990,9757,3921,9771,3864,9809,3826,9865,3812,9935,3812,10646,3826,10715,3864,10772,3921,10810,3990,10824,6056,10824,6125,10810,6182,10772,6220,10715,6234,10646,6234,9935,6220,9865,6182,9809,6125,9771,6056,9757xe" filled="true" fillcolor="#5b9bd4" stroked="false">
              <v:path arrowok="t"/>
              <v:fill type="solid"/>
            </v:shape>
            <v:shape style="position:absolute;left:6326;top:10304;width:2303;height:1532" id="docshape30" coordorigin="6326,10304" coordsize="2303,1532" path="m8374,10304l6581,10304,6513,10313,6452,10339,6401,10379,6361,10431,6335,10492,6326,10560,6326,11581,6335,11649,6361,11710,6401,11761,6452,11801,6513,11827,6581,11836,8374,11836,8442,11827,8503,11801,8554,11761,8594,11710,8620,11649,8629,11581,8629,10560,8620,10492,8594,10431,8554,10379,8503,10339,8442,10313,8374,10304xe" filled="true" fillcolor="#a9d18e" stroked="false">
              <v:path arrowok="t"/>
              <v:fill type="solid"/>
            </v:shape>
            <v:shape style="position:absolute;left:6326;top:10304;width:2303;height:1532" id="docshape31" coordorigin="6326,10304" coordsize="2303,1532" path="m6326,10560l6335,10492,6361,10431,6401,10379,6452,10339,6513,10313,6581,10304,8374,10304,8442,10313,8503,10339,8554,10379,8594,10431,8620,10492,8629,10560,8629,11581,8620,11649,8594,11710,8554,11761,8503,11801,8442,11827,8374,11836,6581,11836,6513,11827,6452,11801,6401,11761,6361,11710,6335,11649,6326,11581,6326,10560xe" filled="false" stroked="true" strokeweight="1.5pt" strokecolor="#385622">
              <v:path arrowok="t"/>
              <v:stroke dashstyle="solid"/>
            </v:shape>
            <v:shape style="position:absolute;left:8773;top:9350;width:2932;height:1750" id="docshape32" coordorigin="8773,9351" coordsize="2932,1750" path="m11413,9351l9065,9351,8987,9361,8917,9391,8858,9436,8813,9495,8783,9565,8773,9642,8773,10809,8783,10887,8813,10956,8858,11015,8917,11061,8987,11090,9065,11101,11413,11101,11491,11090,11561,11061,11620,11015,11665,10956,11695,10887,11705,10809,11705,9642,11695,9565,11665,9495,11620,9436,11561,9391,11491,9361,11413,9351xe" filled="true" fillcolor="#fff1cc" stroked="false">
              <v:path arrowok="t"/>
              <v:fill type="solid"/>
            </v:shape>
            <v:shape style="position:absolute;left:8773;top:9350;width:2932;height:1750" id="docshape33" coordorigin="8773,9351" coordsize="2932,1750" path="m8773,9642l8783,9565,8813,9495,8858,9436,8917,9391,8987,9361,9065,9351,11413,9351,11491,9361,11561,9391,11620,9436,11665,9495,11695,9565,11705,9642,11705,10809,11695,10887,11665,10956,11620,11015,11561,11061,11491,11090,11413,11101,9065,11101,8987,11090,8917,11061,8858,11015,8813,10956,8783,10887,8773,10809,8773,9642xe" filled="false" stroked="true" strokeweight="2.25pt" strokecolor="#ffc000">
              <v:path arrowok="t"/>
              <v:stroke dashstyle="solid"/>
            </v:shape>
            <v:shape style="position:absolute;left:8550;top:3202;width:2544;height:1095" id="docshape34" coordorigin="8550,3202" coordsize="2544,1095" path="m10912,3202l8733,3202,8661,3217,8603,3256,8564,3314,8550,3385,8550,4115,8564,4186,8603,4244,8661,4283,8733,4297,10912,4297,10983,4283,11041,4244,11080,4186,11094,4115,11094,3385,11080,3314,11041,3256,10983,3217,10912,3202xe" filled="true" fillcolor="#a9d18e" stroked="false">
              <v:path arrowok="t"/>
              <v:fill type="solid"/>
            </v:shape>
            <v:shape style="position:absolute;left:8550;top:3202;width:2544;height:1095" id="docshape35" coordorigin="8550,3202" coordsize="2544,1095" path="m8550,3385l8564,3314,8603,3256,8661,3217,8733,3202,10912,3202,10983,3217,11041,3256,11080,3314,11094,3385,11094,4115,11080,4186,11041,4244,10983,4283,10912,4297,8733,4297,8661,4283,8603,4244,8564,4186,8550,4115,8550,3385xe" filled="false" stroked="true" strokeweight="1.5pt" strokecolor="#385622">
              <v:path arrowok="t"/>
              <v:stroke dashstyle="solid"/>
            </v:shape>
            <v:shape style="position:absolute;left:8817;top:11322;width:2887;height:1174" id="docshape36" coordorigin="8817,11323" coordsize="2887,1174" path="m11508,11323l9013,11323,8937,11338,8874,11380,8832,11442,8817,11518,8817,12301,8832,12377,8874,12439,8937,12481,9013,12497,11508,12497,11584,12481,11647,12439,11689,12377,11704,12301,11704,11518,11689,11442,11647,11380,11584,11338,11508,11323xe" filled="true" fillcolor="#fff1cc" stroked="false">
              <v:path arrowok="t"/>
              <v:fill type="solid"/>
            </v:shape>
            <v:shape style="position:absolute;left:8817;top:11322;width:2887;height:1174" id="docshape37" coordorigin="8817,11323" coordsize="2887,1174" path="m8817,11518l8832,11442,8874,11380,8937,11338,9013,11323,11508,11323,11584,11338,11647,11380,11689,11442,11704,11518,11704,12301,11689,12377,11647,12439,11584,12481,11508,12497,9013,12497,8937,12481,8874,12439,8832,12377,8817,12301,8817,11518xe" filled="false" stroked="true" strokeweight="2.25pt" strokecolor="#ffc000">
              <v:path arrowok="t"/>
              <v:stroke dashstyle="solid"/>
            </v:shape>
            <w10:wrap type="none"/>
          </v:group>
        </w:pict>
      </w:r>
      <w:r>
        <w:rPr>
          <w:i/>
          <w:sz w:val="16"/>
        </w:rPr>
        <w:t>У</w:t>
      </w:r>
      <w:r>
        <w:rPr>
          <w:i/>
          <w:spacing w:val="-4"/>
          <w:sz w:val="16"/>
        </w:rPr>
        <w:t> </w:t>
      </w:r>
      <w:r>
        <w:rPr>
          <w:i/>
          <w:sz w:val="16"/>
        </w:rPr>
        <w:t>отдельных</w:t>
      </w:r>
      <w:r>
        <w:rPr>
          <w:i/>
          <w:spacing w:val="-4"/>
          <w:sz w:val="16"/>
        </w:rPr>
        <w:t> </w:t>
      </w:r>
      <w:r>
        <w:rPr>
          <w:i/>
          <w:sz w:val="16"/>
        </w:rPr>
        <w:t>пациентов</w:t>
      </w:r>
      <w:r>
        <w:rPr>
          <w:i/>
          <w:spacing w:val="-4"/>
          <w:sz w:val="16"/>
        </w:rPr>
        <w:t> </w:t>
      </w:r>
      <w:r>
        <w:rPr>
          <w:i/>
          <w:sz w:val="16"/>
        </w:rPr>
        <w:t>с</w:t>
      </w:r>
      <w:r>
        <w:rPr>
          <w:i/>
          <w:spacing w:val="-3"/>
          <w:sz w:val="16"/>
        </w:rPr>
        <w:t> </w:t>
      </w:r>
      <w:r>
        <w:rPr>
          <w:i/>
          <w:sz w:val="16"/>
        </w:rPr>
        <w:t>низким</w:t>
      </w:r>
      <w:r>
        <w:rPr>
          <w:i/>
          <w:spacing w:val="-5"/>
          <w:sz w:val="16"/>
        </w:rPr>
        <w:t> </w:t>
      </w:r>
      <w:r>
        <w:rPr>
          <w:i/>
          <w:sz w:val="16"/>
        </w:rPr>
        <w:t>и</w:t>
      </w:r>
      <w:r>
        <w:rPr>
          <w:i/>
          <w:spacing w:val="-4"/>
          <w:sz w:val="16"/>
        </w:rPr>
        <w:t> </w:t>
      </w:r>
      <w:r>
        <w:rPr>
          <w:i/>
          <w:sz w:val="16"/>
        </w:rPr>
        <w:t>средним</w:t>
      </w:r>
      <w:r>
        <w:rPr>
          <w:i/>
          <w:spacing w:val="-4"/>
          <w:sz w:val="16"/>
        </w:rPr>
        <w:t> </w:t>
      </w:r>
      <w:r>
        <w:rPr>
          <w:i/>
          <w:spacing w:val="-2"/>
          <w:sz w:val="16"/>
        </w:rPr>
        <w:t>риском</w:t>
      </w:r>
    </w:p>
    <w:p>
      <w:pPr>
        <w:pStyle w:val="BodyText"/>
        <w:ind w:left="0"/>
        <w:rPr>
          <w:i/>
          <w:sz w:val="18"/>
        </w:rPr>
      </w:pPr>
    </w:p>
    <w:p>
      <w:pPr>
        <w:pStyle w:val="BodyText"/>
        <w:spacing w:before="4"/>
        <w:ind w:left="0"/>
        <w:rPr>
          <w:i/>
          <w:sz w:val="16"/>
        </w:rPr>
      </w:pPr>
    </w:p>
    <w:p>
      <w:pPr>
        <w:spacing w:line="276" w:lineRule="auto" w:before="0"/>
        <w:ind w:left="679" w:right="603" w:firstLine="0"/>
        <w:jc w:val="center"/>
        <w:rPr>
          <w:sz w:val="18"/>
        </w:rPr>
      </w:pPr>
      <w:r>
        <w:rPr>
          <w:b/>
          <w:sz w:val="18"/>
        </w:rPr>
        <w:t>Модификаторы риска </w:t>
      </w:r>
      <w:r>
        <w:rPr>
          <w:sz w:val="18"/>
        </w:rPr>
        <w:t>Визуализация</w:t>
      </w:r>
      <w:r>
        <w:rPr>
          <w:spacing w:val="-12"/>
          <w:sz w:val="18"/>
        </w:rPr>
        <w:t> </w:t>
      </w:r>
      <w:r>
        <w:rPr>
          <w:sz w:val="18"/>
        </w:rPr>
        <w:t>(субклинический </w:t>
      </w:r>
      <w:r>
        <w:rPr>
          <w:spacing w:val="-2"/>
          <w:sz w:val="18"/>
        </w:rPr>
        <w:t>атеросклероз)</w:t>
      </w:r>
      <w:r>
        <w:rPr>
          <w:spacing w:val="40"/>
          <w:sz w:val="18"/>
        </w:rPr>
        <w:t> </w:t>
      </w:r>
      <w:r>
        <w:rPr>
          <w:sz w:val="18"/>
        </w:rPr>
        <w:t>Реклассификация риска?</w:t>
      </w:r>
    </w:p>
    <w:p>
      <w:pPr>
        <w:spacing w:line="240" w:lineRule="auto" w:before="0"/>
        <w:rPr>
          <w:sz w:val="20"/>
        </w:rPr>
      </w:pPr>
      <w:r>
        <w:rPr/>
        <w:br w:type="column"/>
      </w:r>
      <w:r>
        <w:rPr>
          <w:sz w:val="20"/>
        </w:rPr>
      </w:r>
    </w:p>
    <w:p>
      <w:pPr>
        <w:spacing w:before="143"/>
        <w:ind w:left="618" w:right="0" w:firstLine="0"/>
        <w:jc w:val="left"/>
        <w:rPr>
          <w:b/>
          <w:sz w:val="18"/>
        </w:rPr>
      </w:pPr>
      <w:r>
        <w:rPr>
          <w:b/>
          <w:color w:val="FFFFFF"/>
          <w:sz w:val="18"/>
        </w:rPr>
        <w:t>Исходный</w:t>
      </w:r>
      <w:r>
        <w:rPr>
          <w:b/>
          <w:color w:val="FFFFFF"/>
          <w:spacing w:val="-1"/>
          <w:sz w:val="18"/>
        </w:rPr>
        <w:t> </w:t>
      </w:r>
      <w:r>
        <w:rPr>
          <w:b/>
          <w:color w:val="FFFFFF"/>
          <w:sz w:val="18"/>
        </w:rPr>
        <w:t>уровень</w:t>
      </w:r>
      <w:r>
        <w:rPr>
          <w:b/>
          <w:color w:val="FFFFFF"/>
          <w:spacing w:val="-3"/>
          <w:sz w:val="18"/>
        </w:rPr>
        <w:t> </w:t>
      </w:r>
      <w:r>
        <w:rPr>
          <w:b/>
          <w:color w:val="FFFFFF"/>
          <w:sz w:val="18"/>
        </w:rPr>
        <w:t>ХС </w:t>
      </w:r>
      <w:r>
        <w:rPr>
          <w:b/>
          <w:color w:val="FFFFFF"/>
          <w:spacing w:val="-5"/>
          <w:sz w:val="18"/>
        </w:rPr>
        <w:t>ЛНП</w:t>
      </w:r>
    </w:p>
    <w:p>
      <w:pPr>
        <w:pStyle w:val="BodyText"/>
        <w:ind w:left="0"/>
        <w:rPr>
          <w:b/>
          <w:sz w:val="20"/>
        </w:rPr>
      </w:pPr>
    </w:p>
    <w:p>
      <w:pPr>
        <w:pStyle w:val="BodyText"/>
        <w:ind w:left="0"/>
        <w:rPr>
          <w:b/>
          <w:sz w:val="20"/>
        </w:rPr>
      </w:pPr>
    </w:p>
    <w:p>
      <w:pPr>
        <w:pStyle w:val="BodyText"/>
        <w:ind w:left="0"/>
        <w:rPr>
          <w:b/>
          <w:sz w:val="20"/>
        </w:rPr>
      </w:pPr>
    </w:p>
    <w:p>
      <w:pPr>
        <w:pStyle w:val="BodyText"/>
        <w:spacing w:before="7"/>
        <w:ind w:left="0"/>
        <w:rPr>
          <w:b/>
          <w:sz w:val="22"/>
        </w:rPr>
      </w:pPr>
    </w:p>
    <w:p>
      <w:pPr>
        <w:spacing w:line="278" w:lineRule="auto" w:before="0"/>
        <w:ind w:left="971" w:right="2963" w:hanging="864"/>
        <w:jc w:val="left"/>
        <w:rPr>
          <w:b/>
          <w:sz w:val="18"/>
        </w:rPr>
      </w:pPr>
      <w:r>
        <w:rPr>
          <w:b/>
          <w:color w:val="FFFFFF"/>
          <w:sz w:val="18"/>
        </w:rPr>
        <w:t>Показания</w:t>
      </w:r>
      <w:r>
        <w:rPr>
          <w:b/>
          <w:color w:val="FFFFFF"/>
          <w:spacing w:val="-12"/>
          <w:sz w:val="18"/>
        </w:rPr>
        <w:t> </w:t>
      </w:r>
      <w:r>
        <w:rPr>
          <w:b/>
          <w:color w:val="FFFFFF"/>
          <w:sz w:val="18"/>
        </w:rPr>
        <w:t>для</w:t>
      </w:r>
      <w:r>
        <w:rPr>
          <w:b/>
          <w:color w:val="FFFFFF"/>
          <w:spacing w:val="-11"/>
          <w:sz w:val="18"/>
        </w:rPr>
        <w:t> </w:t>
      </w:r>
      <w:r>
        <w:rPr>
          <w:b/>
          <w:color w:val="FFFFFF"/>
          <w:sz w:val="18"/>
        </w:rPr>
        <w:t>лекарственной </w:t>
      </w:r>
      <w:r>
        <w:rPr>
          <w:b/>
          <w:color w:val="FFFFFF"/>
          <w:spacing w:val="-2"/>
          <w:sz w:val="18"/>
        </w:rPr>
        <w:t>терапии?</w:t>
      </w:r>
    </w:p>
    <w:p>
      <w:pPr>
        <w:spacing w:after="0" w:line="278" w:lineRule="auto"/>
        <w:jc w:val="left"/>
        <w:rPr>
          <w:sz w:val="18"/>
        </w:rPr>
        <w:sectPr>
          <w:type w:val="continuous"/>
          <w:pgSz w:w="11910" w:h="16840"/>
          <w:pgMar w:header="0" w:footer="0" w:top="1920" w:bottom="280" w:left="440" w:right="280"/>
          <w:cols w:num="2" w:equalWidth="0">
            <w:col w:w="3704" w:space="1223"/>
            <w:col w:w="6263"/>
          </w:cols>
        </w:sectPr>
      </w:pPr>
    </w:p>
    <w:p>
      <w:pPr>
        <w:pStyle w:val="BodyText"/>
        <w:spacing w:before="4"/>
        <w:ind w:left="0"/>
        <w:rPr>
          <w:b/>
          <w:sz w:val="29"/>
        </w:rPr>
      </w:pPr>
    </w:p>
    <w:p>
      <w:pPr>
        <w:spacing w:line="169" w:lineRule="exact" w:before="94"/>
        <w:ind w:left="1253" w:right="3425" w:firstLine="0"/>
        <w:jc w:val="center"/>
        <w:rPr>
          <w:b/>
          <w:sz w:val="16"/>
        </w:rPr>
      </w:pPr>
      <w:r>
        <w:rPr>
          <w:b/>
          <w:color w:val="FFFFFF"/>
          <w:spacing w:val="-5"/>
          <w:sz w:val="16"/>
        </w:rPr>
        <w:t>Да</w:t>
      </w:r>
    </w:p>
    <w:p>
      <w:pPr>
        <w:spacing w:line="169" w:lineRule="exact" w:before="0"/>
        <w:ind w:left="5048" w:right="130" w:firstLine="0"/>
        <w:jc w:val="center"/>
        <w:rPr>
          <w:b/>
          <w:sz w:val="16"/>
        </w:rPr>
      </w:pPr>
      <w:r>
        <w:rPr>
          <w:b/>
          <w:color w:val="FFFFFF"/>
          <w:spacing w:val="-5"/>
          <w:sz w:val="16"/>
        </w:rPr>
        <w:t>Нет</w:t>
      </w:r>
    </w:p>
    <w:p>
      <w:pPr>
        <w:pStyle w:val="BodyText"/>
        <w:spacing w:before="2"/>
        <w:ind w:left="0"/>
        <w:rPr>
          <w:b/>
          <w:sz w:val="19"/>
        </w:rPr>
      </w:pPr>
    </w:p>
    <w:p>
      <w:pPr>
        <w:spacing w:after="0"/>
        <w:rPr>
          <w:sz w:val="19"/>
        </w:rPr>
        <w:sectPr>
          <w:type w:val="continuous"/>
          <w:pgSz w:w="11910" w:h="16840"/>
          <w:pgMar w:header="0" w:footer="0" w:top="1920" w:bottom="280" w:left="440" w:right="280"/>
        </w:sectPr>
      </w:pPr>
    </w:p>
    <w:p>
      <w:pPr>
        <w:spacing w:before="92"/>
        <w:ind w:left="1372" w:right="201" w:firstLine="0"/>
        <w:jc w:val="center"/>
        <w:rPr>
          <w:b/>
          <w:sz w:val="18"/>
        </w:rPr>
      </w:pPr>
      <w:r>
        <w:rPr>
          <w:b/>
          <w:color w:val="FFFFFF"/>
          <w:sz w:val="18"/>
        </w:rPr>
        <w:t>Определить</w:t>
      </w:r>
      <w:r>
        <w:rPr>
          <w:b/>
          <w:color w:val="FFFFFF"/>
          <w:spacing w:val="-4"/>
          <w:sz w:val="18"/>
        </w:rPr>
        <w:t> </w:t>
      </w:r>
      <w:r>
        <w:rPr>
          <w:b/>
          <w:color w:val="FFFFFF"/>
          <w:sz w:val="18"/>
        </w:rPr>
        <w:t>цели</w:t>
      </w:r>
      <w:r>
        <w:rPr>
          <w:b/>
          <w:color w:val="FFFFFF"/>
          <w:spacing w:val="-4"/>
          <w:sz w:val="18"/>
        </w:rPr>
        <w:t> </w:t>
      </w:r>
      <w:r>
        <w:rPr>
          <w:b/>
          <w:color w:val="FFFFFF"/>
          <w:spacing w:val="-2"/>
          <w:sz w:val="18"/>
        </w:rPr>
        <w:t>лечения</w:t>
      </w:r>
    </w:p>
    <w:p>
      <w:pPr>
        <w:pStyle w:val="BodyText"/>
        <w:ind w:left="0"/>
        <w:rPr>
          <w:b/>
          <w:sz w:val="20"/>
        </w:rPr>
      </w:pPr>
    </w:p>
    <w:p>
      <w:pPr>
        <w:pStyle w:val="BodyText"/>
        <w:ind w:left="0"/>
        <w:rPr>
          <w:b/>
          <w:sz w:val="20"/>
        </w:rPr>
      </w:pPr>
    </w:p>
    <w:p>
      <w:pPr>
        <w:pStyle w:val="BodyText"/>
        <w:spacing w:before="6"/>
        <w:ind w:left="0"/>
        <w:rPr>
          <w:b/>
          <w:sz w:val="26"/>
        </w:rPr>
      </w:pPr>
    </w:p>
    <w:p>
      <w:pPr>
        <w:spacing w:line="276" w:lineRule="auto" w:before="1"/>
        <w:ind w:left="1372" w:right="223" w:firstLine="0"/>
        <w:jc w:val="center"/>
        <w:rPr>
          <w:b/>
          <w:sz w:val="18"/>
        </w:rPr>
      </w:pPr>
      <w:r>
        <w:rPr>
          <w:b/>
          <w:sz w:val="18"/>
        </w:rPr>
        <w:t>Высокоэффективный</w:t>
      </w:r>
      <w:r>
        <w:rPr>
          <w:b/>
          <w:spacing w:val="-12"/>
          <w:sz w:val="18"/>
        </w:rPr>
        <w:t> </w:t>
      </w:r>
      <w:r>
        <w:rPr>
          <w:b/>
          <w:sz w:val="18"/>
        </w:rPr>
        <w:t>статин в максимально</w:t>
      </w:r>
    </w:p>
    <w:p>
      <w:pPr>
        <w:spacing w:line="278" w:lineRule="auto" w:before="0"/>
        <w:ind w:left="1187" w:right="38" w:firstLine="0"/>
        <w:jc w:val="center"/>
        <w:rPr>
          <w:b/>
          <w:sz w:val="18"/>
        </w:rPr>
      </w:pPr>
      <w:r>
        <w:rPr>
          <w:b/>
          <w:sz w:val="18"/>
        </w:rPr>
        <w:t>рекомендуемой/переносимой</w:t>
      </w:r>
      <w:r>
        <w:rPr>
          <w:b/>
          <w:spacing w:val="-12"/>
          <w:sz w:val="18"/>
        </w:rPr>
        <w:t> </w:t>
      </w:r>
      <w:r>
        <w:rPr>
          <w:b/>
          <w:sz w:val="18"/>
        </w:rPr>
        <w:t>дозе для достижения цели</w:t>
      </w:r>
    </w:p>
    <w:p>
      <w:pPr>
        <w:spacing w:line="240" w:lineRule="auto" w:before="8"/>
        <w:rPr>
          <w:b/>
          <w:sz w:val="29"/>
        </w:rPr>
      </w:pPr>
      <w:r>
        <w:rPr/>
        <w:br w:type="column"/>
      </w:r>
      <w:r>
        <w:rPr>
          <w:b/>
          <w:sz w:val="29"/>
        </w:rPr>
      </w:r>
    </w:p>
    <w:p>
      <w:pPr>
        <w:spacing w:line="276" w:lineRule="auto" w:before="1"/>
        <w:ind w:left="1187" w:right="943" w:hanging="3"/>
        <w:jc w:val="center"/>
        <w:rPr>
          <w:b/>
          <w:sz w:val="18"/>
        </w:rPr>
      </w:pPr>
      <w:r>
        <w:rPr>
          <w:b/>
          <w:sz w:val="18"/>
        </w:rPr>
        <w:t>Рекомендации по модификации</w:t>
      </w:r>
      <w:r>
        <w:rPr>
          <w:b/>
          <w:spacing w:val="-12"/>
          <w:sz w:val="18"/>
        </w:rPr>
        <w:t> </w:t>
      </w:r>
      <w:r>
        <w:rPr>
          <w:b/>
          <w:sz w:val="18"/>
        </w:rPr>
        <w:t>образа </w:t>
      </w:r>
      <w:r>
        <w:rPr>
          <w:b/>
          <w:spacing w:val="-2"/>
          <w:sz w:val="18"/>
        </w:rPr>
        <w:t>жизни</w:t>
      </w:r>
    </w:p>
    <w:p>
      <w:pPr>
        <w:spacing w:after="0" w:line="276" w:lineRule="auto"/>
        <w:jc w:val="center"/>
        <w:rPr>
          <w:sz w:val="18"/>
        </w:rPr>
        <w:sectPr>
          <w:type w:val="continuous"/>
          <w:pgSz w:w="11910" w:h="16840"/>
          <w:pgMar w:header="0" w:footer="0" w:top="1920" w:bottom="280" w:left="440" w:right="280"/>
          <w:cols w:num="2" w:equalWidth="0">
            <w:col w:w="3972" w:space="3363"/>
            <w:col w:w="3855"/>
          </w:cols>
        </w:sectPr>
      </w:pPr>
    </w:p>
    <w:p>
      <w:pPr>
        <w:pStyle w:val="BodyText"/>
        <w:ind w:left="0"/>
        <w:rPr>
          <w:b/>
          <w:sz w:val="20"/>
        </w:rPr>
      </w:pPr>
    </w:p>
    <w:p>
      <w:pPr>
        <w:pStyle w:val="BodyText"/>
        <w:ind w:left="0"/>
        <w:rPr>
          <w:b/>
          <w:sz w:val="20"/>
        </w:rPr>
      </w:pPr>
    </w:p>
    <w:p>
      <w:pPr>
        <w:pStyle w:val="BodyText"/>
        <w:spacing w:before="8"/>
        <w:ind w:left="0"/>
        <w:rPr>
          <w:b/>
          <w:sz w:val="22"/>
        </w:rPr>
      </w:pPr>
    </w:p>
    <w:p>
      <w:pPr>
        <w:spacing w:line="278" w:lineRule="auto" w:before="0"/>
        <w:ind w:left="2163" w:right="6661" w:hanging="624"/>
        <w:jc w:val="left"/>
        <w:rPr>
          <w:b/>
          <w:sz w:val="18"/>
        </w:rPr>
      </w:pPr>
      <w:r>
        <w:rPr>
          <w:b/>
          <w:color w:val="FFFFFF"/>
          <w:sz w:val="18"/>
        </w:rPr>
        <w:t>Целевой</w:t>
      </w:r>
      <w:r>
        <w:rPr>
          <w:b/>
          <w:color w:val="FFFFFF"/>
          <w:spacing w:val="-12"/>
          <w:sz w:val="18"/>
        </w:rPr>
        <w:t> </w:t>
      </w:r>
      <w:r>
        <w:rPr>
          <w:b/>
          <w:color w:val="FFFFFF"/>
          <w:sz w:val="18"/>
        </w:rPr>
        <w:t>уровень</w:t>
      </w:r>
      <w:r>
        <w:rPr>
          <w:b/>
          <w:color w:val="FFFFFF"/>
          <w:spacing w:val="-10"/>
          <w:sz w:val="18"/>
        </w:rPr>
        <w:t> </w:t>
      </w:r>
      <w:r>
        <w:rPr>
          <w:b/>
          <w:color w:val="FFFFFF"/>
          <w:sz w:val="18"/>
        </w:rPr>
        <w:t>ХС</w:t>
      </w:r>
      <w:r>
        <w:rPr>
          <w:b/>
          <w:color w:val="FFFFFF"/>
          <w:spacing w:val="-12"/>
          <w:sz w:val="18"/>
        </w:rPr>
        <w:t> </w:t>
      </w:r>
      <w:r>
        <w:rPr>
          <w:b/>
          <w:color w:val="FFFFFF"/>
          <w:sz w:val="18"/>
        </w:rPr>
        <w:t>ЛНП </w:t>
      </w:r>
      <w:r>
        <w:rPr>
          <w:b/>
          <w:color w:val="FFFFFF"/>
          <w:spacing w:val="-2"/>
          <w:sz w:val="18"/>
        </w:rPr>
        <w:t>достигнут?</w:t>
      </w:r>
    </w:p>
    <w:p>
      <w:pPr>
        <w:pStyle w:val="BodyText"/>
        <w:ind w:left="0"/>
        <w:rPr>
          <w:b/>
          <w:sz w:val="20"/>
        </w:rPr>
      </w:pPr>
    </w:p>
    <w:p>
      <w:pPr>
        <w:pStyle w:val="BodyText"/>
        <w:spacing w:before="7"/>
        <w:ind w:left="0"/>
        <w:rPr>
          <w:b/>
          <w:sz w:val="19"/>
        </w:rPr>
      </w:pPr>
    </w:p>
    <w:p>
      <w:pPr>
        <w:tabs>
          <w:tab w:pos="4443" w:val="left" w:leader="none"/>
        </w:tabs>
        <w:spacing w:before="0"/>
        <w:ind w:left="1230" w:right="0" w:firstLine="0"/>
        <w:jc w:val="left"/>
        <w:rPr>
          <w:b/>
          <w:sz w:val="18"/>
        </w:rPr>
      </w:pPr>
      <w:r>
        <w:rPr>
          <w:b/>
          <w:color w:val="FFFFFF"/>
          <w:spacing w:val="-5"/>
          <w:position w:val="1"/>
          <w:sz w:val="18"/>
        </w:rPr>
        <w:t>Да</w:t>
      </w:r>
      <w:r>
        <w:rPr>
          <w:b/>
          <w:color w:val="FFFFFF"/>
          <w:position w:val="1"/>
          <w:sz w:val="18"/>
        </w:rPr>
        <w:tab/>
      </w:r>
      <w:r>
        <w:rPr>
          <w:b/>
          <w:color w:val="FFFFFF"/>
          <w:spacing w:val="-5"/>
          <w:sz w:val="18"/>
        </w:rPr>
        <w:t>Нет</w:t>
      </w:r>
    </w:p>
    <w:p>
      <w:pPr>
        <w:pStyle w:val="BodyText"/>
        <w:ind w:left="0"/>
        <w:rPr>
          <w:b/>
          <w:sz w:val="20"/>
        </w:rPr>
      </w:pPr>
    </w:p>
    <w:p>
      <w:pPr>
        <w:spacing w:after="0"/>
        <w:rPr>
          <w:sz w:val="20"/>
        </w:rPr>
        <w:sectPr>
          <w:type w:val="continuous"/>
          <w:pgSz w:w="11910" w:h="16840"/>
          <w:pgMar w:header="0" w:footer="0" w:top="1920" w:bottom="280" w:left="440" w:right="280"/>
        </w:sectPr>
      </w:pPr>
    </w:p>
    <w:p>
      <w:pPr>
        <w:pStyle w:val="BodyText"/>
        <w:spacing w:before="9"/>
        <w:ind w:left="0"/>
        <w:rPr>
          <w:b/>
          <w:sz w:val="23"/>
        </w:rPr>
      </w:pPr>
    </w:p>
    <w:p>
      <w:pPr>
        <w:spacing w:line="276" w:lineRule="auto" w:before="0"/>
        <w:ind w:left="246" w:right="0" w:firstLine="472"/>
        <w:jc w:val="left"/>
        <w:rPr>
          <w:b/>
          <w:sz w:val="18"/>
        </w:rPr>
      </w:pPr>
      <w:r>
        <w:rPr>
          <w:b/>
          <w:color w:val="FFFFFF"/>
          <w:spacing w:val="-2"/>
          <w:sz w:val="18"/>
        </w:rPr>
        <w:t>Наблюдение </w:t>
      </w:r>
      <w:r>
        <w:rPr>
          <w:b/>
          <w:color w:val="FFFFFF"/>
          <w:sz w:val="18"/>
        </w:rPr>
        <w:t>Ежегодно</w:t>
      </w:r>
      <w:r>
        <w:rPr>
          <w:b/>
          <w:color w:val="FFFFFF"/>
          <w:spacing w:val="-12"/>
          <w:sz w:val="18"/>
        </w:rPr>
        <w:t> </w:t>
      </w:r>
      <w:r>
        <w:rPr>
          <w:b/>
          <w:color w:val="FFFFFF"/>
          <w:sz w:val="18"/>
        </w:rPr>
        <w:t>или</w:t>
      </w:r>
      <w:r>
        <w:rPr>
          <w:b/>
          <w:color w:val="FFFFFF"/>
          <w:spacing w:val="-11"/>
          <w:sz w:val="18"/>
        </w:rPr>
        <w:t> </w:t>
      </w:r>
      <w:r>
        <w:rPr>
          <w:b/>
          <w:color w:val="FFFFFF"/>
          <w:sz w:val="18"/>
        </w:rPr>
        <w:t>чаще</w:t>
      </w:r>
      <w:r>
        <w:rPr>
          <w:b/>
          <w:color w:val="FFFFFF"/>
          <w:spacing w:val="-11"/>
          <w:sz w:val="18"/>
        </w:rPr>
        <w:t> </w:t>
      </w:r>
      <w:r>
        <w:rPr>
          <w:b/>
          <w:color w:val="FFFFFF"/>
          <w:sz w:val="18"/>
        </w:rPr>
        <w:t>при</w:t>
      </w:r>
    </w:p>
    <w:p>
      <w:pPr>
        <w:spacing w:line="206" w:lineRule="exact" w:before="0"/>
        <w:ind w:left="421" w:right="0" w:firstLine="0"/>
        <w:jc w:val="left"/>
        <w:rPr>
          <w:b/>
          <w:sz w:val="18"/>
        </w:rPr>
      </w:pPr>
      <w:r>
        <w:rPr>
          <w:b/>
          <w:color w:val="FFFFFF"/>
          <w:sz w:val="18"/>
        </w:rPr>
        <w:t>наличии</w:t>
      </w:r>
      <w:r>
        <w:rPr>
          <w:b/>
          <w:color w:val="FFFFFF"/>
          <w:spacing w:val="-6"/>
          <w:sz w:val="18"/>
        </w:rPr>
        <w:t> </w:t>
      </w:r>
      <w:r>
        <w:rPr>
          <w:b/>
          <w:color w:val="FFFFFF"/>
          <w:spacing w:val="-2"/>
          <w:sz w:val="18"/>
        </w:rPr>
        <w:t>показаний</w:t>
      </w:r>
    </w:p>
    <w:p>
      <w:pPr>
        <w:spacing w:line="240" w:lineRule="auto" w:before="9"/>
        <w:rPr>
          <w:b/>
          <w:sz w:val="18"/>
        </w:rPr>
      </w:pPr>
      <w:r>
        <w:rPr/>
        <w:br w:type="column"/>
      </w:r>
      <w:r>
        <w:rPr>
          <w:b/>
          <w:sz w:val="18"/>
        </w:rPr>
      </w:r>
    </w:p>
    <w:p>
      <w:pPr>
        <w:spacing w:before="0"/>
        <w:ind w:left="464" w:right="0" w:firstLine="0"/>
        <w:jc w:val="left"/>
        <w:rPr>
          <w:b/>
          <w:sz w:val="18"/>
        </w:rPr>
      </w:pPr>
      <w:r>
        <w:rPr>
          <w:b/>
          <w:sz w:val="18"/>
        </w:rPr>
        <w:t>Добавить</w:t>
      </w:r>
      <w:r>
        <w:rPr>
          <w:b/>
          <w:spacing w:val="-2"/>
          <w:sz w:val="18"/>
        </w:rPr>
        <w:t> эзетимиб</w:t>
      </w:r>
    </w:p>
    <w:p>
      <w:pPr>
        <w:pStyle w:val="BodyText"/>
        <w:ind w:left="0"/>
        <w:rPr>
          <w:b/>
          <w:sz w:val="20"/>
        </w:rPr>
      </w:pPr>
    </w:p>
    <w:p>
      <w:pPr>
        <w:pStyle w:val="BodyText"/>
        <w:ind w:left="0"/>
        <w:rPr>
          <w:b/>
          <w:sz w:val="20"/>
        </w:rPr>
      </w:pPr>
    </w:p>
    <w:p>
      <w:pPr>
        <w:pStyle w:val="BodyText"/>
        <w:ind w:left="0"/>
        <w:rPr>
          <w:b/>
          <w:sz w:val="19"/>
        </w:rPr>
      </w:pPr>
    </w:p>
    <w:p>
      <w:pPr>
        <w:spacing w:line="278" w:lineRule="auto" w:before="0"/>
        <w:ind w:left="870" w:right="3981" w:hanging="624"/>
        <w:jc w:val="left"/>
        <w:rPr>
          <w:b/>
          <w:sz w:val="18"/>
        </w:rPr>
      </w:pPr>
      <w:r>
        <w:rPr>
          <w:b/>
          <w:color w:val="FFFFFF"/>
          <w:sz w:val="18"/>
        </w:rPr>
        <w:t>Целевой</w:t>
      </w:r>
      <w:r>
        <w:rPr>
          <w:b/>
          <w:color w:val="FFFFFF"/>
          <w:spacing w:val="-11"/>
          <w:sz w:val="18"/>
        </w:rPr>
        <w:t> </w:t>
      </w:r>
      <w:r>
        <w:rPr>
          <w:b/>
          <w:color w:val="FFFFFF"/>
          <w:sz w:val="18"/>
        </w:rPr>
        <w:t>уровень</w:t>
      </w:r>
      <w:r>
        <w:rPr>
          <w:b/>
          <w:color w:val="FFFFFF"/>
          <w:spacing w:val="-11"/>
          <w:sz w:val="18"/>
        </w:rPr>
        <w:t> </w:t>
      </w:r>
      <w:r>
        <w:rPr>
          <w:b/>
          <w:color w:val="FFFFFF"/>
          <w:sz w:val="18"/>
        </w:rPr>
        <w:t>ХС</w:t>
      </w:r>
      <w:r>
        <w:rPr>
          <w:b/>
          <w:color w:val="FFFFFF"/>
          <w:spacing w:val="-11"/>
          <w:sz w:val="18"/>
        </w:rPr>
        <w:t> </w:t>
      </w:r>
      <w:r>
        <w:rPr>
          <w:b/>
          <w:color w:val="FFFFFF"/>
          <w:sz w:val="18"/>
        </w:rPr>
        <w:t>ЛНП </w:t>
      </w:r>
      <w:r>
        <w:rPr>
          <w:b/>
          <w:color w:val="FFFFFF"/>
          <w:spacing w:val="-2"/>
          <w:sz w:val="18"/>
        </w:rPr>
        <w:t>достигнут?</w:t>
      </w:r>
    </w:p>
    <w:p>
      <w:pPr>
        <w:spacing w:after="0" w:line="278" w:lineRule="auto"/>
        <w:jc w:val="left"/>
        <w:rPr>
          <w:sz w:val="18"/>
        </w:rPr>
        <w:sectPr>
          <w:type w:val="continuous"/>
          <w:pgSz w:w="11910" w:h="16840"/>
          <w:pgMar w:header="0" w:footer="0" w:top="1920" w:bottom="280" w:left="440" w:right="280"/>
          <w:cols w:num="2" w:equalWidth="0">
            <w:col w:w="2248" w:space="1724"/>
            <w:col w:w="7218"/>
          </w:cols>
        </w:sectPr>
      </w:pPr>
    </w:p>
    <w:p>
      <w:pPr>
        <w:pStyle w:val="BodyText"/>
        <w:ind w:left="0"/>
        <w:rPr>
          <w:b/>
          <w:sz w:val="20"/>
        </w:rPr>
      </w:pPr>
    </w:p>
    <w:p>
      <w:pPr>
        <w:spacing w:after="0"/>
        <w:rPr>
          <w:sz w:val="20"/>
        </w:rPr>
        <w:sectPr>
          <w:type w:val="continuous"/>
          <w:pgSz w:w="11910" w:h="16840"/>
          <w:pgMar w:header="0" w:footer="0" w:top="1920" w:bottom="280" w:left="440" w:right="280"/>
        </w:sectPr>
      </w:pPr>
    </w:p>
    <w:p>
      <w:pPr>
        <w:pStyle w:val="BodyText"/>
        <w:spacing w:before="9"/>
        <w:ind w:left="0"/>
        <w:rPr>
          <w:b/>
          <w:sz w:val="19"/>
        </w:rPr>
      </w:pPr>
    </w:p>
    <w:p>
      <w:pPr>
        <w:spacing w:before="1"/>
        <w:ind w:left="0" w:right="591" w:firstLine="0"/>
        <w:jc w:val="right"/>
        <w:rPr>
          <w:b/>
          <w:sz w:val="18"/>
        </w:rPr>
      </w:pPr>
      <w:r>
        <w:rPr>
          <w:b/>
          <w:color w:val="FFFFFF"/>
          <w:spacing w:val="-5"/>
          <w:sz w:val="18"/>
        </w:rPr>
        <w:t>Да</w:t>
      </w:r>
    </w:p>
    <w:p>
      <w:pPr>
        <w:pStyle w:val="BodyText"/>
        <w:ind w:left="0"/>
        <w:rPr>
          <w:b/>
          <w:sz w:val="20"/>
        </w:rPr>
      </w:pPr>
    </w:p>
    <w:p>
      <w:pPr>
        <w:pStyle w:val="BodyText"/>
        <w:spacing w:before="9"/>
        <w:ind w:left="0"/>
        <w:rPr>
          <w:b/>
          <w:sz w:val="28"/>
        </w:rPr>
      </w:pPr>
    </w:p>
    <w:p>
      <w:pPr>
        <w:spacing w:line="276" w:lineRule="auto" w:before="0"/>
        <w:ind w:left="3601" w:right="0" w:firstLine="472"/>
        <w:jc w:val="left"/>
        <w:rPr>
          <w:b/>
          <w:sz w:val="18"/>
        </w:rPr>
      </w:pPr>
      <w:r>
        <w:rPr>
          <w:b/>
          <w:color w:val="FFFFFF"/>
          <w:spacing w:val="-2"/>
          <w:sz w:val="18"/>
        </w:rPr>
        <w:t>Наблюдение </w:t>
      </w:r>
      <w:r>
        <w:rPr>
          <w:b/>
          <w:color w:val="FFFFFF"/>
          <w:sz w:val="18"/>
        </w:rPr>
        <w:t>Ежегодно</w:t>
      </w:r>
      <w:r>
        <w:rPr>
          <w:b/>
          <w:color w:val="FFFFFF"/>
          <w:spacing w:val="-12"/>
          <w:sz w:val="18"/>
        </w:rPr>
        <w:t> </w:t>
      </w:r>
      <w:r>
        <w:rPr>
          <w:b/>
          <w:color w:val="FFFFFF"/>
          <w:sz w:val="18"/>
        </w:rPr>
        <w:t>или</w:t>
      </w:r>
      <w:r>
        <w:rPr>
          <w:b/>
          <w:color w:val="FFFFFF"/>
          <w:spacing w:val="-11"/>
          <w:sz w:val="18"/>
        </w:rPr>
        <w:t> </w:t>
      </w:r>
      <w:r>
        <w:rPr>
          <w:b/>
          <w:color w:val="FFFFFF"/>
          <w:sz w:val="18"/>
        </w:rPr>
        <w:t>чаще</w:t>
      </w:r>
      <w:r>
        <w:rPr>
          <w:b/>
          <w:color w:val="FFFFFF"/>
          <w:spacing w:val="-11"/>
          <w:sz w:val="18"/>
        </w:rPr>
        <w:t> </w:t>
      </w:r>
      <w:r>
        <w:rPr>
          <w:b/>
          <w:color w:val="FFFFFF"/>
          <w:sz w:val="18"/>
        </w:rPr>
        <w:t>при</w:t>
      </w:r>
    </w:p>
    <w:p>
      <w:pPr>
        <w:spacing w:line="240" w:lineRule="auto" w:before="0"/>
        <w:rPr>
          <w:b/>
          <w:sz w:val="20"/>
        </w:rPr>
      </w:pPr>
      <w:r>
        <w:rPr/>
        <w:br w:type="column"/>
      </w:r>
      <w:r>
        <w:rPr>
          <w:b/>
          <w:sz w:val="20"/>
        </w:rPr>
      </w:r>
    </w:p>
    <w:p>
      <w:pPr>
        <w:pStyle w:val="BodyText"/>
        <w:ind w:left="0"/>
        <w:rPr>
          <w:b/>
          <w:sz w:val="20"/>
        </w:rPr>
      </w:pPr>
    </w:p>
    <w:p>
      <w:pPr>
        <w:pStyle w:val="BodyText"/>
        <w:spacing w:before="6"/>
        <w:ind w:left="0"/>
        <w:rPr>
          <w:b/>
        </w:rPr>
      </w:pPr>
    </w:p>
    <w:p>
      <w:pPr>
        <w:spacing w:before="0"/>
        <w:ind w:left="0" w:right="0" w:firstLine="0"/>
        <w:jc w:val="right"/>
        <w:rPr>
          <w:b/>
          <w:sz w:val="18"/>
        </w:rPr>
      </w:pPr>
      <w:r>
        <w:rPr>
          <w:b/>
          <w:color w:val="FFFFFF"/>
          <w:spacing w:val="-5"/>
          <w:sz w:val="18"/>
        </w:rPr>
        <w:t>Нет</w:t>
      </w:r>
    </w:p>
    <w:p>
      <w:pPr>
        <w:spacing w:line="240" w:lineRule="auto" w:before="0"/>
        <w:rPr>
          <w:b/>
          <w:sz w:val="20"/>
        </w:rPr>
      </w:pPr>
      <w:r>
        <w:rPr/>
        <w:br w:type="column"/>
      </w:r>
      <w:r>
        <w:rPr>
          <w:b/>
          <w:sz w:val="20"/>
        </w:rPr>
      </w:r>
    </w:p>
    <w:p>
      <w:pPr>
        <w:pStyle w:val="BodyText"/>
        <w:ind w:left="0"/>
        <w:rPr>
          <w:b/>
          <w:sz w:val="20"/>
        </w:rPr>
      </w:pPr>
    </w:p>
    <w:p>
      <w:pPr>
        <w:pStyle w:val="ListParagraph"/>
        <w:numPr>
          <w:ilvl w:val="0"/>
          <w:numId w:val="30"/>
        </w:numPr>
        <w:tabs>
          <w:tab w:pos="2051" w:val="left" w:leader="none"/>
          <w:tab w:pos="2052" w:val="left" w:leader="none"/>
        </w:tabs>
        <w:spacing w:line="256" w:lineRule="auto" w:before="146" w:after="0"/>
        <w:ind w:left="2051" w:right="502" w:hanging="284"/>
        <w:jc w:val="left"/>
        <w:rPr>
          <w:sz w:val="18"/>
        </w:rPr>
      </w:pPr>
      <w:r>
        <w:rPr>
          <w:sz w:val="18"/>
        </w:rPr>
        <w:t>Вторичная</w:t>
      </w:r>
      <w:r>
        <w:rPr>
          <w:spacing w:val="-12"/>
          <w:sz w:val="18"/>
        </w:rPr>
        <w:t> </w:t>
      </w:r>
      <w:r>
        <w:rPr>
          <w:sz w:val="18"/>
        </w:rPr>
        <w:t>профилактика (очень высокий риск)</w:t>
      </w:r>
    </w:p>
    <w:p>
      <w:pPr>
        <w:pStyle w:val="ListParagraph"/>
        <w:numPr>
          <w:ilvl w:val="0"/>
          <w:numId w:val="30"/>
        </w:numPr>
        <w:tabs>
          <w:tab w:pos="2051" w:val="left" w:leader="none"/>
          <w:tab w:pos="2052" w:val="left" w:leader="none"/>
        </w:tabs>
        <w:spacing w:line="259" w:lineRule="auto" w:before="0" w:after="0"/>
        <w:ind w:left="2051" w:right="446" w:hanging="284"/>
        <w:jc w:val="left"/>
        <w:rPr>
          <w:sz w:val="18"/>
        </w:rPr>
      </w:pPr>
      <w:r>
        <w:rPr>
          <w:sz w:val="18"/>
        </w:rPr>
        <w:t>Первичная</w:t>
      </w:r>
      <w:r>
        <w:rPr>
          <w:spacing w:val="-12"/>
          <w:sz w:val="18"/>
        </w:rPr>
        <w:t> </w:t>
      </w:r>
      <w:r>
        <w:rPr>
          <w:sz w:val="18"/>
        </w:rPr>
        <w:t>профилактика: пациенты с СГХС или</w:t>
      </w:r>
    </w:p>
    <w:p>
      <w:pPr>
        <w:spacing w:after="0" w:line="259" w:lineRule="auto"/>
        <w:jc w:val="left"/>
        <w:rPr>
          <w:sz w:val="18"/>
        </w:rPr>
        <w:sectPr>
          <w:type w:val="continuous"/>
          <w:pgSz w:w="11910" w:h="16840"/>
          <w:pgMar w:header="0" w:footer="0" w:top="1920" w:bottom="280" w:left="440" w:right="280"/>
          <w:cols w:num="3" w:equalWidth="0">
            <w:col w:w="5563" w:space="40"/>
            <w:col w:w="1032" w:space="39"/>
            <w:col w:w="4516"/>
          </w:cols>
        </w:sectPr>
      </w:pPr>
    </w:p>
    <w:p>
      <w:pPr>
        <w:tabs>
          <w:tab w:pos="6254" w:val="left" w:leader="none"/>
        </w:tabs>
        <w:spacing w:line="165" w:lineRule="auto" w:before="0"/>
        <w:ind w:left="3384" w:right="0" w:firstLine="0"/>
        <w:jc w:val="center"/>
        <w:rPr>
          <w:b/>
          <w:sz w:val="18"/>
        </w:rPr>
      </w:pPr>
      <w:r>
        <w:rPr>
          <w:b/>
          <w:color w:val="FFFFFF"/>
          <w:sz w:val="18"/>
        </w:rPr>
        <w:t>наличии</w:t>
      </w:r>
      <w:r>
        <w:rPr>
          <w:b/>
          <w:color w:val="FFFFFF"/>
          <w:spacing w:val="-6"/>
          <w:sz w:val="18"/>
        </w:rPr>
        <w:t> </w:t>
      </w:r>
      <w:r>
        <w:rPr>
          <w:b/>
          <w:color w:val="FFFFFF"/>
          <w:spacing w:val="-2"/>
          <w:sz w:val="18"/>
        </w:rPr>
        <w:t>показаний</w:t>
      </w:r>
      <w:r>
        <w:rPr>
          <w:b/>
          <w:color w:val="FFFFFF"/>
          <w:sz w:val="18"/>
        </w:rPr>
        <w:tab/>
      </w:r>
      <w:r>
        <w:rPr>
          <w:b/>
          <w:spacing w:val="-2"/>
          <w:position w:val="-5"/>
          <w:sz w:val="18"/>
        </w:rPr>
        <w:t>Добавить</w:t>
      </w:r>
    </w:p>
    <w:p>
      <w:pPr>
        <w:spacing w:line="276" w:lineRule="auto" w:before="38"/>
        <w:ind w:left="6256" w:right="0" w:hanging="1"/>
        <w:jc w:val="center"/>
        <w:rPr>
          <w:sz w:val="24"/>
        </w:rPr>
      </w:pPr>
      <w:r>
        <w:rPr>
          <w:b/>
          <w:spacing w:val="-2"/>
          <w:sz w:val="18"/>
        </w:rPr>
        <w:t>алирокумаб</w:t>
      </w:r>
      <w:r>
        <w:rPr>
          <w:spacing w:val="-2"/>
          <w:sz w:val="24"/>
        </w:rPr>
        <w:t>**, </w:t>
      </w:r>
      <w:r>
        <w:rPr>
          <w:b/>
          <w:sz w:val="18"/>
        </w:rPr>
        <w:t>эволокумаб</w:t>
      </w:r>
      <w:r>
        <w:rPr>
          <w:sz w:val="24"/>
        </w:rPr>
        <w:t>**</w:t>
      </w:r>
      <w:r>
        <w:rPr>
          <w:spacing w:val="-15"/>
          <w:sz w:val="24"/>
        </w:rPr>
        <w:t> </w:t>
      </w:r>
      <w:r>
        <w:rPr>
          <w:b/>
          <w:sz w:val="18"/>
        </w:rPr>
        <w:t>или </w:t>
      </w:r>
      <w:r>
        <w:rPr>
          <w:b/>
          <w:spacing w:val="-2"/>
          <w:sz w:val="18"/>
        </w:rPr>
        <w:t>инклисиран</w:t>
      </w:r>
      <w:r>
        <w:rPr>
          <w:spacing w:val="-2"/>
          <w:sz w:val="24"/>
        </w:rPr>
        <w:t>**</w:t>
      </w:r>
    </w:p>
    <w:p>
      <w:pPr>
        <w:spacing w:line="261" w:lineRule="auto" w:before="1"/>
        <w:ind w:left="866" w:right="23" w:hanging="1"/>
        <w:jc w:val="left"/>
        <w:rPr>
          <w:sz w:val="18"/>
        </w:rPr>
      </w:pPr>
      <w:r>
        <w:rPr/>
        <w:br w:type="column"/>
      </w:r>
      <w:r>
        <w:rPr>
          <w:sz w:val="18"/>
        </w:rPr>
        <w:t>другим</w:t>
      </w:r>
      <w:r>
        <w:rPr>
          <w:spacing w:val="-12"/>
          <w:sz w:val="18"/>
        </w:rPr>
        <w:t> </w:t>
      </w:r>
      <w:r>
        <w:rPr>
          <w:sz w:val="18"/>
        </w:rPr>
        <w:t>главным</w:t>
      </w:r>
      <w:r>
        <w:rPr>
          <w:spacing w:val="-11"/>
          <w:sz w:val="18"/>
        </w:rPr>
        <w:t> </w:t>
      </w:r>
      <w:r>
        <w:rPr>
          <w:sz w:val="18"/>
        </w:rPr>
        <w:t>фактором риска (высокий риск)</w:t>
      </w:r>
    </w:p>
    <w:p>
      <w:pPr>
        <w:pStyle w:val="BodyText"/>
        <w:ind w:left="0"/>
        <w:rPr>
          <w:sz w:val="20"/>
        </w:rPr>
      </w:pPr>
    </w:p>
    <w:p>
      <w:pPr>
        <w:pStyle w:val="BodyText"/>
        <w:ind w:left="0"/>
        <w:rPr>
          <w:sz w:val="20"/>
        </w:rPr>
      </w:pPr>
    </w:p>
    <w:p>
      <w:pPr>
        <w:pStyle w:val="BodyText"/>
        <w:spacing w:before="11"/>
        <w:ind w:left="0"/>
        <w:rPr>
          <w:sz w:val="16"/>
        </w:rPr>
      </w:pPr>
    </w:p>
    <w:p>
      <w:pPr>
        <w:pStyle w:val="ListParagraph"/>
        <w:numPr>
          <w:ilvl w:val="0"/>
          <w:numId w:val="31"/>
        </w:numPr>
        <w:tabs>
          <w:tab w:pos="883" w:val="left" w:leader="none"/>
          <w:tab w:pos="884" w:val="left" w:leader="none"/>
        </w:tabs>
        <w:spacing w:line="259" w:lineRule="auto" w:before="0" w:after="0"/>
        <w:ind w:left="883" w:right="180" w:hanging="284"/>
        <w:jc w:val="left"/>
        <w:rPr>
          <w:sz w:val="18"/>
        </w:rPr>
      </w:pPr>
      <w:r>
        <w:rPr/>
        <w:pict>
          <v:group style="position:absolute;margin-left:315.55011pt;margin-top:19.244741pt;width:114.4pt;height:91.6pt;mso-position-horizontal-relative:page;mso-position-vertical-relative:paragraph;z-index:15731712" id="docshapegroup38" coordorigin="6311,385" coordsize="2288,1832">
            <v:shape style="position:absolute;left:6326;top:399;width:2258;height:1802" id="docshape39" coordorigin="6326,400" coordsize="2258,1802" path="m8284,400l6626,400,6557,408,6494,430,6438,466,6392,512,6357,568,6334,631,6326,700,6326,1902,6334,1970,6357,2034,6392,2089,6438,2136,6494,2171,6557,2194,6626,2202,8284,2202,8353,2194,8416,2171,8472,2136,8518,2089,8553,2034,8576,1970,8584,1902,8584,700,8576,631,8553,568,8518,512,8472,466,8416,430,8353,408,8284,400xe" filled="true" fillcolor="#a9d18e" stroked="false">
              <v:path arrowok="t"/>
              <v:fill type="solid"/>
            </v:shape>
            <v:shape style="position:absolute;left:6326;top:399;width:2258;height:1802" id="docshape40" coordorigin="6326,400" coordsize="2258,1802" path="m6326,700l6334,631,6357,568,6392,512,6438,466,6494,430,6557,408,6626,400,8284,400,8353,408,8416,430,8472,466,8518,512,8553,568,8576,631,8584,700,8584,1902,8576,1970,8553,2034,8518,2089,8472,2136,8416,2171,8353,2194,8284,2202,6626,2202,6557,2194,6494,2171,6438,2136,6392,2089,6357,2034,6334,1970,6326,1902,6326,700xe" filled="false" stroked="true" strokeweight="1.5pt" strokecolor="#385622">
              <v:path arrowok="t"/>
              <v:stroke dashstyle="solid"/>
            </v:shape>
            <v:shape style="position:absolute;left:6311;top:384;width:2288;height:1832" type="#_x0000_t202" id="docshape41" filled="false" stroked="false">
              <v:textbox inset="0,0,0,0">
                <w:txbxContent>
                  <w:p>
                    <w:pPr>
                      <w:spacing w:line="240" w:lineRule="auto" w:before="6"/>
                      <w:rPr>
                        <w:rFonts w:ascii="Calibri"/>
                        <w:sz w:val="15"/>
                      </w:rPr>
                    </w:pPr>
                  </w:p>
                  <w:p>
                    <w:pPr>
                      <w:spacing w:line="276" w:lineRule="auto" w:before="0"/>
                      <w:ind w:left="317" w:right="316" w:hanging="2"/>
                      <w:jc w:val="center"/>
                      <w:rPr>
                        <w:b/>
                        <w:sz w:val="18"/>
                      </w:rPr>
                    </w:pPr>
                    <w:r>
                      <w:rPr>
                        <w:b/>
                        <w:spacing w:val="-2"/>
                        <w:sz w:val="18"/>
                      </w:rPr>
                      <w:t>Рассмотреть добавление алирокумаба</w:t>
                    </w:r>
                    <w:r>
                      <w:rPr>
                        <w:spacing w:val="-2"/>
                        <w:sz w:val="24"/>
                      </w:rPr>
                      <w:t>**, </w:t>
                    </w:r>
                    <w:r>
                      <w:rPr>
                        <w:b/>
                        <w:sz w:val="18"/>
                      </w:rPr>
                      <w:t>эволокумаба</w:t>
                    </w:r>
                    <w:r>
                      <w:rPr>
                        <w:sz w:val="24"/>
                      </w:rPr>
                      <w:t>**</w:t>
                    </w:r>
                    <w:r>
                      <w:rPr>
                        <w:spacing w:val="-15"/>
                        <w:sz w:val="24"/>
                      </w:rPr>
                      <w:t> </w:t>
                    </w:r>
                    <w:r>
                      <w:rPr>
                        <w:b/>
                        <w:sz w:val="18"/>
                      </w:rPr>
                      <w:t>или </w:t>
                    </w:r>
                    <w:r>
                      <w:rPr>
                        <w:b/>
                        <w:spacing w:val="-2"/>
                        <w:sz w:val="18"/>
                      </w:rPr>
                      <w:t>инклисирана**</w:t>
                    </w:r>
                  </w:p>
                </w:txbxContent>
              </v:textbox>
              <w10:wrap type="none"/>
            </v:shape>
            <w10:wrap type="none"/>
          </v:group>
        </w:pict>
      </w:r>
      <w:r>
        <w:rPr>
          <w:sz w:val="18"/>
        </w:rPr>
        <w:t>Первичная профилактика: пациенты</w:t>
      </w:r>
      <w:r>
        <w:rPr>
          <w:spacing w:val="-12"/>
          <w:sz w:val="18"/>
        </w:rPr>
        <w:t> </w:t>
      </w:r>
      <w:r>
        <w:rPr>
          <w:sz w:val="18"/>
        </w:rPr>
        <w:t>высокого</w:t>
      </w:r>
      <w:r>
        <w:rPr>
          <w:spacing w:val="-11"/>
          <w:sz w:val="18"/>
        </w:rPr>
        <w:t> </w:t>
      </w:r>
      <w:r>
        <w:rPr>
          <w:sz w:val="18"/>
        </w:rPr>
        <w:t>риска,</w:t>
      </w:r>
      <w:r>
        <w:rPr>
          <w:spacing w:val="-11"/>
          <w:sz w:val="18"/>
        </w:rPr>
        <w:t> </w:t>
      </w:r>
      <w:r>
        <w:rPr>
          <w:sz w:val="18"/>
        </w:rPr>
        <w:t>но без СГХС</w:t>
      </w:r>
    </w:p>
    <w:p>
      <w:pPr>
        <w:spacing w:after="0" w:line="259" w:lineRule="auto"/>
        <w:jc w:val="left"/>
        <w:rPr>
          <w:sz w:val="18"/>
        </w:rPr>
        <w:sectPr>
          <w:type w:val="continuous"/>
          <w:pgSz w:w="11910" w:h="16840"/>
          <w:pgMar w:header="0" w:footer="0" w:top="1920" w:bottom="280" w:left="440" w:right="280"/>
          <w:cols w:num="2" w:equalWidth="0">
            <w:col w:w="7819" w:space="40"/>
            <w:col w:w="3331"/>
          </w:cols>
        </w:sectPr>
      </w:pPr>
    </w:p>
    <w:p>
      <w:pPr>
        <w:pStyle w:val="BodyText"/>
        <w:ind w:left="0"/>
        <w:rPr>
          <w:sz w:val="20"/>
        </w:rPr>
      </w:pPr>
    </w:p>
    <w:p>
      <w:pPr>
        <w:pStyle w:val="BodyText"/>
        <w:ind w:left="0"/>
        <w:rPr>
          <w:sz w:val="20"/>
        </w:rPr>
      </w:pPr>
    </w:p>
    <w:p>
      <w:pPr>
        <w:pStyle w:val="BodyText"/>
        <w:spacing w:before="6"/>
        <w:ind w:left="0"/>
        <w:rPr>
          <w:sz w:val="22"/>
        </w:rPr>
      </w:pPr>
    </w:p>
    <w:p>
      <w:pPr>
        <w:spacing w:before="0"/>
        <w:ind w:left="0" w:right="570" w:firstLine="0"/>
        <w:jc w:val="right"/>
        <w:rPr>
          <w:rFonts w:ascii="Calibri"/>
          <w:sz w:val="20"/>
        </w:rPr>
      </w:pPr>
      <w:r>
        <w:rPr>
          <w:rFonts w:ascii="Calibri"/>
          <w:spacing w:val="-5"/>
          <w:sz w:val="20"/>
        </w:rPr>
        <w:t>90</w:t>
      </w:r>
    </w:p>
    <w:p>
      <w:pPr>
        <w:spacing w:after="0"/>
        <w:jc w:val="right"/>
        <w:rPr>
          <w:rFonts w:ascii="Calibri"/>
          <w:sz w:val="20"/>
        </w:rPr>
        <w:sectPr>
          <w:type w:val="continuous"/>
          <w:pgSz w:w="11910" w:h="16840"/>
          <w:pgMar w:header="0" w:footer="0" w:top="1920" w:bottom="280" w:left="440" w:right="280"/>
        </w:sectPr>
      </w:pPr>
    </w:p>
    <w:p>
      <w:pPr>
        <w:pStyle w:val="BodyText"/>
        <w:ind w:left="0"/>
        <w:rPr>
          <w:rFonts w:ascii="Calibri"/>
          <w:sz w:val="20"/>
        </w:rPr>
      </w:pPr>
    </w:p>
    <w:p>
      <w:pPr>
        <w:pStyle w:val="BodyText"/>
        <w:spacing w:before="6"/>
        <w:ind w:left="0"/>
        <w:rPr>
          <w:rFonts w:ascii="Calibri"/>
        </w:rPr>
      </w:pPr>
    </w:p>
    <w:p>
      <w:pPr>
        <w:pStyle w:val="BodyText"/>
        <w:ind w:left="1970"/>
        <w:rPr>
          <w:rFonts w:ascii="Calibri"/>
          <w:sz w:val="20"/>
        </w:rPr>
      </w:pPr>
      <w:r>
        <w:rPr>
          <w:rFonts w:ascii="Calibri"/>
          <w:sz w:val="20"/>
        </w:rPr>
        <w:drawing>
          <wp:inline distT="0" distB="0" distL="0" distR="0">
            <wp:extent cx="4536248" cy="2772346"/>
            <wp:effectExtent l="0" t="0" r="0" b="0"/>
            <wp:docPr id="3" name="image2.jpeg"/>
            <wp:cNvGraphicFramePr>
              <a:graphicFrameLocks noChangeAspect="1"/>
            </wp:cNvGraphicFramePr>
            <a:graphic>
              <a:graphicData uri="http://schemas.openxmlformats.org/drawingml/2006/picture">
                <pic:pic>
                  <pic:nvPicPr>
                    <pic:cNvPr id="4" name="image2.jpeg"/>
                    <pic:cNvPicPr/>
                  </pic:nvPicPr>
                  <pic:blipFill>
                    <a:blip r:embed="rId11" cstate="print"/>
                    <a:stretch>
                      <a:fillRect/>
                    </a:stretch>
                  </pic:blipFill>
                  <pic:spPr>
                    <a:xfrm>
                      <a:off x="0" y="0"/>
                      <a:ext cx="4536248" cy="2772346"/>
                    </a:xfrm>
                    <a:prstGeom prst="rect">
                      <a:avLst/>
                    </a:prstGeom>
                  </pic:spPr>
                </pic:pic>
              </a:graphicData>
            </a:graphic>
          </wp:inline>
        </w:drawing>
      </w:r>
      <w:r>
        <w:rPr>
          <w:rFonts w:ascii="Calibri"/>
          <w:sz w:val="20"/>
        </w:rPr>
      </w:r>
    </w:p>
    <w:p>
      <w:pPr>
        <w:pStyle w:val="BodyText"/>
        <w:ind w:left="0"/>
        <w:rPr>
          <w:rFonts w:ascii="Calibri"/>
          <w:sz w:val="20"/>
        </w:rPr>
      </w:pPr>
    </w:p>
    <w:p>
      <w:pPr>
        <w:pStyle w:val="BodyText"/>
        <w:ind w:left="0"/>
        <w:rPr>
          <w:rFonts w:ascii="Calibri"/>
          <w:sz w:val="20"/>
        </w:rPr>
      </w:pPr>
    </w:p>
    <w:p>
      <w:pPr>
        <w:pStyle w:val="BodyText"/>
        <w:spacing w:before="5"/>
        <w:ind w:left="0"/>
        <w:rPr>
          <w:rFonts w:ascii="Calibri"/>
        </w:rPr>
      </w:pPr>
    </w:p>
    <w:p>
      <w:pPr>
        <w:spacing w:line="276" w:lineRule="auto" w:before="90"/>
        <w:ind w:left="1261" w:right="0" w:firstLine="0"/>
        <w:jc w:val="left"/>
        <w:rPr>
          <w:b/>
          <w:sz w:val="24"/>
        </w:rPr>
      </w:pPr>
      <w:r>
        <w:rPr>
          <w:b/>
          <w:sz w:val="24"/>
        </w:rPr>
        <w:t>Таблица</w:t>
      </w:r>
      <w:r>
        <w:rPr>
          <w:b/>
          <w:spacing w:val="-5"/>
          <w:sz w:val="24"/>
        </w:rPr>
        <w:t> </w:t>
      </w:r>
      <w:r>
        <w:rPr>
          <w:b/>
          <w:sz w:val="24"/>
        </w:rPr>
        <w:t>Б1.</w:t>
      </w:r>
      <w:r>
        <w:rPr>
          <w:b/>
          <w:spacing w:val="-5"/>
          <w:sz w:val="24"/>
        </w:rPr>
        <w:t> </w:t>
      </w:r>
      <w:r>
        <w:rPr>
          <w:b/>
          <w:sz w:val="24"/>
        </w:rPr>
        <w:t>Лабораторный</w:t>
      </w:r>
      <w:r>
        <w:rPr>
          <w:b/>
          <w:spacing w:val="-5"/>
          <w:sz w:val="24"/>
        </w:rPr>
        <w:t> </w:t>
      </w:r>
      <w:r>
        <w:rPr>
          <w:b/>
          <w:sz w:val="24"/>
        </w:rPr>
        <w:t>контроль</w:t>
      </w:r>
      <w:r>
        <w:rPr>
          <w:b/>
          <w:spacing w:val="-5"/>
          <w:sz w:val="24"/>
        </w:rPr>
        <w:t> </w:t>
      </w:r>
      <w:r>
        <w:rPr>
          <w:b/>
          <w:sz w:val="24"/>
        </w:rPr>
        <w:t>безопасности</w:t>
      </w:r>
      <w:r>
        <w:rPr>
          <w:b/>
          <w:spacing w:val="-5"/>
          <w:sz w:val="24"/>
        </w:rPr>
        <w:t> </w:t>
      </w:r>
      <w:r>
        <w:rPr>
          <w:b/>
          <w:sz w:val="24"/>
        </w:rPr>
        <w:t>и</w:t>
      </w:r>
      <w:r>
        <w:rPr>
          <w:b/>
          <w:spacing w:val="-5"/>
          <w:sz w:val="24"/>
        </w:rPr>
        <w:t> </w:t>
      </w:r>
      <w:r>
        <w:rPr>
          <w:b/>
          <w:sz w:val="24"/>
        </w:rPr>
        <w:t>эффективности</w:t>
      </w:r>
      <w:r>
        <w:rPr>
          <w:b/>
          <w:spacing w:val="-5"/>
          <w:sz w:val="24"/>
        </w:rPr>
        <w:t> </w:t>
      </w:r>
      <w:r>
        <w:rPr>
          <w:b/>
          <w:sz w:val="24"/>
        </w:rPr>
        <w:t>(показатели, кратность) до и во время гиполипидемической терапии</w:t>
      </w:r>
    </w:p>
    <w:p>
      <w:pPr>
        <w:pStyle w:val="BodyText"/>
        <w:spacing w:before="6"/>
        <w:ind w:left="0"/>
        <w:rPr>
          <w:b/>
          <w:sz w:val="17"/>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786"/>
        <w:gridCol w:w="4786"/>
      </w:tblGrid>
      <w:tr>
        <w:trPr>
          <w:trHeight w:val="275" w:hRule="atLeast"/>
        </w:trPr>
        <w:tc>
          <w:tcPr>
            <w:tcW w:w="9572" w:type="dxa"/>
            <w:gridSpan w:val="2"/>
          </w:tcPr>
          <w:p>
            <w:pPr>
              <w:pStyle w:val="TableParagraph"/>
              <w:spacing w:line="256" w:lineRule="exact"/>
              <w:rPr>
                <w:b/>
                <w:sz w:val="24"/>
              </w:rPr>
            </w:pPr>
            <w:r>
              <w:rPr>
                <w:b/>
                <w:sz w:val="24"/>
              </w:rPr>
              <w:t>Определение</w:t>
            </w:r>
            <w:r>
              <w:rPr>
                <w:b/>
                <w:spacing w:val="-5"/>
                <w:sz w:val="24"/>
              </w:rPr>
              <w:t> </w:t>
            </w:r>
            <w:r>
              <w:rPr>
                <w:b/>
                <w:sz w:val="24"/>
              </w:rPr>
              <w:t>липидов</w:t>
            </w:r>
            <w:r>
              <w:rPr>
                <w:b/>
                <w:spacing w:val="-7"/>
                <w:sz w:val="24"/>
              </w:rPr>
              <w:t> </w:t>
            </w:r>
            <w:r>
              <w:rPr>
                <w:b/>
                <w:sz w:val="24"/>
              </w:rPr>
              <w:t>сыворотки</w:t>
            </w:r>
            <w:r>
              <w:rPr>
                <w:b/>
                <w:spacing w:val="-3"/>
                <w:sz w:val="24"/>
              </w:rPr>
              <w:t> </w:t>
            </w:r>
            <w:r>
              <w:rPr>
                <w:b/>
                <w:spacing w:val="-4"/>
                <w:sz w:val="24"/>
              </w:rPr>
              <w:t>крови</w:t>
            </w:r>
          </w:p>
        </w:tc>
      </w:tr>
      <w:tr>
        <w:trPr>
          <w:trHeight w:val="1103" w:hRule="atLeast"/>
        </w:trPr>
        <w:tc>
          <w:tcPr>
            <w:tcW w:w="4786" w:type="dxa"/>
          </w:tcPr>
          <w:p>
            <w:pPr>
              <w:pStyle w:val="TableParagraph"/>
              <w:ind w:right="108"/>
              <w:rPr>
                <w:sz w:val="24"/>
              </w:rPr>
            </w:pPr>
            <w:r>
              <w:rPr>
                <w:sz w:val="24"/>
              </w:rPr>
              <w:t>Перед</w:t>
            </w:r>
            <w:r>
              <w:rPr>
                <w:spacing w:val="-15"/>
                <w:sz w:val="24"/>
              </w:rPr>
              <w:t> </w:t>
            </w:r>
            <w:r>
              <w:rPr>
                <w:sz w:val="24"/>
              </w:rPr>
              <w:t>назначением</w:t>
            </w:r>
            <w:r>
              <w:rPr>
                <w:spacing w:val="-15"/>
                <w:sz w:val="24"/>
              </w:rPr>
              <w:t> </w:t>
            </w:r>
            <w:r>
              <w:rPr>
                <w:sz w:val="24"/>
              </w:rPr>
              <w:t>гиполипидемической </w:t>
            </w:r>
            <w:r>
              <w:rPr>
                <w:spacing w:val="-2"/>
                <w:sz w:val="24"/>
              </w:rPr>
              <w:t>терапии</w:t>
            </w:r>
          </w:p>
        </w:tc>
        <w:tc>
          <w:tcPr>
            <w:tcW w:w="4786" w:type="dxa"/>
          </w:tcPr>
          <w:p>
            <w:pPr>
              <w:pStyle w:val="TableParagraph"/>
              <w:spacing w:line="276" w:lineRule="exact"/>
              <w:ind w:right="108"/>
              <w:rPr>
                <w:sz w:val="24"/>
              </w:rPr>
            </w:pPr>
            <w:r>
              <w:rPr>
                <w:sz w:val="24"/>
              </w:rPr>
              <w:t>требуется, как минимум, 2-кратное определение</w:t>
            </w:r>
            <w:r>
              <w:rPr>
                <w:spacing w:val="-8"/>
                <w:sz w:val="24"/>
              </w:rPr>
              <w:t> </w:t>
            </w:r>
            <w:r>
              <w:rPr>
                <w:sz w:val="24"/>
              </w:rPr>
              <w:t>с</w:t>
            </w:r>
            <w:r>
              <w:rPr>
                <w:spacing w:val="-8"/>
                <w:sz w:val="24"/>
              </w:rPr>
              <w:t> </w:t>
            </w:r>
            <w:r>
              <w:rPr>
                <w:sz w:val="24"/>
              </w:rPr>
              <w:t>интервалом</w:t>
            </w:r>
            <w:r>
              <w:rPr>
                <w:spacing w:val="-8"/>
                <w:sz w:val="24"/>
              </w:rPr>
              <w:t> </w:t>
            </w:r>
            <w:r>
              <w:rPr>
                <w:sz w:val="24"/>
              </w:rPr>
              <w:t>1–12</w:t>
            </w:r>
            <w:r>
              <w:rPr>
                <w:spacing w:val="-7"/>
                <w:sz w:val="24"/>
              </w:rPr>
              <w:t> </w:t>
            </w:r>
            <w:r>
              <w:rPr>
                <w:sz w:val="24"/>
              </w:rPr>
              <w:t>нед,</w:t>
            </w:r>
            <w:r>
              <w:rPr>
                <w:spacing w:val="-7"/>
                <w:sz w:val="24"/>
              </w:rPr>
              <w:t> </w:t>
            </w:r>
            <w:r>
              <w:rPr>
                <w:sz w:val="24"/>
              </w:rPr>
              <w:t>кроме пациентов с ОКС и относящихся к категории очень высокого риска</w:t>
            </w:r>
          </w:p>
        </w:tc>
      </w:tr>
      <w:tr>
        <w:trPr>
          <w:trHeight w:val="551" w:hRule="atLeast"/>
        </w:trPr>
        <w:tc>
          <w:tcPr>
            <w:tcW w:w="4786" w:type="dxa"/>
          </w:tcPr>
          <w:p>
            <w:pPr>
              <w:pStyle w:val="TableParagraph"/>
              <w:spacing w:line="275" w:lineRule="exact"/>
              <w:rPr>
                <w:sz w:val="24"/>
              </w:rPr>
            </w:pPr>
            <w:r>
              <w:rPr>
                <w:sz w:val="24"/>
              </w:rPr>
              <w:t>После</w:t>
            </w:r>
            <w:r>
              <w:rPr>
                <w:spacing w:val="-4"/>
                <w:sz w:val="24"/>
              </w:rPr>
              <w:t> </w:t>
            </w:r>
            <w:r>
              <w:rPr>
                <w:sz w:val="24"/>
              </w:rPr>
              <w:t>старта</w:t>
            </w:r>
            <w:r>
              <w:rPr>
                <w:spacing w:val="-2"/>
                <w:sz w:val="24"/>
              </w:rPr>
              <w:t> </w:t>
            </w:r>
            <w:r>
              <w:rPr>
                <w:sz w:val="24"/>
              </w:rPr>
              <w:t>гиполипидемической</w:t>
            </w:r>
            <w:r>
              <w:rPr>
                <w:spacing w:val="-2"/>
                <w:sz w:val="24"/>
              </w:rPr>
              <w:t> терапии</w:t>
            </w:r>
          </w:p>
        </w:tc>
        <w:tc>
          <w:tcPr>
            <w:tcW w:w="4786" w:type="dxa"/>
          </w:tcPr>
          <w:p>
            <w:pPr>
              <w:pStyle w:val="TableParagraph"/>
              <w:spacing w:line="276" w:lineRule="exact"/>
              <w:ind w:right="108"/>
              <w:rPr>
                <w:sz w:val="24"/>
              </w:rPr>
            </w:pPr>
            <w:r>
              <w:rPr>
                <w:b/>
                <w:sz w:val="24"/>
              </w:rPr>
              <w:t>через</w:t>
            </w:r>
            <w:r>
              <w:rPr>
                <w:b/>
                <w:spacing w:val="-7"/>
                <w:sz w:val="24"/>
              </w:rPr>
              <w:t> </w:t>
            </w:r>
            <w:r>
              <w:rPr>
                <w:b/>
                <w:sz w:val="24"/>
              </w:rPr>
              <w:t>8</w:t>
            </w:r>
            <w:r>
              <w:rPr>
                <w:b/>
                <w:spacing w:val="-6"/>
                <w:sz w:val="24"/>
              </w:rPr>
              <w:t> </w:t>
            </w:r>
            <w:r>
              <w:rPr>
                <w:b/>
                <w:sz w:val="24"/>
              </w:rPr>
              <w:t>(±4)</w:t>
            </w:r>
            <w:r>
              <w:rPr>
                <w:b/>
                <w:spacing w:val="-7"/>
                <w:sz w:val="24"/>
              </w:rPr>
              <w:t> </w:t>
            </w:r>
            <w:r>
              <w:rPr>
                <w:b/>
                <w:sz w:val="24"/>
              </w:rPr>
              <w:t>нед</w:t>
            </w:r>
            <w:r>
              <w:rPr>
                <w:b/>
                <w:spacing w:val="-5"/>
                <w:sz w:val="24"/>
              </w:rPr>
              <w:t> </w:t>
            </w:r>
            <w:r>
              <w:rPr>
                <w:sz w:val="24"/>
              </w:rPr>
              <w:t>до</w:t>
            </w:r>
            <w:r>
              <w:rPr>
                <w:spacing w:val="-6"/>
                <w:sz w:val="24"/>
              </w:rPr>
              <w:t> </w:t>
            </w:r>
            <w:r>
              <w:rPr>
                <w:sz w:val="24"/>
              </w:rPr>
              <w:t>достижения</w:t>
            </w:r>
            <w:r>
              <w:rPr>
                <w:spacing w:val="-9"/>
                <w:sz w:val="24"/>
              </w:rPr>
              <w:t> </w:t>
            </w:r>
            <w:r>
              <w:rPr>
                <w:sz w:val="24"/>
              </w:rPr>
              <w:t>целевого </w:t>
            </w:r>
            <w:r>
              <w:rPr>
                <w:spacing w:val="-2"/>
                <w:sz w:val="24"/>
              </w:rPr>
              <w:t>уровня</w:t>
            </w:r>
          </w:p>
        </w:tc>
      </w:tr>
      <w:tr>
        <w:trPr>
          <w:trHeight w:val="826" w:hRule="atLeast"/>
        </w:trPr>
        <w:tc>
          <w:tcPr>
            <w:tcW w:w="4786" w:type="dxa"/>
          </w:tcPr>
          <w:p>
            <w:pPr>
              <w:pStyle w:val="TableParagraph"/>
              <w:ind w:right="108"/>
              <w:rPr>
                <w:sz w:val="24"/>
              </w:rPr>
            </w:pPr>
            <w:r>
              <w:rPr>
                <w:sz w:val="24"/>
              </w:rPr>
              <w:t>По</w:t>
            </w:r>
            <w:r>
              <w:rPr>
                <w:spacing w:val="-9"/>
                <w:sz w:val="24"/>
              </w:rPr>
              <w:t> </w:t>
            </w:r>
            <w:r>
              <w:rPr>
                <w:sz w:val="24"/>
              </w:rPr>
              <w:t>достижении</w:t>
            </w:r>
            <w:r>
              <w:rPr>
                <w:spacing w:val="-11"/>
                <w:sz w:val="24"/>
              </w:rPr>
              <w:t> </w:t>
            </w:r>
            <w:r>
              <w:rPr>
                <w:sz w:val="24"/>
              </w:rPr>
              <w:t>пациентом</w:t>
            </w:r>
            <w:r>
              <w:rPr>
                <w:spacing w:val="-10"/>
                <w:sz w:val="24"/>
              </w:rPr>
              <w:t> </w:t>
            </w:r>
            <w:r>
              <w:rPr>
                <w:sz w:val="24"/>
              </w:rPr>
              <w:t>целевого</w:t>
            </w:r>
            <w:r>
              <w:rPr>
                <w:spacing w:val="-9"/>
                <w:sz w:val="24"/>
              </w:rPr>
              <w:t> </w:t>
            </w:r>
            <w:r>
              <w:rPr>
                <w:sz w:val="24"/>
              </w:rPr>
              <w:t>уровня </w:t>
            </w:r>
            <w:r>
              <w:rPr>
                <w:spacing w:val="-2"/>
                <w:sz w:val="24"/>
              </w:rPr>
              <w:t>липидов</w:t>
            </w:r>
          </w:p>
        </w:tc>
        <w:tc>
          <w:tcPr>
            <w:tcW w:w="4786" w:type="dxa"/>
          </w:tcPr>
          <w:p>
            <w:pPr>
              <w:pStyle w:val="TableParagraph"/>
              <w:spacing w:line="276" w:lineRule="exact"/>
              <w:ind w:right="108"/>
              <w:rPr>
                <w:sz w:val="24"/>
              </w:rPr>
            </w:pPr>
            <w:r>
              <w:rPr>
                <w:b/>
                <w:sz w:val="24"/>
              </w:rPr>
              <w:t>ежегодно </w:t>
            </w:r>
            <w:r>
              <w:rPr>
                <w:sz w:val="24"/>
              </w:rPr>
              <w:t>(если нет проблем с приверженностью</w:t>
            </w:r>
            <w:r>
              <w:rPr>
                <w:spacing w:val="-10"/>
                <w:sz w:val="24"/>
              </w:rPr>
              <w:t> </w:t>
            </w:r>
            <w:r>
              <w:rPr>
                <w:sz w:val="24"/>
              </w:rPr>
              <w:t>или</w:t>
            </w:r>
            <w:r>
              <w:rPr>
                <w:spacing w:val="-10"/>
                <w:sz w:val="24"/>
              </w:rPr>
              <w:t> </w:t>
            </w:r>
            <w:r>
              <w:rPr>
                <w:sz w:val="24"/>
              </w:rPr>
              <w:t>других</w:t>
            </w:r>
            <w:r>
              <w:rPr>
                <w:spacing w:val="-9"/>
                <w:sz w:val="24"/>
              </w:rPr>
              <w:t> </w:t>
            </w:r>
            <w:r>
              <w:rPr>
                <w:sz w:val="24"/>
              </w:rPr>
              <w:t>причин</w:t>
            </w:r>
            <w:r>
              <w:rPr>
                <w:spacing w:val="-7"/>
                <w:sz w:val="24"/>
              </w:rPr>
              <w:t> </w:t>
            </w:r>
            <w:r>
              <w:rPr>
                <w:sz w:val="24"/>
              </w:rPr>
              <w:t>для более частого контроля)</w:t>
            </w:r>
          </w:p>
        </w:tc>
      </w:tr>
      <w:tr>
        <w:trPr>
          <w:trHeight w:val="274" w:hRule="atLeast"/>
        </w:trPr>
        <w:tc>
          <w:tcPr>
            <w:tcW w:w="9572" w:type="dxa"/>
            <w:gridSpan w:val="2"/>
          </w:tcPr>
          <w:p>
            <w:pPr>
              <w:pStyle w:val="TableParagraph"/>
              <w:spacing w:line="254" w:lineRule="exact"/>
              <w:rPr>
                <w:b/>
                <w:sz w:val="24"/>
              </w:rPr>
            </w:pPr>
            <w:r>
              <w:rPr>
                <w:b/>
                <w:sz w:val="24"/>
              </w:rPr>
              <w:t>АЛТ</w:t>
            </w:r>
            <w:r>
              <w:rPr>
                <w:b/>
                <w:spacing w:val="-4"/>
                <w:sz w:val="24"/>
              </w:rPr>
              <w:t> </w:t>
            </w:r>
            <w:r>
              <w:rPr>
                <w:b/>
                <w:sz w:val="24"/>
              </w:rPr>
              <w:t>и</w:t>
            </w:r>
            <w:r>
              <w:rPr>
                <w:b/>
                <w:spacing w:val="-3"/>
                <w:sz w:val="24"/>
              </w:rPr>
              <w:t> </w:t>
            </w:r>
            <w:r>
              <w:rPr>
                <w:b/>
                <w:sz w:val="24"/>
              </w:rPr>
              <w:t>ферменты</w:t>
            </w:r>
            <w:r>
              <w:rPr>
                <w:b/>
                <w:spacing w:val="-3"/>
                <w:sz w:val="24"/>
              </w:rPr>
              <w:t> </w:t>
            </w:r>
            <w:r>
              <w:rPr>
                <w:b/>
                <w:sz w:val="24"/>
              </w:rPr>
              <w:t>мышечной</w:t>
            </w:r>
            <w:r>
              <w:rPr>
                <w:b/>
                <w:spacing w:val="-3"/>
                <w:sz w:val="24"/>
              </w:rPr>
              <w:t> </w:t>
            </w:r>
            <w:r>
              <w:rPr>
                <w:b/>
                <w:spacing w:val="-4"/>
                <w:sz w:val="24"/>
              </w:rPr>
              <w:t>ткани</w:t>
            </w:r>
          </w:p>
        </w:tc>
      </w:tr>
      <w:tr>
        <w:trPr>
          <w:trHeight w:val="2277" w:hRule="atLeast"/>
        </w:trPr>
        <w:tc>
          <w:tcPr>
            <w:tcW w:w="4786" w:type="dxa"/>
          </w:tcPr>
          <w:p>
            <w:pPr>
              <w:pStyle w:val="TableParagraph"/>
              <w:spacing w:line="275" w:lineRule="exact"/>
              <w:rPr>
                <w:sz w:val="24"/>
              </w:rPr>
            </w:pPr>
            <w:r>
              <w:rPr>
                <w:sz w:val="24"/>
              </w:rPr>
              <w:t>Частота</w:t>
            </w:r>
            <w:r>
              <w:rPr>
                <w:spacing w:val="-2"/>
                <w:sz w:val="24"/>
              </w:rPr>
              <w:t> </w:t>
            </w:r>
            <w:r>
              <w:rPr>
                <w:sz w:val="24"/>
              </w:rPr>
              <w:t>лабораторного</w:t>
            </w:r>
            <w:r>
              <w:rPr>
                <w:spacing w:val="-1"/>
                <w:sz w:val="24"/>
              </w:rPr>
              <w:t> </w:t>
            </w:r>
            <w:r>
              <w:rPr>
                <w:sz w:val="24"/>
              </w:rPr>
              <w:t>контроля</w:t>
            </w:r>
            <w:r>
              <w:rPr>
                <w:spacing w:val="-1"/>
                <w:sz w:val="24"/>
              </w:rPr>
              <w:t> </w:t>
            </w:r>
            <w:r>
              <w:rPr>
                <w:sz w:val="24"/>
              </w:rPr>
              <w:t>АЛТ, </w:t>
            </w:r>
            <w:r>
              <w:rPr>
                <w:spacing w:val="-5"/>
                <w:sz w:val="24"/>
              </w:rPr>
              <w:t>АСТ</w:t>
            </w:r>
          </w:p>
        </w:tc>
        <w:tc>
          <w:tcPr>
            <w:tcW w:w="4786" w:type="dxa"/>
          </w:tcPr>
          <w:p>
            <w:pPr>
              <w:pStyle w:val="TableParagraph"/>
              <w:numPr>
                <w:ilvl w:val="0"/>
                <w:numId w:val="32"/>
              </w:numPr>
              <w:tabs>
                <w:tab w:pos="467" w:val="left" w:leader="none"/>
                <w:tab w:pos="468" w:val="left" w:leader="none"/>
              </w:tabs>
              <w:spacing w:line="293" w:lineRule="exact" w:before="0" w:after="0"/>
              <w:ind w:left="467" w:right="0" w:hanging="361"/>
              <w:jc w:val="left"/>
              <w:rPr>
                <w:sz w:val="24"/>
              </w:rPr>
            </w:pPr>
            <w:r>
              <w:rPr>
                <w:sz w:val="24"/>
              </w:rPr>
              <w:t>до</w:t>
            </w:r>
            <w:r>
              <w:rPr>
                <w:spacing w:val="-2"/>
                <w:sz w:val="24"/>
              </w:rPr>
              <w:t> </w:t>
            </w:r>
            <w:r>
              <w:rPr>
                <w:sz w:val="24"/>
              </w:rPr>
              <w:t>начала</w:t>
            </w:r>
            <w:r>
              <w:rPr>
                <w:spacing w:val="-3"/>
                <w:sz w:val="24"/>
              </w:rPr>
              <w:t> </w:t>
            </w:r>
            <w:r>
              <w:rPr>
                <w:sz w:val="24"/>
              </w:rPr>
              <w:t>гиполипидемической </w:t>
            </w:r>
            <w:r>
              <w:rPr>
                <w:spacing w:val="-2"/>
                <w:sz w:val="24"/>
              </w:rPr>
              <w:t>терапии</w:t>
            </w:r>
          </w:p>
          <w:p>
            <w:pPr>
              <w:pStyle w:val="TableParagraph"/>
              <w:numPr>
                <w:ilvl w:val="0"/>
                <w:numId w:val="32"/>
              </w:numPr>
              <w:tabs>
                <w:tab w:pos="467" w:val="left" w:leader="none"/>
                <w:tab w:pos="468" w:val="left" w:leader="none"/>
              </w:tabs>
              <w:spacing w:line="240" w:lineRule="auto" w:before="1" w:after="0"/>
              <w:ind w:left="467" w:right="521" w:hanging="360"/>
              <w:jc w:val="left"/>
              <w:rPr>
                <w:sz w:val="24"/>
              </w:rPr>
            </w:pPr>
            <w:r>
              <w:rPr>
                <w:sz w:val="24"/>
              </w:rPr>
              <w:t>однократно</w:t>
            </w:r>
            <w:r>
              <w:rPr>
                <w:spacing w:val="-8"/>
                <w:sz w:val="24"/>
              </w:rPr>
              <w:t> </w:t>
            </w:r>
            <w:r>
              <w:rPr>
                <w:sz w:val="24"/>
              </w:rPr>
              <w:t>через</w:t>
            </w:r>
            <w:r>
              <w:rPr>
                <w:spacing w:val="-7"/>
                <w:sz w:val="24"/>
              </w:rPr>
              <w:t> </w:t>
            </w:r>
            <w:r>
              <w:rPr>
                <w:sz w:val="24"/>
              </w:rPr>
              <w:t>8–12</w:t>
            </w:r>
            <w:r>
              <w:rPr>
                <w:spacing w:val="-10"/>
                <w:sz w:val="24"/>
              </w:rPr>
              <w:t> </w:t>
            </w:r>
            <w:r>
              <w:rPr>
                <w:sz w:val="24"/>
              </w:rPr>
              <w:t>нед</w:t>
            </w:r>
            <w:r>
              <w:rPr>
                <w:spacing w:val="-8"/>
                <w:sz w:val="24"/>
              </w:rPr>
              <w:t> </w:t>
            </w:r>
            <w:r>
              <w:rPr>
                <w:sz w:val="24"/>
              </w:rPr>
              <w:t>от</w:t>
            </w:r>
            <w:r>
              <w:rPr>
                <w:spacing w:val="-8"/>
                <w:sz w:val="24"/>
              </w:rPr>
              <w:t> </w:t>
            </w:r>
            <w:r>
              <w:rPr>
                <w:sz w:val="24"/>
              </w:rPr>
              <w:t>начала гиполипидемической терапии</w:t>
            </w:r>
          </w:p>
          <w:p>
            <w:pPr>
              <w:pStyle w:val="TableParagraph"/>
              <w:numPr>
                <w:ilvl w:val="0"/>
                <w:numId w:val="32"/>
              </w:numPr>
              <w:tabs>
                <w:tab w:pos="467" w:val="left" w:leader="none"/>
                <w:tab w:pos="468" w:val="left" w:leader="none"/>
              </w:tabs>
              <w:spacing w:line="240" w:lineRule="auto" w:before="0" w:after="0"/>
              <w:ind w:left="467" w:right="494" w:hanging="360"/>
              <w:jc w:val="left"/>
              <w:rPr>
                <w:sz w:val="24"/>
              </w:rPr>
            </w:pPr>
            <w:r>
              <w:rPr>
                <w:sz w:val="24"/>
              </w:rPr>
              <w:t>рутинный</w:t>
            </w:r>
            <w:r>
              <w:rPr>
                <w:spacing w:val="-9"/>
                <w:sz w:val="24"/>
              </w:rPr>
              <w:t> </w:t>
            </w:r>
            <w:r>
              <w:rPr>
                <w:sz w:val="24"/>
              </w:rPr>
              <w:t>контроль</w:t>
            </w:r>
            <w:r>
              <w:rPr>
                <w:spacing w:val="-10"/>
                <w:sz w:val="24"/>
              </w:rPr>
              <w:t> </w:t>
            </w:r>
            <w:r>
              <w:rPr>
                <w:sz w:val="24"/>
              </w:rPr>
              <w:t>в</w:t>
            </w:r>
            <w:r>
              <w:rPr>
                <w:spacing w:val="-10"/>
                <w:sz w:val="24"/>
              </w:rPr>
              <w:t> </w:t>
            </w:r>
            <w:r>
              <w:rPr>
                <w:sz w:val="24"/>
              </w:rPr>
              <w:t>дальнейшем</w:t>
            </w:r>
            <w:r>
              <w:rPr>
                <w:spacing w:val="-10"/>
                <w:sz w:val="24"/>
              </w:rPr>
              <w:t> </w:t>
            </w:r>
            <w:r>
              <w:rPr>
                <w:sz w:val="24"/>
              </w:rPr>
              <w:t>не рекомендован (за исключением появления симптомов возможного поражения печени)</w:t>
            </w:r>
          </w:p>
          <w:p>
            <w:pPr>
              <w:pStyle w:val="TableParagraph"/>
              <w:numPr>
                <w:ilvl w:val="0"/>
                <w:numId w:val="32"/>
              </w:numPr>
              <w:tabs>
                <w:tab w:pos="467" w:val="left" w:leader="none"/>
                <w:tab w:pos="468" w:val="left" w:leader="none"/>
              </w:tabs>
              <w:spacing w:line="273" w:lineRule="exact" w:before="0" w:after="0"/>
              <w:ind w:left="467" w:right="0" w:hanging="361"/>
              <w:jc w:val="left"/>
              <w:rPr>
                <w:sz w:val="24"/>
              </w:rPr>
            </w:pPr>
            <w:r>
              <w:rPr>
                <w:sz w:val="24"/>
              </w:rPr>
              <w:t>на</w:t>
            </w:r>
            <w:r>
              <w:rPr>
                <w:spacing w:val="-1"/>
                <w:sz w:val="24"/>
              </w:rPr>
              <w:t> </w:t>
            </w:r>
            <w:r>
              <w:rPr>
                <w:sz w:val="24"/>
              </w:rPr>
              <w:t>фоне приема </w:t>
            </w:r>
            <w:r>
              <w:rPr>
                <w:spacing w:val="-2"/>
                <w:sz w:val="24"/>
              </w:rPr>
              <w:t>фибратов</w:t>
            </w:r>
          </w:p>
        </w:tc>
      </w:tr>
      <w:tr>
        <w:trPr>
          <w:trHeight w:val="1708" w:hRule="atLeast"/>
        </w:trPr>
        <w:tc>
          <w:tcPr>
            <w:tcW w:w="4786" w:type="dxa"/>
          </w:tcPr>
          <w:p>
            <w:pPr>
              <w:pStyle w:val="TableParagraph"/>
              <w:ind w:right="108"/>
              <w:rPr>
                <w:sz w:val="24"/>
              </w:rPr>
            </w:pPr>
            <w:r>
              <w:rPr>
                <w:sz w:val="24"/>
              </w:rPr>
              <w:t>Действия врача при выявлении повышенного</w:t>
            </w:r>
            <w:r>
              <w:rPr>
                <w:spacing w:val="-9"/>
                <w:sz w:val="24"/>
              </w:rPr>
              <w:t> </w:t>
            </w:r>
            <w:r>
              <w:rPr>
                <w:sz w:val="24"/>
              </w:rPr>
              <w:t>уровня</w:t>
            </w:r>
            <w:r>
              <w:rPr>
                <w:spacing w:val="-9"/>
                <w:sz w:val="24"/>
              </w:rPr>
              <w:t> </w:t>
            </w:r>
            <w:r>
              <w:rPr>
                <w:sz w:val="24"/>
              </w:rPr>
              <w:t>АЛТ</w:t>
            </w:r>
            <w:r>
              <w:rPr>
                <w:spacing w:val="-10"/>
                <w:sz w:val="24"/>
              </w:rPr>
              <w:t> </w:t>
            </w:r>
            <w:r>
              <w:rPr>
                <w:sz w:val="24"/>
              </w:rPr>
              <w:t>на</w:t>
            </w:r>
            <w:r>
              <w:rPr>
                <w:spacing w:val="-10"/>
                <w:sz w:val="24"/>
              </w:rPr>
              <w:t> </w:t>
            </w:r>
            <w:r>
              <w:rPr>
                <w:sz w:val="24"/>
              </w:rPr>
              <w:t>фоне гиполипидемической терапии:</w:t>
            </w:r>
          </w:p>
        </w:tc>
        <w:tc>
          <w:tcPr>
            <w:tcW w:w="4786" w:type="dxa"/>
          </w:tcPr>
          <w:p>
            <w:pPr>
              <w:pStyle w:val="TableParagraph"/>
              <w:spacing w:line="292" w:lineRule="exact"/>
              <w:rPr>
                <w:b/>
                <w:i/>
                <w:sz w:val="24"/>
              </w:rPr>
            </w:pPr>
            <w:r>
              <w:rPr>
                <w:b/>
                <w:i/>
                <w:sz w:val="24"/>
              </w:rPr>
              <w:t>повышение</w:t>
            </w:r>
            <w:r>
              <w:rPr>
                <w:b/>
                <w:i/>
                <w:spacing w:val="-4"/>
                <w:sz w:val="24"/>
              </w:rPr>
              <w:t> </w:t>
            </w:r>
            <w:r>
              <w:rPr>
                <w:b/>
                <w:i/>
                <w:sz w:val="24"/>
              </w:rPr>
              <w:t>АЛТ</w:t>
            </w:r>
            <w:r>
              <w:rPr>
                <w:b/>
                <w:i/>
                <w:spacing w:val="-1"/>
                <w:sz w:val="24"/>
              </w:rPr>
              <w:t> </w:t>
            </w:r>
            <w:r>
              <w:rPr>
                <w:rFonts w:ascii="Calibri" w:hAnsi="Calibri"/>
                <w:b/>
                <w:i/>
                <w:sz w:val="24"/>
              </w:rPr>
              <w:t>˂</w:t>
            </w:r>
            <w:r>
              <w:rPr>
                <w:rFonts w:ascii="Calibri" w:hAnsi="Calibri"/>
                <w:b/>
                <w:i/>
                <w:spacing w:val="5"/>
                <w:sz w:val="24"/>
              </w:rPr>
              <w:t> </w:t>
            </w:r>
            <w:r>
              <w:rPr>
                <w:b/>
                <w:i/>
                <w:sz w:val="24"/>
              </w:rPr>
              <w:t>3 </w:t>
            </w:r>
            <w:r>
              <w:rPr>
                <w:b/>
                <w:i/>
                <w:spacing w:val="-10"/>
                <w:sz w:val="24"/>
              </w:rPr>
              <w:t>N</w:t>
            </w:r>
          </w:p>
          <w:p>
            <w:pPr>
              <w:pStyle w:val="TableParagraph"/>
              <w:numPr>
                <w:ilvl w:val="0"/>
                <w:numId w:val="33"/>
              </w:numPr>
              <w:tabs>
                <w:tab w:pos="467" w:val="left" w:leader="none"/>
                <w:tab w:pos="468" w:val="left" w:leader="none"/>
              </w:tabs>
              <w:spacing w:line="240" w:lineRule="auto" w:before="0" w:after="0"/>
              <w:ind w:left="467" w:right="769" w:hanging="360"/>
              <w:jc w:val="left"/>
              <w:rPr>
                <w:sz w:val="24"/>
              </w:rPr>
            </w:pPr>
            <w:r>
              <w:rPr>
                <w:sz w:val="24"/>
              </w:rPr>
              <w:t>продолжить</w:t>
            </w:r>
            <w:r>
              <w:rPr>
                <w:spacing w:val="-15"/>
                <w:sz w:val="24"/>
              </w:rPr>
              <w:t> </w:t>
            </w:r>
            <w:r>
              <w:rPr>
                <w:sz w:val="24"/>
              </w:rPr>
              <w:t>гиполипидемическую </w:t>
            </w:r>
            <w:r>
              <w:rPr>
                <w:spacing w:val="-2"/>
                <w:sz w:val="24"/>
              </w:rPr>
              <w:t>терапию</w:t>
            </w:r>
          </w:p>
          <w:p>
            <w:pPr>
              <w:pStyle w:val="TableParagraph"/>
              <w:numPr>
                <w:ilvl w:val="0"/>
                <w:numId w:val="33"/>
              </w:numPr>
              <w:tabs>
                <w:tab w:pos="467" w:val="left" w:leader="none"/>
                <w:tab w:pos="468" w:val="left" w:leader="none"/>
              </w:tabs>
              <w:spacing w:line="293" w:lineRule="exact" w:before="0" w:after="0"/>
              <w:ind w:left="467" w:right="0" w:hanging="361"/>
              <w:jc w:val="left"/>
              <w:rPr>
                <w:sz w:val="24"/>
              </w:rPr>
            </w:pPr>
            <w:r>
              <w:rPr>
                <w:sz w:val="24"/>
              </w:rPr>
              <w:t>повторный</w:t>
            </w:r>
            <w:r>
              <w:rPr>
                <w:spacing w:val="-4"/>
                <w:sz w:val="24"/>
              </w:rPr>
              <w:t> </w:t>
            </w:r>
            <w:r>
              <w:rPr>
                <w:sz w:val="24"/>
              </w:rPr>
              <w:t>контроль</w:t>
            </w:r>
            <w:r>
              <w:rPr>
                <w:spacing w:val="-2"/>
                <w:sz w:val="24"/>
              </w:rPr>
              <w:t> </w:t>
            </w:r>
            <w:r>
              <w:rPr>
                <w:sz w:val="24"/>
              </w:rPr>
              <w:t>АЛТ</w:t>
            </w:r>
            <w:r>
              <w:rPr>
                <w:spacing w:val="-2"/>
                <w:sz w:val="24"/>
              </w:rPr>
              <w:t> </w:t>
            </w:r>
            <w:r>
              <w:rPr>
                <w:sz w:val="24"/>
              </w:rPr>
              <w:t>через</w:t>
            </w:r>
            <w:r>
              <w:rPr>
                <w:spacing w:val="-1"/>
                <w:sz w:val="24"/>
              </w:rPr>
              <w:t> </w:t>
            </w:r>
            <w:r>
              <w:rPr>
                <w:sz w:val="24"/>
              </w:rPr>
              <w:t>4–6</w:t>
            </w:r>
            <w:r>
              <w:rPr>
                <w:spacing w:val="-1"/>
                <w:sz w:val="24"/>
              </w:rPr>
              <w:t> </w:t>
            </w:r>
            <w:r>
              <w:rPr>
                <w:spacing w:val="-4"/>
                <w:sz w:val="24"/>
              </w:rPr>
              <w:t>нед.</w:t>
            </w:r>
          </w:p>
          <w:p>
            <w:pPr>
              <w:pStyle w:val="TableParagraph"/>
              <w:spacing w:before="1"/>
              <w:ind w:left="0"/>
              <w:rPr>
                <w:b/>
                <w:sz w:val="24"/>
              </w:rPr>
            </w:pPr>
          </w:p>
          <w:p>
            <w:pPr>
              <w:pStyle w:val="TableParagraph"/>
              <w:spacing w:line="257" w:lineRule="exact"/>
              <w:rPr>
                <w:b/>
                <w:i/>
                <w:sz w:val="24"/>
              </w:rPr>
            </w:pPr>
            <w:r>
              <w:rPr>
                <w:b/>
                <w:i/>
                <w:sz w:val="24"/>
              </w:rPr>
              <w:t>повышение</w:t>
            </w:r>
            <w:r>
              <w:rPr>
                <w:b/>
                <w:i/>
                <w:spacing w:val="-4"/>
                <w:sz w:val="24"/>
              </w:rPr>
              <w:t> </w:t>
            </w:r>
            <w:r>
              <w:rPr>
                <w:b/>
                <w:i/>
                <w:sz w:val="24"/>
              </w:rPr>
              <w:t>АЛТ</w:t>
            </w:r>
            <w:r>
              <w:rPr>
                <w:b/>
                <w:i/>
                <w:spacing w:val="-2"/>
                <w:sz w:val="24"/>
              </w:rPr>
              <w:t> </w:t>
            </w:r>
            <w:r>
              <w:rPr>
                <w:b/>
                <w:i/>
                <w:sz w:val="24"/>
              </w:rPr>
              <w:t>≥3 </w:t>
            </w:r>
            <w:r>
              <w:rPr>
                <w:b/>
                <w:i/>
                <w:spacing w:val="-10"/>
                <w:sz w:val="24"/>
              </w:rPr>
              <w:t>N</w:t>
            </w:r>
          </w:p>
        </w:tc>
      </w:tr>
    </w:tbl>
    <w:p>
      <w:pPr>
        <w:spacing w:after="0" w:line="257" w:lineRule="exact"/>
        <w:rPr>
          <w:sz w:val="24"/>
        </w:rPr>
        <w:sectPr>
          <w:footerReference w:type="default" r:id="rId10"/>
          <w:pgSz w:w="11910" w:h="16840"/>
          <w:pgMar w:footer="710" w:header="0" w:top="1920" w:bottom="900" w:left="440" w:right="280"/>
          <w:pgNumType w:start="91"/>
        </w:sect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786"/>
        <w:gridCol w:w="4786"/>
      </w:tblGrid>
      <w:tr>
        <w:trPr>
          <w:trHeight w:val="2277" w:hRule="atLeast"/>
        </w:trPr>
        <w:tc>
          <w:tcPr>
            <w:tcW w:w="4786" w:type="dxa"/>
          </w:tcPr>
          <w:p>
            <w:pPr>
              <w:pStyle w:val="TableParagraph"/>
              <w:ind w:left="0"/>
              <w:rPr>
                <w:sz w:val="24"/>
              </w:rPr>
            </w:pPr>
          </w:p>
        </w:tc>
        <w:tc>
          <w:tcPr>
            <w:tcW w:w="4786" w:type="dxa"/>
          </w:tcPr>
          <w:p>
            <w:pPr>
              <w:pStyle w:val="TableParagraph"/>
              <w:numPr>
                <w:ilvl w:val="0"/>
                <w:numId w:val="34"/>
              </w:numPr>
              <w:tabs>
                <w:tab w:pos="467" w:val="left" w:leader="none"/>
                <w:tab w:pos="468" w:val="left" w:leader="none"/>
              </w:tabs>
              <w:spacing w:line="293" w:lineRule="exact" w:before="1" w:after="0"/>
              <w:ind w:left="467" w:right="0" w:hanging="361"/>
              <w:jc w:val="left"/>
              <w:rPr>
                <w:sz w:val="24"/>
              </w:rPr>
            </w:pPr>
            <w:r>
              <w:rPr>
                <w:sz w:val="24"/>
              </w:rPr>
              <w:t>отмена</w:t>
            </w:r>
            <w:r>
              <w:rPr>
                <w:spacing w:val="-5"/>
                <w:sz w:val="24"/>
              </w:rPr>
              <w:t> </w:t>
            </w:r>
            <w:r>
              <w:rPr>
                <w:sz w:val="24"/>
              </w:rPr>
              <w:t>гиполипидемической</w:t>
            </w:r>
            <w:r>
              <w:rPr>
                <w:spacing w:val="-2"/>
                <w:sz w:val="24"/>
              </w:rPr>
              <w:t> терапии,</w:t>
            </w:r>
          </w:p>
          <w:p>
            <w:pPr>
              <w:pStyle w:val="TableParagraph"/>
              <w:numPr>
                <w:ilvl w:val="0"/>
                <w:numId w:val="34"/>
              </w:numPr>
              <w:tabs>
                <w:tab w:pos="467" w:val="left" w:leader="none"/>
                <w:tab w:pos="468" w:val="left" w:leader="none"/>
              </w:tabs>
              <w:spacing w:line="240" w:lineRule="auto" w:before="0" w:after="0"/>
              <w:ind w:left="467" w:right="676" w:hanging="360"/>
              <w:jc w:val="left"/>
              <w:rPr>
                <w:sz w:val="24"/>
              </w:rPr>
            </w:pPr>
            <w:r>
              <w:rPr>
                <w:sz w:val="24"/>
              </w:rPr>
              <w:t>контроль</w:t>
            </w:r>
            <w:r>
              <w:rPr>
                <w:spacing w:val="-8"/>
                <w:sz w:val="24"/>
              </w:rPr>
              <w:t> </w:t>
            </w:r>
            <w:r>
              <w:rPr>
                <w:sz w:val="24"/>
              </w:rPr>
              <w:t>АЛТ</w:t>
            </w:r>
            <w:r>
              <w:rPr>
                <w:spacing w:val="-9"/>
                <w:sz w:val="24"/>
              </w:rPr>
              <w:t> </w:t>
            </w:r>
            <w:r>
              <w:rPr>
                <w:sz w:val="24"/>
              </w:rPr>
              <w:t>через</w:t>
            </w:r>
            <w:r>
              <w:rPr>
                <w:spacing w:val="-7"/>
                <w:sz w:val="24"/>
              </w:rPr>
              <w:t> </w:t>
            </w:r>
            <w:r>
              <w:rPr>
                <w:sz w:val="24"/>
              </w:rPr>
              <w:t>4–6</w:t>
            </w:r>
            <w:r>
              <w:rPr>
                <w:spacing w:val="-8"/>
                <w:sz w:val="24"/>
              </w:rPr>
              <w:t> </w:t>
            </w:r>
            <w:r>
              <w:rPr>
                <w:sz w:val="24"/>
              </w:rPr>
              <w:t>нед.</w:t>
            </w:r>
            <w:r>
              <w:rPr>
                <w:spacing w:val="-8"/>
                <w:sz w:val="24"/>
              </w:rPr>
              <w:t> </w:t>
            </w:r>
            <w:r>
              <w:rPr>
                <w:sz w:val="24"/>
              </w:rPr>
              <w:t>после </w:t>
            </w:r>
            <w:r>
              <w:rPr>
                <w:spacing w:val="-2"/>
                <w:sz w:val="24"/>
              </w:rPr>
              <w:t>отмены</w:t>
            </w:r>
          </w:p>
          <w:p>
            <w:pPr>
              <w:pStyle w:val="TableParagraph"/>
              <w:numPr>
                <w:ilvl w:val="0"/>
                <w:numId w:val="34"/>
              </w:numPr>
              <w:tabs>
                <w:tab w:pos="467" w:val="left" w:leader="none"/>
                <w:tab w:pos="468" w:val="left" w:leader="none"/>
              </w:tabs>
              <w:spacing w:line="240" w:lineRule="auto" w:before="0" w:after="0"/>
              <w:ind w:left="467" w:right="537" w:hanging="360"/>
              <w:jc w:val="left"/>
              <w:rPr>
                <w:sz w:val="24"/>
              </w:rPr>
            </w:pPr>
            <w:r>
              <w:rPr>
                <w:sz w:val="24"/>
              </w:rPr>
              <w:t>возобновление</w:t>
            </w:r>
            <w:r>
              <w:rPr>
                <w:spacing w:val="-15"/>
                <w:sz w:val="24"/>
              </w:rPr>
              <w:t> </w:t>
            </w:r>
            <w:r>
              <w:rPr>
                <w:sz w:val="24"/>
              </w:rPr>
              <w:t>гиполипидемической терапии после нормализации АЛТ</w:t>
            </w:r>
          </w:p>
          <w:p>
            <w:pPr>
              <w:pStyle w:val="TableParagraph"/>
              <w:numPr>
                <w:ilvl w:val="0"/>
                <w:numId w:val="34"/>
              </w:numPr>
              <w:tabs>
                <w:tab w:pos="467" w:val="left" w:leader="none"/>
                <w:tab w:pos="468" w:val="left" w:leader="none"/>
              </w:tabs>
              <w:spacing w:line="276" w:lineRule="exact" w:before="0" w:after="0"/>
              <w:ind w:left="467" w:right="432" w:hanging="360"/>
              <w:jc w:val="left"/>
              <w:rPr>
                <w:sz w:val="24"/>
              </w:rPr>
            </w:pPr>
            <w:r>
              <w:rPr>
                <w:sz w:val="24"/>
              </w:rPr>
              <w:t>при</w:t>
            </w:r>
            <w:r>
              <w:rPr>
                <w:spacing w:val="-12"/>
                <w:sz w:val="24"/>
              </w:rPr>
              <w:t> </w:t>
            </w:r>
            <w:r>
              <w:rPr>
                <w:sz w:val="24"/>
              </w:rPr>
              <w:t>сохранении</w:t>
            </w:r>
            <w:r>
              <w:rPr>
                <w:spacing w:val="-12"/>
                <w:sz w:val="24"/>
              </w:rPr>
              <w:t> </w:t>
            </w:r>
            <w:r>
              <w:rPr>
                <w:sz w:val="24"/>
              </w:rPr>
              <w:t>повышенного</w:t>
            </w:r>
            <w:r>
              <w:rPr>
                <w:spacing w:val="-13"/>
                <w:sz w:val="24"/>
              </w:rPr>
              <w:t> </w:t>
            </w:r>
            <w:r>
              <w:rPr>
                <w:sz w:val="24"/>
              </w:rPr>
              <w:t>уровня АЛТ — поиск других возможных причин повышения АЛТ</w:t>
            </w:r>
          </w:p>
        </w:tc>
      </w:tr>
      <w:tr>
        <w:trPr>
          <w:trHeight w:val="12126" w:hRule="atLeast"/>
        </w:trPr>
        <w:tc>
          <w:tcPr>
            <w:tcW w:w="4786" w:type="dxa"/>
          </w:tcPr>
          <w:p>
            <w:pPr>
              <w:pStyle w:val="TableParagraph"/>
              <w:ind w:right="184"/>
              <w:rPr>
                <w:b/>
                <w:sz w:val="24"/>
              </w:rPr>
            </w:pPr>
            <w:r>
              <w:rPr>
                <w:b/>
                <w:sz w:val="24"/>
              </w:rPr>
              <w:t>Мониторинг КФК </w:t>
            </w:r>
            <w:r>
              <w:rPr>
                <w:b/>
                <w:spacing w:val="-2"/>
                <w:sz w:val="24"/>
              </w:rPr>
              <w:t>(креатинфосфокиназы)</w:t>
            </w:r>
          </w:p>
        </w:tc>
        <w:tc>
          <w:tcPr>
            <w:tcW w:w="4786" w:type="dxa"/>
          </w:tcPr>
          <w:p>
            <w:pPr>
              <w:pStyle w:val="TableParagraph"/>
              <w:numPr>
                <w:ilvl w:val="0"/>
                <w:numId w:val="35"/>
              </w:numPr>
              <w:tabs>
                <w:tab w:pos="467" w:val="left" w:leader="none"/>
                <w:tab w:pos="468" w:val="left" w:leader="none"/>
              </w:tabs>
              <w:spacing w:line="293" w:lineRule="exact" w:before="0" w:after="0"/>
              <w:ind w:left="467" w:right="0" w:hanging="361"/>
              <w:jc w:val="left"/>
              <w:rPr>
                <w:sz w:val="24"/>
              </w:rPr>
            </w:pPr>
            <w:r>
              <w:rPr>
                <w:sz w:val="24"/>
              </w:rPr>
              <w:t>до</w:t>
            </w:r>
            <w:r>
              <w:rPr>
                <w:spacing w:val="-1"/>
                <w:sz w:val="24"/>
              </w:rPr>
              <w:t> </w:t>
            </w:r>
            <w:r>
              <w:rPr>
                <w:sz w:val="24"/>
              </w:rPr>
              <w:t>начала</w:t>
            </w:r>
            <w:r>
              <w:rPr>
                <w:spacing w:val="-2"/>
                <w:sz w:val="24"/>
              </w:rPr>
              <w:t> терапии</w:t>
            </w:r>
          </w:p>
          <w:p>
            <w:pPr>
              <w:pStyle w:val="TableParagraph"/>
              <w:numPr>
                <w:ilvl w:val="0"/>
                <w:numId w:val="35"/>
              </w:numPr>
              <w:tabs>
                <w:tab w:pos="467" w:val="left" w:leader="none"/>
                <w:tab w:pos="468" w:val="left" w:leader="none"/>
              </w:tabs>
              <w:spacing w:line="240" w:lineRule="auto" w:before="1" w:after="0"/>
              <w:ind w:left="467" w:right="225" w:hanging="360"/>
              <w:jc w:val="left"/>
              <w:rPr>
                <w:sz w:val="24"/>
              </w:rPr>
            </w:pPr>
            <w:r>
              <w:rPr>
                <w:sz w:val="24"/>
              </w:rPr>
              <w:t>при</w:t>
            </w:r>
            <w:r>
              <w:rPr>
                <w:spacing w:val="-7"/>
                <w:sz w:val="24"/>
              </w:rPr>
              <w:t> </w:t>
            </w:r>
            <w:r>
              <w:rPr>
                <w:sz w:val="24"/>
              </w:rPr>
              <w:t>повышении</w:t>
            </w:r>
            <w:r>
              <w:rPr>
                <w:spacing w:val="-9"/>
                <w:sz w:val="24"/>
              </w:rPr>
              <w:t> </w:t>
            </w:r>
            <w:r>
              <w:rPr>
                <w:sz w:val="24"/>
              </w:rPr>
              <w:t>исходно</w:t>
            </w:r>
            <w:r>
              <w:rPr>
                <w:spacing w:val="-7"/>
                <w:sz w:val="24"/>
              </w:rPr>
              <w:t> </w:t>
            </w:r>
            <w:r>
              <w:rPr>
                <w:sz w:val="24"/>
              </w:rPr>
              <w:t>уровня</w:t>
            </w:r>
            <w:r>
              <w:rPr>
                <w:spacing w:val="-7"/>
                <w:sz w:val="24"/>
              </w:rPr>
              <w:t> </w:t>
            </w:r>
            <w:r>
              <w:rPr>
                <w:sz w:val="24"/>
              </w:rPr>
              <w:t>КФК</w:t>
            </w:r>
            <w:r>
              <w:rPr>
                <w:spacing w:val="-7"/>
                <w:sz w:val="24"/>
              </w:rPr>
              <w:t> </w:t>
            </w:r>
            <w:r>
              <w:rPr>
                <w:sz w:val="24"/>
              </w:rPr>
              <w:t>&gt; 4 N гиполипидемическую терапию не </w:t>
            </w:r>
            <w:r>
              <w:rPr>
                <w:spacing w:val="-2"/>
                <w:sz w:val="24"/>
              </w:rPr>
              <w:t>начинать</w:t>
            </w:r>
          </w:p>
          <w:p>
            <w:pPr>
              <w:pStyle w:val="TableParagraph"/>
              <w:spacing w:before="10"/>
              <w:ind w:left="0"/>
              <w:rPr>
                <w:b/>
                <w:sz w:val="23"/>
              </w:rPr>
            </w:pPr>
          </w:p>
          <w:p>
            <w:pPr>
              <w:pStyle w:val="TableParagraph"/>
              <w:spacing w:before="1"/>
              <w:ind w:right="108"/>
              <w:rPr>
                <w:sz w:val="24"/>
              </w:rPr>
            </w:pPr>
            <w:r>
              <w:rPr>
                <w:b/>
                <w:i/>
                <w:sz w:val="24"/>
              </w:rPr>
              <w:t>мониторинг</w:t>
            </w:r>
            <w:r>
              <w:rPr>
                <w:b/>
                <w:i/>
                <w:spacing w:val="-14"/>
                <w:sz w:val="24"/>
              </w:rPr>
              <w:t> </w:t>
            </w:r>
            <w:r>
              <w:rPr>
                <w:b/>
                <w:i/>
                <w:sz w:val="24"/>
              </w:rPr>
              <w:t>на</w:t>
            </w:r>
            <w:r>
              <w:rPr>
                <w:b/>
                <w:i/>
                <w:spacing w:val="-12"/>
                <w:sz w:val="24"/>
              </w:rPr>
              <w:t> </w:t>
            </w:r>
            <w:r>
              <w:rPr>
                <w:b/>
                <w:i/>
                <w:sz w:val="24"/>
              </w:rPr>
              <w:t>фоне</w:t>
            </w:r>
            <w:r>
              <w:rPr>
                <w:b/>
                <w:i/>
                <w:spacing w:val="-13"/>
                <w:sz w:val="24"/>
              </w:rPr>
              <w:t> </w:t>
            </w:r>
            <w:r>
              <w:rPr>
                <w:b/>
                <w:i/>
                <w:sz w:val="24"/>
              </w:rPr>
              <w:t>гиполипидемической </w:t>
            </w:r>
            <w:r>
              <w:rPr>
                <w:b/>
                <w:i/>
                <w:spacing w:val="-2"/>
                <w:sz w:val="24"/>
              </w:rPr>
              <w:t>терапии</w:t>
            </w:r>
            <w:r>
              <w:rPr>
                <w:spacing w:val="-2"/>
                <w:sz w:val="24"/>
              </w:rPr>
              <w:t>:</w:t>
            </w:r>
          </w:p>
          <w:p>
            <w:pPr>
              <w:pStyle w:val="TableParagraph"/>
              <w:numPr>
                <w:ilvl w:val="0"/>
                <w:numId w:val="35"/>
              </w:numPr>
              <w:tabs>
                <w:tab w:pos="467" w:val="left" w:leader="none"/>
                <w:tab w:pos="468" w:val="left" w:leader="none"/>
              </w:tabs>
              <w:spacing w:line="293" w:lineRule="exact" w:before="0" w:after="0"/>
              <w:ind w:left="467" w:right="0" w:hanging="361"/>
              <w:jc w:val="left"/>
              <w:rPr>
                <w:sz w:val="24"/>
              </w:rPr>
            </w:pPr>
            <w:r>
              <w:rPr>
                <w:sz w:val="24"/>
              </w:rPr>
              <w:t>рутинно не </w:t>
            </w:r>
            <w:r>
              <w:rPr>
                <w:spacing w:val="-2"/>
                <w:sz w:val="24"/>
              </w:rPr>
              <w:t>рекомендован</w:t>
            </w:r>
          </w:p>
          <w:p>
            <w:pPr>
              <w:pStyle w:val="TableParagraph"/>
              <w:numPr>
                <w:ilvl w:val="0"/>
                <w:numId w:val="35"/>
              </w:numPr>
              <w:tabs>
                <w:tab w:pos="467" w:val="left" w:leader="none"/>
                <w:tab w:pos="468" w:val="left" w:leader="none"/>
              </w:tabs>
              <w:spacing w:line="240" w:lineRule="auto" w:before="0" w:after="0"/>
              <w:ind w:left="467" w:right="1300" w:hanging="360"/>
              <w:jc w:val="left"/>
              <w:rPr>
                <w:sz w:val="24"/>
              </w:rPr>
            </w:pPr>
            <w:r>
              <w:rPr>
                <w:sz w:val="24"/>
              </w:rPr>
              <w:t>выполняется при появлении миалгии/мышечной</w:t>
            </w:r>
            <w:r>
              <w:rPr>
                <w:spacing w:val="-15"/>
                <w:sz w:val="24"/>
              </w:rPr>
              <w:t> </w:t>
            </w:r>
            <w:r>
              <w:rPr>
                <w:sz w:val="24"/>
              </w:rPr>
              <w:t>слабости</w:t>
            </w:r>
          </w:p>
          <w:p>
            <w:pPr>
              <w:pStyle w:val="TableParagraph"/>
              <w:spacing w:before="3"/>
              <w:ind w:left="0"/>
              <w:rPr>
                <w:b/>
                <w:sz w:val="25"/>
              </w:rPr>
            </w:pPr>
          </w:p>
          <w:p>
            <w:pPr>
              <w:pStyle w:val="TableParagraph"/>
              <w:spacing w:before="1"/>
              <w:ind w:right="108"/>
              <w:rPr>
                <w:b/>
                <w:i/>
                <w:sz w:val="24"/>
              </w:rPr>
            </w:pPr>
            <w:r>
              <w:rPr>
                <w:b/>
                <w:i/>
                <w:sz w:val="24"/>
              </w:rPr>
              <w:t>факторы</w:t>
            </w:r>
            <w:r>
              <w:rPr>
                <w:b/>
                <w:i/>
                <w:spacing w:val="-15"/>
                <w:sz w:val="24"/>
              </w:rPr>
              <w:t> </w:t>
            </w:r>
            <w:r>
              <w:rPr>
                <w:b/>
                <w:i/>
                <w:sz w:val="24"/>
              </w:rPr>
              <w:t>риска</w:t>
            </w:r>
            <w:r>
              <w:rPr>
                <w:b/>
                <w:i/>
                <w:spacing w:val="-15"/>
                <w:sz w:val="24"/>
              </w:rPr>
              <w:t> </w:t>
            </w:r>
            <w:r>
              <w:rPr>
                <w:b/>
                <w:i/>
                <w:sz w:val="24"/>
              </w:rPr>
              <w:t>миопатии/повышения КФК на фоне гиполипидемической </w:t>
            </w:r>
            <w:r>
              <w:rPr>
                <w:b/>
                <w:i/>
                <w:spacing w:val="-2"/>
                <w:sz w:val="24"/>
              </w:rPr>
              <w:t>терапии:</w:t>
            </w:r>
          </w:p>
          <w:p>
            <w:pPr>
              <w:pStyle w:val="TableParagraph"/>
              <w:numPr>
                <w:ilvl w:val="0"/>
                <w:numId w:val="35"/>
              </w:numPr>
              <w:tabs>
                <w:tab w:pos="467" w:val="left" w:leader="none"/>
                <w:tab w:pos="468" w:val="left" w:leader="none"/>
              </w:tabs>
              <w:spacing w:line="240" w:lineRule="auto" w:before="0" w:after="0"/>
              <w:ind w:left="467" w:right="131" w:hanging="360"/>
              <w:jc w:val="left"/>
              <w:rPr>
                <w:sz w:val="24"/>
              </w:rPr>
            </w:pPr>
            <w:r>
              <w:rPr>
                <w:sz w:val="24"/>
              </w:rPr>
              <w:t>пожилой</w:t>
            </w:r>
            <w:r>
              <w:rPr>
                <w:spacing w:val="-12"/>
                <w:sz w:val="24"/>
              </w:rPr>
              <w:t> </w:t>
            </w:r>
            <w:r>
              <w:rPr>
                <w:sz w:val="24"/>
              </w:rPr>
              <w:t>возраст,</w:t>
            </w:r>
            <w:r>
              <w:rPr>
                <w:spacing w:val="-13"/>
                <w:sz w:val="24"/>
              </w:rPr>
              <w:t> </w:t>
            </w:r>
            <w:r>
              <w:rPr>
                <w:sz w:val="24"/>
              </w:rPr>
              <w:t>прием</w:t>
            </w:r>
            <w:r>
              <w:rPr>
                <w:spacing w:val="-14"/>
                <w:sz w:val="24"/>
              </w:rPr>
              <w:t> </w:t>
            </w:r>
            <w:r>
              <w:rPr>
                <w:sz w:val="24"/>
              </w:rPr>
              <w:t>сопутствующей терапии (с возможным неблагоприятным взаимодействием с гиполипидемическими препаратами)</w:t>
            </w:r>
          </w:p>
          <w:p>
            <w:pPr>
              <w:pStyle w:val="TableParagraph"/>
              <w:numPr>
                <w:ilvl w:val="0"/>
                <w:numId w:val="35"/>
              </w:numPr>
              <w:tabs>
                <w:tab w:pos="467" w:val="left" w:leader="none"/>
                <w:tab w:pos="468" w:val="left" w:leader="none"/>
              </w:tabs>
              <w:spacing w:line="292" w:lineRule="exact" w:before="0" w:after="0"/>
              <w:ind w:left="467" w:right="0" w:hanging="361"/>
              <w:jc w:val="left"/>
              <w:rPr>
                <w:sz w:val="24"/>
              </w:rPr>
            </w:pPr>
            <w:r>
              <w:rPr>
                <w:spacing w:val="-2"/>
                <w:sz w:val="24"/>
              </w:rPr>
              <w:t>спортсмены</w:t>
            </w:r>
          </w:p>
          <w:p>
            <w:pPr>
              <w:pStyle w:val="TableParagraph"/>
              <w:numPr>
                <w:ilvl w:val="0"/>
                <w:numId w:val="35"/>
              </w:numPr>
              <w:tabs>
                <w:tab w:pos="467" w:val="left" w:leader="none"/>
                <w:tab w:pos="468" w:val="left" w:leader="none"/>
              </w:tabs>
              <w:spacing w:line="293" w:lineRule="exact" w:before="0" w:after="0"/>
              <w:ind w:left="467" w:right="0" w:hanging="361"/>
              <w:jc w:val="left"/>
              <w:rPr>
                <w:sz w:val="24"/>
              </w:rPr>
            </w:pPr>
            <w:r>
              <w:rPr>
                <w:sz w:val="24"/>
              </w:rPr>
              <w:t>патология</w:t>
            </w:r>
            <w:r>
              <w:rPr>
                <w:spacing w:val="-2"/>
                <w:sz w:val="24"/>
              </w:rPr>
              <w:t> </w:t>
            </w:r>
            <w:r>
              <w:rPr>
                <w:sz w:val="24"/>
              </w:rPr>
              <w:t>печени,</w:t>
            </w:r>
            <w:r>
              <w:rPr>
                <w:spacing w:val="-2"/>
                <w:sz w:val="24"/>
              </w:rPr>
              <w:t> </w:t>
            </w:r>
            <w:r>
              <w:rPr>
                <w:spacing w:val="-4"/>
                <w:sz w:val="24"/>
              </w:rPr>
              <w:t>почек</w:t>
            </w:r>
          </w:p>
          <w:p>
            <w:pPr>
              <w:pStyle w:val="TableParagraph"/>
              <w:spacing w:before="6"/>
              <w:ind w:left="0"/>
              <w:rPr>
                <w:b/>
                <w:sz w:val="25"/>
              </w:rPr>
            </w:pPr>
          </w:p>
          <w:p>
            <w:pPr>
              <w:pStyle w:val="TableParagraph"/>
              <w:spacing w:line="292" w:lineRule="exact" w:before="1"/>
              <w:rPr>
                <w:b/>
                <w:i/>
                <w:sz w:val="24"/>
              </w:rPr>
            </w:pPr>
            <w:r>
              <w:rPr>
                <w:b/>
                <w:i/>
                <w:sz w:val="24"/>
              </w:rPr>
              <w:t>Повышение</w:t>
            </w:r>
            <w:r>
              <w:rPr>
                <w:b/>
                <w:i/>
                <w:spacing w:val="-4"/>
                <w:sz w:val="24"/>
              </w:rPr>
              <w:t> </w:t>
            </w:r>
            <w:r>
              <w:rPr>
                <w:b/>
                <w:i/>
                <w:sz w:val="24"/>
              </w:rPr>
              <w:t>КФК</w:t>
            </w:r>
            <w:r>
              <w:rPr>
                <w:b/>
                <w:i/>
                <w:spacing w:val="-1"/>
                <w:sz w:val="24"/>
              </w:rPr>
              <w:t> </w:t>
            </w:r>
            <w:r>
              <w:rPr>
                <w:rFonts w:ascii="Calibri" w:hAnsi="Calibri"/>
                <w:b/>
                <w:i/>
                <w:sz w:val="24"/>
              </w:rPr>
              <w:t>˂</w:t>
            </w:r>
            <w:r>
              <w:rPr>
                <w:rFonts w:ascii="Calibri" w:hAnsi="Calibri"/>
                <w:b/>
                <w:i/>
                <w:spacing w:val="5"/>
                <w:sz w:val="24"/>
              </w:rPr>
              <w:t> </w:t>
            </w:r>
            <w:r>
              <w:rPr>
                <w:b/>
                <w:i/>
                <w:spacing w:val="-5"/>
                <w:sz w:val="24"/>
              </w:rPr>
              <w:t>4N:</w:t>
            </w:r>
          </w:p>
          <w:p>
            <w:pPr>
              <w:pStyle w:val="TableParagraph"/>
              <w:numPr>
                <w:ilvl w:val="0"/>
                <w:numId w:val="35"/>
              </w:numPr>
              <w:tabs>
                <w:tab w:pos="467" w:val="left" w:leader="none"/>
                <w:tab w:pos="468" w:val="left" w:leader="none"/>
              </w:tabs>
              <w:spacing w:line="240" w:lineRule="auto" w:before="0" w:after="0"/>
              <w:ind w:left="467" w:right="321" w:hanging="360"/>
              <w:jc w:val="left"/>
              <w:rPr>
                <w:sz w:val="24"/>
              </w:rPr>
            </w:pPr>
            <w:r>
              <w:rPr>
                <w:sz w:val="24"/>
              </w:rPr>
              <w:t>при отсутствии симптомов миопатии прием статина продолжить (при появлении</w:t>
            </w:r>
            <w:r>
              <w:rPr>
                <w:spacing w:val="-11"/>
                <w:sz w:val="24"/>
              </w:rPr>
              <w:t> </w:t>
            </w:r>
            <w:r>
              <w:rPr>
                <w:sz w:val="24"/>
              </w:rPr>
              <w:t>симптомов</w:t>
            </w:r>
            <w:r>
              <w:rPr>
                <w:spacing w:val="-13"/>
                <w:sz w:val="24"/>
              </w:rPr>
              <w:t> </w:t>
            </w:r>
            <w:r>
              <w:rPr>
                <w:sz w:val="24"/>
              </w:rPr>
              <w:t>пациент</w:t>
            </w:r>
            <w:r>
              <w:rPr>
                <w:spacing w:val="-13"/>
                <w:sz w:val="24"/>
              </w:rPr>
              <w:t> </w:t>
            </w:r>
            <w:r>
              <w:rPr>
                <w:sz w:val="24"/>
              </w:rPr>
              <w:t>должен обратиться к врачу для лабораторного определения уровня КФК)</w:t>
            </w:r>
          </w:p>
          <w:p>
            <w:pPr>
              <w:pStyle w:val="TableParagraph"/>
              <w:numPr>
                <w:ilvl w:val="0"/>
                <w:numId w:val="35"/>
              </w:numPr>
              <w:tabs>
                <w:tab w:pos="467" w:val="left" w:leader="none"/>
                <w:tab w:pos="468" w:val="left" w:leader="none"/>
              </w:tabs>
              <w:spacing w:line="240" w:lineRule="auto" w:before="0" w:after="0"/>
              <w:ind w:left="467" w:right="622" w:hanging="360"/>
              <w:jc w:val="left"/>
              <w:rPr>
                <w:sz w:val="24"/>
              </w:rPr>
            </w:pPr>
            <w:r>
              <w:rPr>
                <w:sz w:val="24"/>
              </w:rPr>
              <w:t>при наличии симптомов миопатии необходим</w:t>
            </w:r>
            <w:r>
              <w:rPr>
                <w:spacing w:val="-15"/>
                <w:sz w:val="24"/>
              </w:rPr>
              <w:t> </w:t>
            </w:r>
            <w:r>
              <w:rPr>
                <w:sz w:val="24"/>
              </w:rPr>
              <w:t>регулярный</w:t>
            </w:r>
            <w:r>
              <w:rPr>
                <w:spacing w:val="-15"/>
                <w:sz w:val="24"/>
              </w:rPr>
              <w:t> </w:t>
            </w:r>
            <w:r>
              <w:rPr>
                <w:sz w:val="24"/>
              </w:rPr>
              <w:t>мониторинг </w:t>
            </w:r>
            <w:r>
              <w:rPr>
                <w:spacing w:val="-4"/>
                <w:sz w:val="24"/>
              </w:rPr>
              <w:t>КФК</w:t>
            </w:r>
          </w:p>
          <w:p>
            <w:pPr>
              <w:pStyle w:val="TableParagraph"/>
              <w:numPr>
                <w:ilvl w:val="0"/>
                <w:numId w:val="35"/>
              </w:numPr>
              <w:tabs>
                <w:tab w:pos="467" w:val="left" w:leader="none"/>
                <w:tab w:pos="468" w:val="left" w:leader="none"/>
              </w:tabs>
              <w:spacing w:line="240" w:lineRule="auto" w:before="0" w:after="0"/>
              <w:ind w:left="467" w:right="216" w:hanging="360"/>
              <w:jc w:val="left"/>
              <w:rPr>
                <w:sz w:val="24"/>
              </w:rPr>
            </w:pPr>
            <w:r>
              <w:rPr>
                <w:sz w:val="24"/>
              </w:rPr>
              <w:t>если симптомы миопатии сохраняются необходимо отменить прием статина, провести</w:t>
            </w:r>
            <w:r>
              <w:rPr>
                <w:spacing w:val="-12"/>
                <w:sz w:val="24"/>
              </w:rPr>
              <w:t> </w:t>
            </w:r>
            <w:r>
              <w:rPr>
                <w:sz w:val="24"/>
              </w:rPr>
              <w:t>повторную</w:t>
            </w:r>
            <w:r>
              <w:rPr>
                <w:spacing w:val="-12"/>
                <w:sz w:val="24"/>
              </w:rPr>
              <w:t> </w:t>
            </w:r>
            <w:r>
              <w:rPr>
                <w:sz w:val="24"/>
              </w:rPr>
              <w:t>оценку</w:t>
            </w:r>
            <w:r>
              <w:rPr>
                <w:spacing w:val="-12"/>
                <w:sz w:val="24"/>
              </w:rPr>
              <w:t> </w:t>
            </w:r>
            <w:r>
              <w:rPr>
                <w:sz w:val="24"/>
              </w:rPr>
              <w:t>симптомов и уровня КФК через 6 нед. после </w:t>
            </w:r>
            <w:r>
              <w:rPr>
                <w:spacing w:val="-2"/>
                <w:sz w:val="24"/>
              </w:rPr>
              <w:t>отмены</w:t>
            </w:r>
          </w:p>
          <w:p>
            <w:pPr>
              <w:pStyle w:val="TableParagraph"/>
              <w:numPr>
                <w:ilvl w:val="0"/>
                <w:numId w:val="35"/>
              </w:numPr>
              <w:tabs>
                <w:tab w:pos="467" w:val="left" w:leader="none"/>
                <w:tab w:pos="468" w:val="left" w:leader="none"/>
              </w:tabs>
              <w:spacing w:line="240" w:lineRule="auto" w:before="0" w:after="0"/>
              <w:ind w:left="467" w:right="146" w:hanging="360"/>
              <w:jc w:val="left"/>
              <w:rPr>
                <w:sz w:val="24"/>
              </w:rPr>
            </w:pPr>
            <w:r>
              <w:rPr>
                <w:sz w:val="24"/>
              </w:rPr>
              <w:t>после исчезновения симптомов и нормализации КФК возобновить назначение статина в меньшей дозе, с режимом</w:t>
            </w:r>
            <w:r>
              <w:rPr>
                <w:spacing w:val="-6"/>
                <w:sz w:val="24"/>
              </w:rPr>
              <w:t> </w:t>
            </w:r>
            <w:r>
              <w:rPr>
                <w:sz w:val="24"/>
              </w:rPr>
              <w:t>приема</w:t>
            </w:r>
            <w:r>
              <w:rPr>
                <w:spacing w:val="-6"/>
                <w:sz w:val="24"/>
              </w:rPr>
              <w:t> </w:t>
            </w:r>
            <w:r>
              <w:rPr>
                <w:sz w:val="24"/>
              </w:rPr>
              <w:t>через</w:t>
            </w:r>
            <w:r>
              <w:rPr>
                <w:spacing w:val="-5"/>
                <w:sz w:val="24"/>
              </w:rPr>
              <w:t> </w:t>
            </w:r>
            <w:r>
              <w:rPr>
                <w:sz w:val="24"/>
              </w:rPr>
              <w:t>день</w:t>
            </w:r>
            <w:r>
              <w:rPr>
                <w:spacing w:val="-6"/>
                <w:sz w:val="24"/>
              </w:rPr>
              <w:t> </w:t>
            </w:r>
            <w:r>
              <w:rPr>
                <w:sz w:val="24"/>
              </w:rPr>
              <w:t>или</w:t>
            </w:r>
            <w:r>
              <w:rPr>
                <w:spacing w:val="-5"/>
                <w:sz w:val="24"/>
              </w:rPr>
              <w:t> </w:t>
            </w:r>
            <w:r>
              <w:rPr>
                <w:sz w:val="24"/>
              </w:rPr>
              <w:t>2</w:t>
            </w:r>
            <w:r>
              <w:rPr>
                <w:spacing w:val="-6"/>
                <w:sz w:val="24"/>
              </w:rPr>
              <w:t> </w:t>
            </w:r>
            <w:r>
              <w:rPr>
                <w:sz w:val="24"/>
              </w:rPr>
              <w:t>раза</w:t>
            </w:r>
            <w:r>
              <w:rPr>
                <w:spacing w:val="-6"/>
                <w:sz w:val="24"/>
              </w:rPr>
              <w:t> </w:t>
            </w:r>
            <w:r>
              <w:rPr>
                <w:sz w:val="24"/>
              </w:rPr>
              <w:t>в </w:t>
            </w:r>
            <w:r>
              <w:rPr>
                <w:spacing w:val="-2"/>
                <w:sz w:val="24"/>
              </w:rPr>
              <w:t>неделю</w:t>
            </w:r>
          </w:p>
          <w:p>
            <w:pPr>
              <w:pStyle w:val="TableParagraph"/>
              <w:numPr>
                <w:ilvl w:val="0"/>
                <w:numId w:val="35"/>
              </w:numPr>
              <w:tabs>
                <w:tab w:pos="467" w:val="left" w:leader="none"/>
                <w:tab w:pos="468" w:val="left" w:leader="none"/>
              </w:tabs>
              <w:spacing w:line="240" w:lineRule="auto" w:before="0" w:after="0"/>
              <w:ind w:left="467" w:right="1281" w:hanging="360"/>
              <w:jc w:val="left"/>
              <w:rPr>
                <w:sz w:val="24"/>
              </w:rPr>
            </w:pPr>
            <w:r>
              <w:rPr>
                <w:sz w:val="24"/>
              </w:rPr>
              <w:t>возможна комбинированная гиполипидемическая</w:t>
            </w:r>
            <w:r>
              <w:rPr>
                <w:spacing w:val="-15"/>
                <w:sz w:val="24"/>
              </w:rPr>
              <w:t> </w:t>
            </w:r>
            <w:r>
              <w:rPr>
                <w:sz w:val="24"/>
              </w:rPr>
              <w:t>терапия</w:t>
            </w:r>
          </w:p>
        </w:tc>
      </w:tr>
    </w:tbl>
    <w:p>
      <w:pPr>
        <w:spacing w:after="0" w:line="240" w:lineRule="auto"/>
        <w:jc w:val="left"/>
        <w:rPr>
          <w:sz w:val="24"/>
        </w:rPr>
        <w:sectPr>
          <w:type w:val="continuous"/>
          <w:pgSz w:w="11910" w:h="16840"/>
          <w:pgMar w:header="0" w:footer="710" w:top="1100" w:bottom="900" w:left="440" w:right="280"/>
        </w:sect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786"/>
        <w:gridCol w:w="4786"/>
      </w:tblGrid>
      <w:tr>
        <w:trPr>
          <w:trHeight w:val="8245" w:hRule="atLeast"/>
        </w:trPr>
        <w:tc>
          <w:tcPr>
            <w:tcW w:w="4786" w:type="dxa"/>
          </w:tcPr>
          <w:p>
            <w:pPr>
              <w:pStyle w:val="TableParagraph"/>
              <w:ind w:left="0"/>
              <w:rPr>
                <w:sz w:val="22"/>
              </w:rPr>
            </w:pPr>
          </w:p>
        </w:tc>
        <w:tc>
          <w:tcPr>
            <w:tcW w:w="4786" w:type="dxa"/>
          </w:tcPr>
          <w:p>
            <w:pPr>
              <w:pStyle w:val="TableParagraph"/>
              <w:spacing w:line="276" w:lineRule="exact" w:before="1"/>
              <w:rPr>
                <w:b/>
                <w:i/>
                <w:sz w:val="24"/>
              </w:rPr>
            </w:pPr>
            <w:r>
              <w:rPr>
                <w:b/>
                <w:i/>
                <w:sz w:val="24"/>
              </w:rPr>
              <w:t>Повышение</w:t>
            </w:r>
            <w:r>
              <w:rPr>
                <w:b/>
                <w:i/>
                <w:spacing w:val="-4"/>
                <w:sz w:val="24"/>
              </w:rPr>
              <w:t> </w:t>
            </w:r>
            <w:r>
              <w:rPr>
                <w:b/>
                <w:i/>
                <w:sz w:val="24"/>
              </w:rPr>
              <w:t>КФК</w:t>
            </w:r>
            <w:r>
              <w:rPr>
                <w:b/>
                <w:i/>
                <w:spacing w:val="-1"/>
                <w:sz w:val="24"/>
              </w:rPr>
              <w:t> </w:t>
            </w:r>
            <w:r>
              <w:rPr>
                <w:b/>
                <w:i/>
                <w:sz w:val="24"/>
              </w:rPr>
              <w:t>≥</w:t>
            </w:r>
            <w:r>
              <w:rPr>
                <w:b/>
                <w:i/>
                <w:spacing w:val="-1"/>
                <w:sz w:val="24"/>
              </w:rPr>
              <w:t> </w:t>
            </w:r>
            <w:r>
              <w:rPr>
                <w:b/>
                <w:i/>
                <w:spacing w:val="-5"/>
                <w:sz w:val="24"/>
              </w:rPr>
              <w:t>4N:</w:t>
            </w:r>
          </w:p>
          <w:p>
            <w:pPr>
              <w:pStyle w:val="TableParagraph"/>
              <w:numPr>
                <w:ilvl w:val="0"/>
                <w:numId w:val="36"/>
              </w:numPr>
              <w:tabs>
                <w:tab w:pos="467" w:val="left" w:leader="none"/>
                <w:tab w:pos="468" w:val="left" w:leader="none"/>
              </w:tabs>
              <w:spacing w:line="240" w:lineRule="auto" w:before="0" w:after="0"/>
              <w:ind w:left="467" w:right="746" w:hanging="360"/>
              <w:jc w:val="left"/>
              <w:rPr>
                <w:sz w:val="24"/>
              </w:rPr>
            </w:pPr>
            <w:r>
              <w:rPr>
                <w:sz w:val="24"/>
              </w:rPr>
              <w:t>оценить</w:t>
            </w:r>
            <w:r>
              <w:rPr>
                <w:spacing w:val="-11"/>
                <w:sz w:val="24"/>
              </w:rPr>
              <w:t> </w:t>
            </w:r>
            <w:r>
              <w:rPr>
                <w:sz w:val="24"/>
              </w:rPr>
              <w:t>показания</w:t>
            </w:r>
            <w:r>
              <w:rPr>
                <w:spacing w:val="-12"/>
                <w:sz w:val="24"/>
              </w:rPr>
              <w:t> </w:t>
            </w:r>
            <w:r>
              <w:rPr>
                <w:sz w:val="24"/>
              </w:rPr>
              <w:t>для</w:t>
            </w:r>
            <w:r>
              <w:rPr>
                <w:spacing w:val="-14"/>
                <w:sz w:val="24"/>
              </w:rPr>
              <w:t> </w:t>
            </w:r>
            <w:r>
              <w:rPr>
                <w:sz w:val="24"/>
              </w:rPr>
              <w:t>назначения </w:t>
            </w:r>
            <w:r>
              <w:rPr>
                <w:spacing w:val="-2"/>
                <w:sz w:val="24"/>
              </w:rPr>
              <w:t>статина</w:t>
            </w:r>
          </w:p>
          <w:p>
            <w:pPr>
              <w:pStyle w:val="TableParagraph"/>
              <w:spacing w:before="10"/>
              <w:ind w:left="0"/>
              <w:rPr>
                <w:b/>
                <w:sz w:val="23"/>
              </w:rPr>
            </w:pPr>
          </w:p>
          <w:p>
            <w:pPr>
              <w:pStyle w:val="TableParagraph"/>
              <w:spacing w:line="276" w:lineRule="exact" w:before="1"/>
              <w:rPr>
                <w:b/>
                <w:i/>
                <w:sz w:val="24"/>
              </w:rPr>
            </w:pPr>
            <w:r>
              <w:rPr>
                <w:b/>
                <w:i/>
                <w:sz w:val="24"/>
              </w:rPr>
              <w:t>Повышение</w:t>
            </w:r>
            <w:r>
              <w:rPr>
                <w:b/>
                <w:i/>
                <w:spacing w:val="-3"/>
                <w:sz w:val="24"/>
              </w:rPr>
              <w:t> </w:t>
            </w:r>
            <w:r>
              <w:rPr>
                <w:b/>
                <w:i/>
                <w:sz w:val="24"/>
              </w:rPr>
              <w:t>КФК</w:t>
            </w:r>
            <w:r>
              <w:rPr>
                <w:b/>
                <w:i/>
                <w:spacing w:val="-1"/>
                <w:sz w:val="24"/>
              </w:rPr>
              <w:t> </w:t>
            </w:r>
            <w:r>
              <w:rPr>
                <w:b/>
                <w:i/>
                <w:spacing w:val="-4"/>
                <w:sz w:val="24"/>
              </w:rPr>
              <w:t>&gt;10N:</w:t>
            </w:r>
          </w:p>
          <w:p>
            <w:pPr>
              <w:pStyle w:val="TableParagraph"/>
              <w:numPr>
                <w:ilvl w:val="0"/>
                <w:numId w:val="36"/>
              </w:numPr>
              <w:tabs>
                <w:tab w:pos="467" w:val="left" w:leader="none"/>
                <w:tab w:pos="468" w:val="left" w:leader="none"/>
              </w:tabs>
              <w:spacing w:line="293" w:lineRule="exact" w:before="0" w:after="0"/>
              <w:ind w:left="467" w:right="0" w:hanging="361"/>
              <w:jc w:val="left"/>
              <w:rPr>
                <w:sz w:val="24"/>
              </w:rPr>
            </w:pPr>
            <w:r>
              <w:rPr>
                <w:sz w:val="24"/>
              </w:rPr>
              <w:t>отмена</w:t>
            </w:r>
            <w:r>
              <w:rPr>
                <w:spacing w:val="-2"/>
                <w:sz w:val="24"/>
              </w:rPr>
              <w:t> статина</w:t>
            </w:r>
          </w:p>
          <w:p>
            <w:pPr>
              <w:pStyle w:val="TableParagraph"/>
              <w:numPr>
                <w:ilvl w:val="0"/>
                <w:numId w:val="36"/>
              </w:numPr>
              <w:tabs>
                <w:tab w:pos="467" w:val="left" w:leader="none"/>
                <w:tab w:pos="468" w:val="left" w:leader="none"/>
              </w:tabs>
              <w:spacing w:line="293" w:lineRule="exact" w:before="0" w:after="0"/>
              <w:ind w:left="467" w:right="0" w:hanging="361"/>
              <w:jc w:val="left"/>
              <w:rPr>
                <w:sz w:val="24"/>
              </w:rPr>
            </w:pPr>
            <w:r>
              <w:rPr>
                <w:sz w:val="24"/>
              </w:rPr>
              <w:t>контроль</w:t>
            </w:r>
            <w:r>
              <w:rPr>
                <w:spacing w:val="-2"/>
                <w:sz w:val="24"/>
              </w:rPr>
              <w:t> </w:t>
            </w:r>
            <w:r>
              <w:rPr>
                <w:sz w:val="24"/>
              </w:rPr>
              <w:t>функции</w:t>
            </w:r>
            <w:r>
              <w:rPr>
                <w:spacing w:val="-3"/>
                <w:sz w:val="24"/>
              </w:rPr>
              <w:t> </w:t>
            </w:r>
            <w:r>
              <w:rPr>
                <w:spacing w:val="-4"/>
                <w:sz w:val="24"/>
              </w:rPr>
              <w:t>почек</w:t>
            </w:r>
          </w:p>
          <w:p>
            <w:pPr>
              <w:pStyle w:val="TableParagraph"/>
              <w:numPr>
                <w:ilvl w:val="0"/>
                <w:numId w:val="36"/>
              </w:numPr>
              <w:tabs>
                <w:tab w:pos="467" w:val="left" w:leader="none"/>
                <w:tab w:pos="468" w:val="left" w:leader="none"/>
              </w:tabs>
              <w:spacing w:line="293" w:lineRule="exact" w:before="0" w:after="0"/>
              <w:ind w:left="467" w:right="0" w:hanging="361"/>
              <w:jc w:val="left"/>
              <w:rPr>
                <w:sz w:val="24"/>
              </w:rPr>
            </w:pPr>
            <w:r>
              <w:rPr>
                <w:sz w:val="24"/>
              </w:rPr>
              <w:t>мониторинг</w:t>
            </w:r>
            <w:r>
              <w:rPr>
                <w:spacing w:val="-3"/>
                <w:sz w:val="24"/>
              </w:rPr>
              <w:t> </w:t>
            </w:r>
            <w:r>
              <w:rPr>
                <w:sz w:val="24"/>
              </w:rPr>
              <w:t>КФК</w:t>
            </w:r>
            <w:r>
              <w:rPr>
                <w:spacing w:val="-3"/>
                <w:sz w:val="24"/>
              </w:rPr>
              <w:t> </w:t>
            </w:r>
            <w:r>
              <w:rPr>
                <w:sz w:val="24"/>
              </w:rPr>
              <w:t>каждые</w:t>
            </w:r>
            <w:r>
              <w:rPr>
                <w:spacing w:val="-2"/>
                <w:sz w:val="24"/>
              </w:rPr>
              <w:t> </w:t>
            </w:r>
            <w:r>
              <w:rPr>
                <w:sz w:val="24"/>
              </w:rPr>
              <w:t>2</w:t>
            </w:r>
            <w:r>
              <w:rPr>
                <w:spacing w:val="-1"/>
                <w:sz w:val="24"/>
              </w:rPr>
              <w:t> </w:t>
            </w:r>
            <w:r>
              <w:rPr>
                <w:spacing w:val="-2"/>
                <w:sz w:val="24"/>
              </w:rPr>
              <w:t>недели</w:t>
            </w:r>
          </w:p>
          <w:p>
            <w:pPr>
              <w:pStyle w:val="TableParagraph"/>
              <w:spacing w:before="4"/>
              <w:ind w:left="0"/>
              <w:rPr>
                <w:b/>
                <w:sz w:val="25"/>
              </w:rPr>
            </w:pPr>
          </w:p>
          <w:p>
            <w:pPr>
              <w:pStyle w:val="TableParagraph"/>
              <w:ind w:right="108"/>
              <w:rPr>
                <w:i/>
                <w:sz w:val="24"/>
              </w:rPr>
            </w:pPr>
            <w:r>
              <w:rPr>
                <w:b/>
                <w:i/>
                <w:sz w:val="24"/>
              </w:rPr>
              <w:t>Повышение</w:t>
            </w:r>
            <w:r>
              <w:rPr>
                <w:b/>
                <w:i/>
                <w:spacing w:val="-8"/>
                <w:sz w:val="24"/>
              </w:rPr>
              <w:t> </w:t>
            </w:r>
            <w:r>
              <w:rPr>
                <w:b/>
                <w:i/>
                <w:sz w:val="24"/>
              </w:rPr>
              <w:t>КФК</w:t>
            </w:r>
            <w:r>
              <w:rPr>
                <w:b/>
                <w:i/>
                <w:spacing w:val="-7"/>
                <w:sz w:val="24"/>
              </w:rPr>
              <w:t> </w:t>
            </w:r>
            <w:r>
              <w:rPr>
                <w:b/>
                <w:i/>
                <w:sz w:val="24"/>
              </w:rPr>
              <w:t>˂</w:t>
            </w:r>
            <w:r>
              <w:rPr>
                <w:b/>
                <w:i/>
                <w:spacing w:val="-7"/>
                <w:sz w:val="24"/>
              </w:rPr>
              <w:t> </w:t>
            </w:r>
            <w:r>
              <w:rPr>
                <w:b/>
                <w:i/>
                <w:sz w:val="24"/>
              </w:rPr>
              <w:t>10</w:t>
            </w:r>
            <w:r>
              <w:rPr>
                <w:b/>
                <w:i/>
                <w:spacing w:val="-7"/>
                <w:sz w:val="24"/>
              </w:rPr>
              <w:t> </w:t>
            </w:r>
            <w:r>
              <w:rPr>
                <w:b/>
                <w:i/>
                <w:sz w:val="24"/>
              </w:rPr>
              <w:t>N,</w:t>
            </w:r>
            <w:r>
              <w:rPr>
                <w:b/>
                <w:i/>
                <w:spacing w:val="-7"/>
                <w:sz w:val="24"/>
              </w:rPr>
              <w:t> </w:t>
            </w:r>
            <w:r>
              <w:rPr>
                <w:b/>
                <w:i/>
                <w:sz w:val="24"/>
              </w:rPr>
              <w:t>симптомы миопатии отсутствуют</w:t>
            </w:r>
            <w:r>
              <w:rPr>
                <w:i/>
                <w:sz w:val="24"/>
              </w:rPr>
              <w:t>:</w:t>
            </w:r>
          </w:p>
          <w:p>
            <w:pPr>
              <w:pStyle w:val="TableParagraph"/>
              <w:numPr>
                <w:ilvl w:val="0"/>
                <w:numId w:val="36"/>
              </w:numPr>
              <w:tabs>
                <w:tab w:pos="467" w:val="left" w:leader="none"/>
                <w:tab w:pos="468" w:val="left" w:leader="none"/>
              </w:tabs>
              <w:spacing w:line="294" w:lineRule="exact" w:before="0" w:after="0"/>
              <w:ind w:left="467" w:right="0" w:hanging="361"/>
              <w:jc w:val="left"/>
              <w:rPr>
                <w:sz w:val="24"/>
              </w:rPr>
            </w:pPr>
            <w:r>
              <w:rPr>
                <w:sz w:val="24"/>
              </w:rPr>
              <w:t>продолжить</w:t>
            </w:r>
            <w:r>
              <w:rPr>
                <w:spacing w:val="-2"/>
                <w:sz w:val="24"/>
              </w:rPr>
              <w:t> </w:t>
            </w:r>
            <w:r>
              <w:rPr>
                <w:sz w:val="24"/>
              </w:rPr>
              <w:t>терапию</w:t>
            </w:r>
            <w:r>
              <w:rPr>
                <w:spacing w:val="-2"/>
                <w:sz w:val="24"/>
              </w:rPr>
              <w:t> статином,</w:t>
            </w:r>
          </w:p>
          <w:p>
            <w:pPr>
              <w:pStyle w:val="TableParagraph"/>
              <w:numPr>
                <w:ilvl w:val="0"/>
                <w:numId w:val="36"/>
              </w:numPr>
              <w:tabs>
                <w:tab w:pos="467" w:val="left" w:leader="none"/>
                <w:tab w:pos="468" w:val="left" w:leader="none"/>
              </w:tabs>
              <w:spacing w:line="240" w:lineRule="auto" w:before="1" w:after="0"/>
              <w:ind w:left="467" w:right="133" w:hanging="360"/>
              <w:jc w:val="left"/>
              <w:rPr>
                <w:sz w:val="24"/>
              </w:rPr>
            </w:pPr>
            <w:r>
              <w:rPr>
                <w:sz w:val="24"/>
              </w:rPr>
              <w:t>мониторинг</w:t>
            </w:r>
            <w:r>
              <w:rPr>
                <w:spacing w:val="-11"/>
                <w:sz w:val="24"/>
              </w:rPr>
              <w:t> </w:t>
            </w:r>
            <w:r>
              <w:rPr>
                <w:sz w:val="24"/>
              </w:rPr>
              <w:t>КФК</w:t>
            </w:r>
            <w:r>
              <w:rPr>
                <w:spacing w:val="-10"/>
                <w:sz w:val="24"/>
              </w:rPr>
              <w:t> </w:t>
            </w:r>
            <w:r>
              <w:rPr>
                <w:sz w:val="24"/>
              </w:rPr>
              <w:t>осуществлять</w:t>
            </w:r>
            <w:r>
              <w:rPr>
                <w:spacing w:val="-10"/>
                <w:sz w:val="24"/>
              </w:rPr>
              <w:t> </w:t>
            </w:r>
            <w:r>
              <w:rPr>
                <w:sz w:val="24"/>
              </w:rPr>
              <w:t>через</w:t>
            </w:r>
            <w:r>
              <w:rPr>
                <w:spacing w:val="-9"/>
                <w:sz w:val="24"/>
              </w:rPr>
              <w:t> </w:t>
            </w:r>
            <w:r>
              <w:rPr>
                <w:sz w:val="24"/>
              </w:rPr>
              <w:t>2– 6 нед.</w:t>
            </w:r>
          </w:p>
          <w:p>
            <w:pPr>
              <w:pStyle w:val="TableParagraph"/>
              <w:spacing w:before="11"/>
              <w:ind w:left="0"/>
              <w:rPr>
                <w:b/>
                <w:sz w:val="23"/>
              </w:rPr>
            </w:pPr>
          </w:p>
          <w:p>
            <w:pPr>
              <w:pStyle w:val="TableParagraph"/>
              <w:ind w:right="108"/>
              <w:rPr>
                <w:b/>
                <w:i/>
                <w:sz w:val="24"/>
              </w:rPr>
            </w:pPr>
            <w:r>
              <w:rPr>
                <w:b/>
                <w:i/>
                <w:sz w:val="24"/>
              </w:rPr>
              <w:t>Повышение</w:t>
            </w:r>
            <w:r>
              <w:rPr>
                <w:b/>
                <w:i/>
                <w:spacing w:val="-8"/>
                <w:sz w:val="24"/>
              </w:rPr>
              <w:t> </w:t>
            </w:r>
            <w:r>
              <w:rPr>
                <w:b/>
                <w:i/>
                <w:sz w:val="24"/>
              </w:rPr>
              <w:t>КФК</w:t>
            </w:r>
            <w:r>
              <w:rPr>
                <w:b/>
                <w:i/>
                <w:spacing w:val="-7"/>
                <w:sz w:val="24"/>
              </w:rPr>
              <w:t> </w:t>
            </w:r>
            <w:r>
              <w:rPr>
                <w:b/>
                <w:i/>
                <w:sz w:val="24"/>
              </w:rPr>
              <w:t>˂</w:t>
            </w:r>
            <w:r>
              <w:rPr>
                <w:b/>
                <w:i/>
                <w:spacing w:val="-7"/>
                <w:sz w:val="24"/>
              </w:rPr>
              <w:t> </w:t>
            </w:r>
            <w:r>
              <w:rPr>
                <w:b/>
                <w:i/>
                <w:sz w:val="24"/>
              </w:rPr>
              <w:t>10</w:t>
            </w:r>
            <w:r>
              <w:rPr>
                <w:b/>
                <w:i/>
                <w:spacing w:val="-7"/>
                <w:sz w:val="24"/>
              </w:rPr>
              <w:t> </w:t>
            </w:r>
            <w:r>
              <w:rPr>
                <w:b/>
                <w:i/>
                <w:sz w:val="24"/>
              </w:rPr>
              <w:t>N,</w:t>
            </w:r>
            <w:r>
              <w:rPr>
                <w:b/>
                <w:i/>
                <w:spacing w:val="-7"/>
                <w:sz w:val="24"/>
              </w:rPr>
              <w:t> </w:t>
            </w:r>
            <w:r>
              <w:rPr>
                <w:b/>
                <w:i/>
                <w:sz w:val="24"/>
              </w:rPr>
              <w:t>симптомы миопатии присутствуют:</w:t>
            </w:r>
          </w:p>
          <w:p>
            <w:pPr>
              <w:pStyle w:val="TableParagraph"/>
              <w:numPr>
                <w:ilvl w:val="0"/>
                <w:numId w:val="36"/>
              </w:numPr>
              <w:tabs>
                <w:tab w:pos="467" w:val="left" w:leader="none"/>
                <w:tab w:pos="468" w:val="left" w:leader="none"/>
              </w:tabs>
              <w:spacing w:line="293" w:lineRule="exact" w:before="0" w:after="0"/>
              <w:ind w:left="467" w:right="0" w:hanging="361"/>
              <w:jc w:val="left"/>
              <w:rPr>
                <w:sz w:val="24"/>
              </w:rPr>
            </w:pPr>
            <w:r>
              <w:rPr>
                <w:sz w:val="24"/>
              </w:rPr>
              <w:t>отмена</w:t>
            </w:r>
            <w:r>
              <w:rPr>
                <w:spacing w:val="-2"/>
                <w:sz w:val="24"/>
              </w:rPr>
              <w:t> статина</w:t>
            </w:r>
          </w:p>
          <w:p>
            <w:pPr>
              <w:pStyle w:val="TableParagraph"/>
              <w:numPr>
                <w:ilvl w:val="0"/>
                <w:numId w:val="36"/>
              </w:numPr>
              <w:tabs>
                <w:tab w:pos="467" w:val="left" w:leader="none"/>
                <w:tab w:pos="468" w:val="left" w:leader="none"/>
              </w:tabs>
              <w:spacing w:line="240" w:lineRule="auto" w:before="0" w:after="0"/>
              <w:ind w:left="467" w:right="1047" w:hanging="360"/>
              <w:jc w:val="left"/>
              <w:rPr>
                <w:sz w:val="24"/>
              </w:rPr>
            </w:pPr>
            <w:r>
              <w:rPr>
                <w:sz w:val="24"/>
              </w:rPr>
              <w:t>мониторинг</w:t>
            </w:r>
            <w:r>
              <w:rPr>
                <w:spacing w:val="-10"/>
                <w:sz w:val="24"/>
              </w:rPr>
              <w:t> </w:t>
            </w:r>
            <w:r>
              <w:rPr>
                <w:sz w:val="24"/>
              </w:rPr>
              <w:t>уровня</w:t>
            </w:r>
            <w:r>
              <w:rPr>
                <w:spacing w:val="-9"/>
                <w:sz w:val="24"/>
              </w:rPr>
              <w:t> </w:t>
            </w:r>
            <w:r>
              <w:rPr>
                <w:sz w:val="24"/>
              </w:rPr>
              <w:t>КФК</w:t>
            </w:r>
            <w:r>
              <w:rPr>
                <w:spacing w:val="-9"/>
                <w:sz w:val="24"/>
              </w:rPr>
              <w:t> </w:t>
            </w:r>
            <w:r>
              <w:rPr>
                <w:sz w:val="24"/>
              </w:rPr>
              <w:t>до</w:t>
            </w:r>
            <w:r>
              <w:rPr>
                <w:spacing w:val="-9"/>
                <w:sz w:val="24"/>
              </w:rPr>
              <w:t> </w:t>
            </w:r>
            <w:r>
              <w:rPr>
                <w:sz w:val="24"/>
              </w:rPr>
              <w:t>его </w:t>
            </w:r>
            <w:r>
              <w:rPr>
                <w:spacing w:val="-2"/>
                <w:sz w:val="24"/>
              </w:rPr>
              <w:t>нормализации</w:t>
            </w:r>
          </w:p>
          <w:p>
            <w:pPr>
              <w:pStyle w:val="TableParagraph"/>
              <w:numPr>
                <w:ilvl w:val="0"/>
                <w:numId w:val="36"/>
              </w:numPr>
              <w:tabs>
                <w:tab w:pos="467" w:val="left" w:leader="none"/>
                <w:tab w:pos="468" w:val="left" w:leader="none"/>
              </w:tabs>
              <w:spacing w:line="240" w:lineRule="auto" w:before="0" w:after="0"/>
              <w:ind w:left="467" w:right="213" w:hanging="360"/>
              <w:jc w:val="left"/>
              <w:rPr>
                <w:sz w:val="24"/>
              </w:rPr>
            </w:pPr>
            <w:r>
              <w:rPr>
                <w:sz w:val="24"/>
              </w:rPr>
              <w:t>после нормализации уровня КФК ре- старт</w:t>
            </w:r>
            <w:r>
              <w:rPr>
                <w:spacing w:val="-7"/>
                <w:sz w:val="24"/>
              </w:rPr>
              <w:t> </w:t>
            </w:r>
            <w:r>
              <w:rPr>
                <w:sz w:val="24"/>
              </w:rPr>
              <w:t>терапии</w:t>
            </w:r>
            <w:r>
              <w:rPr>
                <w:spacing w:val="-7"/>
                <w:sz w:val="24"/>
              </w:rPr>
              <w:t> </w:t>
            </w:r>
            <w:r>
              <w:rPr>
                <w:sz w:val="24"/>
              </w:rPr>
              <w:t>статином</w:t>
            </w:r>
            <w:r>
              <w:rPr>
                <w:spacing w:val="-8"/>
                <w:sz w:val="24"/>
              </w:rPr>
              <w:t> </w:t>
            </w:r>
            <w:r>
              <w:rPr>
                <w:sz w:val="24"/>
              </w:rPr>
              <w:t>в</w:t>
            </w:r>
            <w:r>
              <w:rPr>
                <w:spacing w:val="-8"/>
                <w:sz w:val="24"/>
              </w:rPr>
              <w:t> </w:t>
            </w:r>
            <w:r>
              <w:rPr>
                <w:sz w:val="24"/>
              </w:rPr>
              <w:t>меньшей</w:t>
            </w:r>
            <w:r>
              <w:rPr>
                <w:spacing w:val="-6"/>
                <w:sz w:val="24"/>
              </w:rPr>
              <w:t> </w:t>
            </w:r>
            <w:r>
              <w:rPr>
                <w:sz w:val="24"/>
              </w:rPr>
              <w:t>дозе</w:t>
            </w:r>
          </w:p>
          <w:p>
            <w:pPr>
              <w:pStyle w:val="TableParagraph"/>
              <w:numPr>
                <w:ilvl w:val="0"/>
                <w:numId w:val="36"/>
              </w:numPr>
              <w:tabs>
                <w:tab w:pos="467" w:val="left" w:leader="none"/>
                <w:tab w:pos="468" w:val="left" w:leader="none"/>
              </w:tabs>
              <w:spacing w:line="240" w:lineRule="auto" w:before="0" w:after="0"/>
              <w:ind w:left="467" w:right="211" w:hanging="360"/>
              <w:jc w:val="left"/>
              <w:rPr>
                <w:sz w:val="24"/>
              </w:rPr>
            </w:pPr>
            <w:r>
              <w:rPr>
                <w:sz w:val="24"/>
              </w:rPr>
              <w:t>исключение др. причин возможного повышения</w:t>
            </w:r>
            <w:r>
              <w:rPr>
                <w:spacing w:val="-14"/>
                <w:sz w:val="24"/>
              </w:rPr>
              <w:t> </w:t>
            </w:r>
            <w:r>
              <w:rPr>
                <w:sz w:val="24"/>
              </w:rPr>
              <w:t>КФК</w:t>
            </w:r>
            <w:r>
              <w:rPr>
                <w:spacing w:val="-14"/>
                <w:sz w:val="24"/>
              </w:rPr>
              <w:t> </w:t>
            </w:r>
            <w:r>
              <w:rPr>
                <w:sz w:val="24"/>
              </w:rPr>
              <w:t>(физическая</w:t>
            </w:r>
            <w:r>
              <w:rPr>
                <w:spacing w:val="-14"/>
                <w:sz w:val="24"/>
              </w:rPr>
              <w:t> </w:t>
            </w:r>
            <w:r>
              <w:rPr>
                <w:sz w:val="24"/>
              </w:rPr>
              <w:t>нагрузка)</w:t>
            </w:r>
          </w:p>
          <w:p>
            <w:pPr>
              <w:pStyle w:val="TableParagraph"/>
              <w:numPr>
                <w:ilvl w:val="0"/>
                <w:numId w:val="36"/>
              </w:numPr>
              <w:tabs>
                <w:tab w:pos="467" w:val="left" w:leader="none"/>
                <w:tab w:pos="468" w:val="left" w:leader="none"/>
              </w:tabs>
              <w:spacing w:line="240" w:lineRule="auto" w:before="0" w:after="0"/>
              <w:ind w:left="467" w:right="139" w:hanging="360"/>
              <w:jc w:val="left"/>
              <w:rPr>
                <w:sz w:val="24"/>
              </w:rPr>
            </w:pPr>
            <w:r>
              <w:rPr>
                <w:sz w:val="24"/>
              </w:rPr>
              <w:t>если</w:t>
            </w:r>
            <w:r>
              <w:rPr>
                <w:spacing w:val="-9"/>
                <w:sz w:val="24"/>
              </w:rPr>
              <w:t> </w:t>
            </w:r>
            <w:r>
              <w:rPr>
                <w:sz w:val="24"/>
              </w:rPr>
              <w:t>уровень</w:t>
            </w:r>
            <w:r>
              <w:rPr>
                <w:spacing w:val="-10"/>
                <w:sz w:val="24"/>
              </w:rPr>
              <w:t> </w:t>
            </w:r>
            <w:r>
              <w:rPr>
                <w:sz w:val="24"/>
              </w:rPr>
              <w:t>КФК</w:t>
            </w:r>
            <w:r>
              <w:rPr>
                <w:spacing w:val="-10"/>
                <w:sz w:val="24"/>
              </w:rPr>
              <w:t> </w:t>
            </w:r>
            <w:r>
              <w:rPr>
                <w:sz w:val="24"/>
              </w:rPr>
              <w:t>сохраняется</w:t>
            </w:r>
            <w:r>
              <w:rPr>
                <w:spacing w:val="-10"/>
                <w:sz w:val="24"/>
              </w:rPr>
              <w:t> </w:t>
            </w:r>
            <w:r>
              <w:rPr>
                <w:sz w:val="24"/>
              </w:rPr>
              <w:t>высоким при мониторинге — подтверждение развития миопатии</w:t>
            </w:r>
          </w:p>
        </w:tc>
      </w:tr>
      <w:tr>
        <w:trPr>
          <w:trHeight w:val="2793" w:hRule="atLeast"/>
        </w:trPr>
        <w:tc>
          <w:tcPr>
            <w:tcW w:w="4786" w:type="dxa"/>
          </w:tcPr>
          <w:p>
            <w:pPr>
              <w:pStyle w:val="TableParagraph"/>
              <w:ind w:right="108"/>
              <w:rPr>
                <w:sz w:val="24"/>
              </w:rPr>
            </w:pPr>
            <w:r>
              <w:rPr>
                <w:sz w:val="24"/>
              </w:rPr>
              <w:t>Контроль</w:t>
            </w:r>
            <w:r>
              <w:rPr>
                <w:spacing w:val="-8"/>
                <w:sz w:val="24"/>
              </w:rPr>
              <w:t> </w:t>
            </w:r>
            <w:r>
              <w:rPr>
                <w:sz w:val="24"/>
              </w:rPr>
              <w:t>HbA1c</w:t>
            </w:r>
            <w:r>
              <w:rPr>
                <w:spacing w:val="-9"/>
                <w:sz w:val="24"/>
              </w:rPr>
              <w:t> </w:t>
            </w:r>
            <w:r>
              <w:rPr>
                <w:sz w:val="24"/>
              </w:rPr>
              <w:t>и/или</w:t>
            </w:r>
            <w:r>
              <w:rPr>
                <w:spacing w:val="-10"/>
                <w:sz w:val="24"/>
              </w:rPr>
              <w:t> </w:t>
            </w:r>
            <w:r>
              <w:rPr>
                <w:sz w:val="24"/>
              </w:rPr>
              <w:t>уровня</w:t>
            </w:r>
            <w:r>
              <w:rPr>
                <w:spacing w:val="-8"/>
                <w:sz w:val="24"/>
              </w:rPr>
              <w:t> </w:t>
            </w:r>
            <w:r>
              <w:rPr>
                <w:sz w:val="24"/>
              </w:rPr>
              <w:t>глюкозы плазмы натощак</w:t>
            </w:r>
          </w:p>
        </w:tc>
        <w:tc>
          <w:tcPr>
            <w:tcW w:w="4786" w:type="dxa"/>
          </w:tcPr>
          <w:p>
            <w:pPr>
              <w:pStyle w:val="TableParagraph"/>
              <w:numPr>
                <w:ilvl w:val="0"/>
                <w:numId w:val="37"/>
              </w:numPr>
              <w:tabs>
                <w:tab w:pos="467" w:val="left" w:leader="none"/>
                <w:tab w:pos="468" w:val="left" w:leader="none"/>
              </w:tabs>
              <w:spacing w:line="240" w:lineRule="auto" w:before="0" w:after="0"/>
              <w:ind w:left="467" w:right="417" w:hanging="360"/>
              <w:jc w:val="left"/>
              <w:rPr>
                <w:sz w:val="24"/>
              </w:rPr>
            </w:pPr>
            <w:r>
              <w:rPr>
                <w:sz w:val="24"/>
              </w:rPr>
              <w:t>регулярный</w:t>
            </w:r>
            <w:r>
              <w:rPr>
                <w:spacing w:val="-11"/>
                <w:sz w:val="24"/>
              </w:rPr>
              <w:t> </w:t>
            </w:r>
            <w:r>
              <w:rPr>
                <w:sz w:val="24"/>
              </w:rPr>
              <w:t>мониторинг</w:t>
            </w:r>
            <w:r>
              <w:rPr>
                <w:spacing w:val="-13"/>
                <w:sz w:val="24"/>
              </w:rPr>
              <w:t> </w:t>
            </w:r>
            <w:r>
              <w:rPr>
                <w:sz w:val="24"/>
              </w:rPr>
              <w:t>HbA1c</w:t>
            </w:r>
            <w:r>
              <w:rPr>
                <w:spacing w:val="-13"/>
                <w:sz w:val="24"/>
              </w:rPr>
              <w:t> </w:t>
            </w:r>
            <w:r>
              <w:rPr>
                <w:sz w:val="24"/>
              </w:rPr>
              <w:t>и/или уровня глюкозы плазмы должен проводиться пациентам с высоким риском развития СД и при высокодозной терапии статином</w:t>
            </w:r>
          </w:p>
          <w:p>
            <w:pPr>
              <w:pStyle w:val="TableParagraph"/>
              <w:numPr>
                <w:ilvl w:val="0"/>
                <w:numId w:val="37"/>
              </w:numPr>
              <w:tabs>
                <w:tab w:pos="467" w:val="left" w:leader="none"/>
                <w:tab w:pos="468" w:val="left" w:leader="none"/>
              </w:tabs>
              <w:spacing w:line="276" w:lineRule="exact" w:before="0" w:after="0"/>
              <w:ind w:left="467" w:right="530" w:hanging="360"/>
              <w:jc w:val="left"/>
              <w:rPr>
                <w:sz w:val="24"/>
              </w:rPr>
            </w:pPr>
            <w:r>
              <w:rPr>
                <w:sz w:val="24"/>
              </w:rPr>
              <w:t>мониторинг</w:t>
            </w:r>
            <w:r>
              <w:rPr>
                <w:spacing w:val="-12"/>
                <w:sz w:val="24"/>
              </w:rPr>
              <w:t> </w:t>
            </w:r>
            <w:r>
              <w:rPr>
                <w:sz w:val="24"/>
              </w:rPr>
              <w:t>уровня</w:t>
            </w:r>
            <w:r>
              <w:rPr>
                <w:spacing w:val="-12"/>
                <w:sz w:val="24"/>
              </w:rPr>
              <w:t> </w:t>
            </w:r>
            <w:r>
              <w:rPr>
                <w:sz w:val="24"/>
              </w:rPr>
              <w:t>глюкозы</w:t>
            </w:r>
            <w:r>
              <w:rPr>
                <w:spacing w:val="-12"/>
                <w:sz w:val="24"/>
              </w:rPr>
              <w:t> </w:t>
            </w:r>
            <w:r>
              <w:rPr>
                <w:sz w:val="24"/>
              </w:rPr>
              <w:t>плазмы показан пожилым пациентам с метаболическим синдромом, ожирением, признаками </w:t>
            </w:r>
            <w:r>
              <w:rPr>
                <w:spacing w:val="-2"/>
                <w:sz w:val="24"/>
              </w:rPr>
              <w:t>инсулинорезистентности</w:t>
            </w:r>
          </w:p>
        </w:tc>
      </w:tr>
    </w:tbl>
    <w:p>
      <w:pPr>
        <w:pStyle w:val="BodyText"/>
        <w:ind w:left="0"/>
        <w:rPr>
          <w:b/>
          <w:sz w:val="20"/>
        </w:rPr>
      </w:pPr>
    </w:p>
    <w:p>
      <w:pPr>
        <w:pStyle w:val="BodyText"/>
        <w:spacing w:before="5"/>
        <w:ind w:left="0"/>
        <w:rPr>
          <w:b/>
          <w:sz w:val="21"/>
        </w:rPr>
      </w:pPr>
    </w:p>
    <w:p>
      <w:pPr>
        <w:spacing w:before="90"/>
        <w:ind w:left="1261" w:right="0" w:firstLine="0"/>
        <w:jc w:val="left"/>
        <w:rPr>
          <w:rFonts w:ascii="Calibri" w:hAnsi="Calibri"/>
          <w:sz w:val="22"/>
        </w:rPr>
      </w:pPr>
      <w:r>
        <w:rPr>
          <w:b/>
          <w:sz w:val="24"/>
        </w:rPr>
        <w:t>Таблица</w:t>
      </w:r>
      <w:r>
        <w:rPr>
          <w:b/>
          <w:spacing w:val="-4"/>
          <w:sz w:val="24"/>
        </w:rPr>
        <w:t> </w:t>
      </w:r>
      <w:r>
        <w:rPr>
          <w:b/>
          <w:sz w:val="24"/>
        </w:rPr>
        <w:t>Б3/4.</w:t>
      </w:r>
      <w:r>
        <w:rPr>
          <w:b/>
          <w:spacing w:val="-4"/>
          <w:sz w:val="24"/>
        </w:rPr>
        <w:t> </w:t>
      </w:r>
      <w:r>
        <w:rPr>
          <w:b/>
          <w:sz w:val="24"/>
        </w:rPr>
        <w:t>Интенсивность</w:t>
      </w:r>
      <w:r>
        <w:rPr>
          <w:b/>
          <w:spacing w:val="-3"/>
          <w:sz w:val="24"/>
        </w:rPr>
        <w:t> </w:t>
      </w:r>
      <w:r>
        <w:rPr>
          <w:b/>
          <w:sz w:val="24"/>
        </w:rPr>
        <w:t>терапии</w:t>
      </w:r>
      <w:r>
        <w:rPr>
          <w:b/>
          <w:spacing w:val="-5"/>
          <w:sz w:val="24"/>
        </w:rPr>
        <w:t> </w:t>
      </w:r>
      <w:r>
        <w:rPr>
          <w:rFonts w:ascii="Calibri" w:hAnsi="Calibri"/>
          <w:spacing w:val="-2"/>
          <w:sz w:val="22"/>
        </w:rPr>
        <w:t>с</w:t>
      </w:r>
      <w:r>
        <w:rPr>
          <w:spacing w:val="-2"/>
          <w:sz w:val="24"/>
        </w:rPr>
        <w:t>татин</w:t>
      </w:r>
      <w:r>
        <w:rPr>
          <w:rFonts w:ascii="Calibri" w:hAnsi="Calibri"/>
          <w:spacing w:val="-2"/>
          <w:sz w:val="22"/>
        </w:rPr>
        <w:t>ами</w:t>
      </w:r>
    </w:p>
    <w:p>
      <w:pPr>
        <w:pStyle w:val="BodyText"/>
        <w:spacing w:before="5"/>
        <w:ind w:left="0"/>
        <w:rPr>
          <w:rFonts w:ascii="Calibri"/>
          <w:sz w:val="11"/>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423"/>
        <w:gridCol w:w="4425"/>
      </w:tblGrid>
      <w:tr>
        <w:trPr>
          <w:trHeight w:val="938" w:hRule="atLeast"/>
        </w:trPr>
        <w:tc>
          <w:tcPr>
            <w:tcW w:w="4423" w:type="dxa"/>
          </w:tcPr>
          <w:p>
            <w:pPr>
              <w:pStyle w:val="TableParagraph"/>
              <w:rPr>
                <w:sz w:val="24"/>
              </w:rPr>
            </w:pPr>
            <w:r>
              <w:rPr>
                <w:sz w:val="24"/>
              </w:rPr>
              <w:t>Суточная доза статина высокой интенсивности</w:t>
            </w:r>
            <w:r>
              <w:rPr>
                <w:spacing w:val="-7"/>
                <w:sz w:val="24"/>
              </w:rPr>
              <w:t> </w:t>
            </w:r>
            <w:r>
              <w:rPr>
                <w:sz w:val="24"/>
              </w:rPr>
              <w:t>для</w:t>
            </w:r>
            <w:r>
              <w:rPr>
                <w:spacing w:val="-8"/>
                <w:sz w:val="24"/>
              </w:rPr>
              <w:t> </w:t>
            </w:r>
            <w:r>
              <w:rPr>
                <w:sz w:val="24"/>
              </w:rPr>
              <w:t>↓</w:t>
            </w:r>
            <w:r>
              <w:rPr>
                <w:spacing w:val="-8"/>
                <w:sz w:val="24"/>
              </w:rPr>
              <w:t> </w:t>
            </w:r>
            <w:r>
              <w:rPr>
                <w:sz w:val="24"/>
              </w:rPr>
              <w:t>ЛНП</w:t>
            </w:r>
            <w:r>
              <w:rPr>
                <w:spacing w:val="-9"/>
                <w:sz w:val="24"/>
              </w:rPr>
              <w:t> </w:t>
            </w:r>
            <w:r>
              <w:rPr>
                <w:sz w:val="24"/>
              </w:rPr>
              <w:t>≥</w:t>
            </w:r>
            <w:r>
              <w:rPr>
                <w:spacing w:val="-8"/>
                <w:sz w:val="24"/>
              </w:rPr>
              <w:t> </w:t>
            </w:r>
            <w:r>
              <w:rPr>
                <w:sz w:val="24"/>
              </w:rPr>
              <w:t>50%</w:t>
            </w:r>
          </w:p>
        </w:tc>
        <w:tc>
          <w:tcPr>
            <w:tcW w:w="4425" w:type="dxa"/>
          </w:tcPr>
          <w:p>
            <w:pPr>
              <w:pStyle w:val="TableParagraph"/>
              <w:rPr>
                <w:sz w:val="24"/>
              </w:rPr>
            </w:pPr>
            <w:r>
              <w:rPr>
                <w:sz w:val="24"/>
              </w:rPr>
              <w:t>Суточная доза статина умеренной интенсивности</w:t>
            </w:r>
            <w:r>
              <w:rPr>
                <w:spacing w:val="-5"/>
                <w:sz w:val="24"/>
              </w:rPr>
              <w:t> </w:t>
            </w:r>
            <w:r>
              <w:rPr>
                <w:sz w:val="24"/>
              </w:rPr>
              <w:t>для</w:t>
            </w:r>
            <w:r>
              <w:rPr>
                <w:spacing w:val="-6"/>
                <w:sz w:val="24"/>
              </w:rPr>
              <w:t> </w:t>
            </w:r>
            <w:r>
              <w:rPr>
                <w:sz w:val="24"/>
              </w:rPr>
              <w:t>↓</w:t>
            </w:r>
            <w:r>
              <w:rPr>
                <w:spacing w:val="-6"/>
                <w:sz w:val="24"/>
              </w:rPr>
              <w:t> </w:t>
            </w:r>
            <w:r>
              <w:rPr>
                <w:sz w:val="24"/>
              </w:rPr>
              <w:t>ЛНП</w:t>
            </w:r>
            <w:r>
              <w:rPr>
                <w:spacing w:val="-7"/>
                <w:sz w:val="24"/>
              </w:rPr>
              <w:t> </w:t>
            </w:r>
            <w:r>
              <w:rPr>
                <w:sz w:val="24"/>
              </w:rPr>
              <w:t>от</w:t>
            </w:r>
            <w:r>
              <w:rPr>
                <w:spacing w:val="-6"/>
                <w:sz w:val="24"/>
              </w:rPr>
              <w:t> </w:t>
            </w:r>
            <w:r>
              <w:rPr>
                <w:sz w:val="24"/>
              </w:rPr>
              <w:t>30%</w:t>
            </w:r>
            <w:r>
              <w:rPr>
                <w:spacing w:val="-7"/>
                <w:sz w:val="24"/>
              </w:rPr>
              <w:t> </w:t>
            </w:r>
            <w:r>
              <w:rPr>
                <w:sz w:val="24"/>
              </w:rPr>
              <w:t>до</w:t>
            </w:r>
          </w:p>
          <w:p>
            <w:pPr>
              <w:pStyle w:val="TableParagraph"/>
              <w:rPr>
                <w:sz w:val="24"/>
              </w:rPr>
            </w:pPr>
            <w:r>
              <w:rPr>
                <w:spacing w:val="-4"/>
                <w:sz w:val="24"/>
              </w:rPr>
              <w:t>&lt;50%</w:t>
            </w:r>
          </w:p>
        </w:tc>
      </w:tr>
      <w:tr>
        <w:trPr>
          <w:trHeight w:val="398" w:hRule="atLeast"/>
        </w:trPr>
        <w:tc>
          <w:tcPr>
            <w:tcW w:w="4423" w:type="dxa"/>
          </w:tcPr>
          <w:p>
            <w:pPr>
              <w:pStyle w:val="TableParagraph"/>
              <w:spacing w:line="275" w:lineRule="exact"/>
              <w:rPr>
                <w:sz w:val="24"/>
              </w:rPr>
            </w:pPr>
            <w:r>
              <w:rPr>
                <w:sz w:val="24"/>
              </w:rPr>
              <w:t>Аторвастатин</w:t>
            </w:r>
            <w:r>
              <w:rPr>
                <w:spacing w:val="-2"/>
                <w:sz w:val="24"/>
              </w:rPr>
              <w:t> </w:t>
            </w:r>
            <w:r>
              <w:rPr>
                <w:sz w:val="24"/>
              </w:rPr>
              <w:t>(**),</w:t>
            </w:r>
            <w:r>
              <w:rPr>
                <w:spacing w:val="-2"/>
                <w:sz w:val="24"/>
              </w:rPr>
              <w:t> </w:t>
            </w:r>
            <w:r>
              <w:rPr>
                <w:sz w:val="24"/>
              </w:rPr>
              <w:t>40–80</w:t>
            </w:r>
            <w:r>
              <w:rPr>
                <w:spacing w:val="-1"/>
                <w:sz w:val="24"/>
              </w:rPr>
              <w:t> </w:t>
            </w:r>
            <w:r>
              <w:rPr>
                <w:spacing w:val="-5"/>
                <w:sz w:val="24"/>
              </w:rPr>
              <w:t>мг</w:t>
            </w:r>
          </w:p>
        </w:tc>
        <w:tc>
          <w:tcPr>
            <w:tcW w:w="4425" w:type="dxa"/>
          </w:tcPr>
          <w:p>
            <w:pPr>
              <w:pStyle w:val="TableParagraph"/>
              <w:spacing w:line="275" w:lineRule="exact"/>
              <w:rPr>
                <w:sz w:val="24"/>
              </w:rPr>
            </w:pPr>
            <w:r>
              <w:rPr>
                <w:sz w:val="24"/>
              </w:rPr>
              <w:t>Аторвастатин(**),</w:t>
            </w:r>
            <w:r>
              <w:rPr>
                <w:spacing w:val="-3"/>
                <w:sz w:val="24"/>
              </w:rPr>
              <w:t> </w:t>
            </w:r>
            <w:r>
              <w:rPr>
                <w:sz w:val="24"/>
              </w:rPr>
              <w:t>10–20</w:t>
            </w:r>
            <w:r>
              <w:rPr>
                <w:spacing w:val="-3"/>
                <w:sz w:val="24"/>
              </w:rPr>
              <w:t> </w:t>
            </w:r>
            <w:r>
              <w:rPr>
                <w:spacing w:val="-5"/>
                <w:sz w:val="24"/>
              </w:rPr>
              <w:t>мг</w:t>
            </w:r>
          </w:p>
        </w:tc>
      </w:tr>
      <w:tr>
        <w:trPr>
          <w:trHeight w:val="397" w:hRule="atLeast"/>
        </w:trPr>
        <w:tc>
          <w:tcPr>
            <w:tcW w:w="4423" w:type="dxa"/>
          </w:tcPr>
          <w:p>
            <w:pPr>
              <w:pStyle w:val="TableParagraph"/>
              <w:spacing w:line="275" w:lineRule="exact"/>
              <w:rPr>
                <w:sz w:val="24"/>
              </w:rPr>
            </w:pPr>
            <w:r>
              <w:rPr>
                <w:sz w:val="24"/>
              </w:rPr>
              <w:t>Розувастатин,</w:t>
            </w:r>
            <w:r>
              <w:rPr>
                <w:spacing w:val="-1"/>
                <w:sz w:val="24"/>
              </w:rPr>
              <w:t> </w:t>
            </w:r>
            <w:r>
              <w:rPr>
                <w:sz w:val="24"/>
              </w:rPr>
              <w:t>20–40</w:t>
            </w:r>
            <w:r>
              <w:rPr>
                <w:spacing w:val="-1"/>
                <w:sz w:val="24"/>
              </w:rPr>
              <w:t> </w:t>
            </w:r>
            <w:r>
              <w:rPr>
                <w:spacing w:val="-5"/>
                <w:sz w:val="24"/>
              </w:rPr>
              <w:t>мг</w:t>
            </w:r>
          </w:p>
        </w:tc>
        <w:tc>
          <w:tcPr>
            <w:tcW w:w="4425" w:type="dxa"/>
          </w:tcPr>
          <w:p>
            <w:pPr>
              <w:pStyle w:val="TableParagraph"/>
              <w:spacing w:line="275" w:lineRule="exact"/>
              <w:rPr>
                <w:sz w:val="24"/>
              </w:rPr>
            </w:pPr>
            <w:r>
              <w:rPr>
                <w:sz w:val="24"/>
              </w:rPr>
              <w:t>Питавастатин,</w:t>
            </w:r>
            <w:r>
              <w:rPr>
                <w:spacing w:val="-4"/>
                <w:sz w:val="24"/>
              </w:rPr>
              <w:t> </w:t>
            </w:r>
            <w:r>
              <w:rPr>
                <w:sz w:val="24"/>
              </w:rPr>
              <w:t>2–4</w:t>
            </w:r>
            <w:r>
              <w:rPr>
                <w:spacing w:val="-2"/>
                <w:sz w:val="24"/>
              </w:rPr>
              <w:t> </w:t>
            </w:r>
            <w:r>
              <w:rPr>
                <w:spacing w:val="-5"/>
                <w:sz w:val="24"/>
              </w:rPr>
              <w:t>мг</w:t>
            </w:r>
          </w:p>
        </w:tc>
      </w:tr>
      <w:tr>
        <w:trPr>
          <w:trHeight w:val="398" w:hRule="atLeast"/>
        </w:trPr>
        <w:tc>
          <w:tcPr>
            <w:tcW w:w="4423" w:type="dxa"/>
          </w:tcPr>
          <w:p>
            <w:pPr>
              <w:pStyle w:val="TableParagraph"/>
              <w:ind w:left="0"/>
              <w:rPr>
                <w:sz w:val="22"/>
              </w:rPr>
            </w:pPr>
          </w:p>
        </w:tc>
        <w:tc>
          <w:tcPr>
            <w:tcW w:w="4425" w:type="dxa"/>
          </w:tcPr>
          <w:p>
            <w:pPr>
              <w:pStyle w:val="TableParagraph"/>
              <w:spacing w:line="275" w:lineRule="exact"/>
              <w:rPr>
                <w:sz w:val="24"/>
              </w:rPr>
            </w:pPr>
            <w:r>
              <w:rPr>
                <w:sz w:val="24"/>
              </w:rPr>
              <w:t>Розувастатин,</w:t>
            </w:r>
            <w:r>
              <w:rPr>
                <w:spacing w:val="-1"/>
                <w:sz w:val="24"/>
              </w:rPr>
              <w:t> </w:t>
            </w:r>
            <w:r>
              <w:rPr>
                <w:sz w:val="24"/>
              </w:rPr>
              <w:t>5–10</w:t>
            </w:r>
            <w:r>
              <w:rPr>
                <w:spacing w:val="-1"/>
                <w:sz w:val="24"/>
              </w:rPr>
              <w:t> </w:t>
            </w:r>
            <w:r>
              <w:rPr>
                <w:spacing w:val="-5"/>
                <w:sz w:val="24"/>
              </w:rPr>
              <w:t>мг</w:t>
            </w:r>
          </w:p>
        </w:tc>
      </w:tr>
    </w:tbl>
    <w:p>
      <w:pPr>
        <w:spacing w:after="0" w:line="275" w:lineRule="exact"/>
        <w:rPr>
          <w:sz w:val="24"/>
        </w:rPr>
        <w:sectPr>
          <w:type w:val="continuous"/>
          <w:pgSz w:w="11910" w:h="16840"/>
          <w:pgMar w:header="0" w:footer="710" w:top="1100" w:bottom="1294" w:left="440" w:right="280"/>
        </w:sect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4423"/>
        <w:gridCol w:w="4425"/>
      </w:tblGrid>
      <w:tr>
        <w:trPr>
          <w:trHeight w:val="414" w:hRule="atLeast"/>
        </w:trPr>
        <w:tc>
          <w:tcPr>
            <w:tcW w:w="4423" w:type="dxa"/>
          </w:tcPr>
          <w:p>
            <w:pPr>
              <w:pStyle w:val="TableParagraph"/>
              <w:ind w:left="0"/>
              <w:rPr>
                <w:sz w:val="22"/>
              </w:rPr>
            </w:pPr>
          </w:p>
        </w:tc>
        <w:tc>
          <w:tcPr>
            <w:tcW w:w="4425" w:type="dxa"/>
          </w:tcPr>
          <w:p>
            <w:pPr>
              <w:pStyle w:val="TableParagraph"/>
              <w:spacing w:before="1"/>
              <w:rPr>
                <w:sz w:val="24"/>
              </w:rPr>
            </w:pPr>
            <w:r>
              <w:rPr>
                <w:sz w:val="24"/>
              </w:rPr>
              <w:t>Симвастатин</w:t>
            </w:r>
            <w:r>
              <w:rPr>
                <w:spacing w:val="-1"/>
                <w:sz w:val="24"/>
              </w:rPr>
              <w:t> </w:t>
            </w:r>
            <w:r>
              <w:rPr>
                <w:sz w:val="24"/>
              </w:rPr>
              <w:t>(**),</w:t>
            </w:r>
            <w:r>
              <w:rPr>
                <w:spacing w:val="-2"/>
                <w:sz w:val="24"/>
              </w:rPr>
              <w:t> </w:t>
            </w:r>
            <w:r>
              <w:rPr>
                <w:sz w:val="24"/>
              </w:rPr>
              <w:t>20–40</w:t>
            </w:r>
            <w:r>
              <w:rPr>
                <w:spacing w:val="-1"/>
                <w:sz w:val="24"/>
              </w:rPr>
              <w:t> </w:t>
            </w:r>
            <w:r>
              <w:rPr>
                <w:spacing w:val="-5"/>
                <w:sz w:val="24"/>
              </w:rPr>
              <w:t>мг</w:t>
            </w:r>
          </w:p>
        </w:tc>
      </w:tr>
    </w:tbl>
    <w:p>
      <w:pPr>
        <w:pStyle w:val="BodyText"/>
        <w:spacing w:before="7"/>
        <w:ind w:left="0"/>
        <w:rPr>
          <w:rFonts w:ascii="Calibri"/>
          <w:sz w:val="27"/>
        </w:rPr>
      </w:pPr>
    </w:p>
    <w:p>
      <w:pPr>
        <w:spacing w:line="278" w:lineRule="auto" w:before="90"/>
        <w:ind w:left="1261" w:right="567" w:firstLine="0"/>
        <w:jc w:val="both"/>
        <w:rPr>
          <w:b/>
          <w:sz w:val="24"/>
        </w:rPr>
      </w:pPr>
      <w:r>
        <w:rPr>
          <w:b/>
          <w:sz w:val="24"/>
        </w:rPr>
        <w:t>Приложение Б4: принципы гиполипидемической терапии и диспансерное наблюдение больных с ДЛП</w:t>
      </w:r>
    </w:p>
    <w:p>
      <w:pPr>
        <w:spacing w:line="360" w:lineRule="auto" w:before="195"/>
        <w:ind w:left="1261" w:right="568" w:firstLine="0"/>
        <w:jc w:val="both"/>
        <w:rPr>
          <w:sz w:val="24"/>
        </w:rPr>
      </w:pPr>
      <w:r>
        <w:rPr>
          <w:b/>
          <w:sz w:val="24"/>
        </w:rPr>
        <w:t>Таблица Б4/1. Тактика ведения в зависимости от сердечно-сосудистого риска и уровня холестерина </w:t>
      </w:r>
      <w:r>
        <w:rPr>
          <w:sz w:val="24"/>
        </w:rPr>
        <w:t>[</w:t>
      </w:r>
      <w:hyperlink w:history="true" w:anchor="_bookmark95">
        <w:r>
          <w:rPr>
            <w:sz w:val="24"/>
          </w:rPr>
          <w:t>50</w:t>
        </w:r>
      </w:hyperlink>
      <w:r>
        <w:rPr>
          <w:sz w:val="24"/>
        </w:rPr>
        <w:t>]</w:t>
      </w:r>
    </w:p>
    <w:tbl>
      <w:tblPr>
        <w:tblW w:w="0" w:type="auto"/>
        <w:jc w:val="left"/>
        <w:tblInd w:w="1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788"/>
        <w:gridCol w:w="953"/>
        <w:gridCol w:w="953"/>
        <w:gridCol w:w="1191"/>
        <w:gridCol w:w="956"/>
        <w:gridCol w:w="1191"/>
        <w:gridCol w:w="1270"/>
      </w:tblGrid>
      <w:tr>
        <w:trPr>
          <w:trHeight w:val="971" w:hRule="atLeast"/>
        </w:trPr>
        <w:tc>
          <w:tcPr>
            <w:tcW w:w="1788" w:type="dxa"/>
          </w:tcPr>
          <w:p>
            <w:pPr>
              <w:pStyle w:val="TableParagraph"/>
              <w:ind w:left="0"/>
              <w:rPr>
                <w:sz w:val="22"/>
              </w:rPr>
            </w:pPr>
          </w:p>
        </w:tc>
        <w:tc>
          <w:tcPr>
            <w:tcW w:w="6514" w:type="dxa"/>
            <w:gridSpan w:val="6"/>
          </w:tcPr>
          <w:p>
            <w:pPr>
              <w:pStyle w:val="TableParagraph"/>
              <w:spacing w:line="360" w:lineRule="auto" w:before="73"/>
              <w:ind w:left="143"/>
              <w:rPr>
                <w:sz w:val="24"/>
              </w:rPr>
            </w:pPr>
            <w:r>
              <w:rPr>
                <w:sz w:val="24"/>
              </w:rPr>
              <w:t>ХС ЛНП у пациента, не получавшего гиполипидемической терапии (ммоль/л)</w:t>
            </w:r>
          </w:p>
        </w:tc>
      </w:tr>
      <w:tr>
        <w:trPr>
          <w:trHeight w:val="973" w:hRule="atLeast"/>
        </w:trPr>
        <w:tc>
          <w:tcPr>
            <w:tcW w:w="1788" w:type="dxa"/>
          </w:tcPr>
          <w:p>
            <w:pPr>
              <w:pStyle w:val="TableParagraph"/>
              <w:spacing w:before="3"/>
              <w:ind w:left="0"/>
              <w:rPr>
                <w:sz w:val="24"/>
              </w:rPr>
            </w:pPr>
          </w:p>
          <w:p>
            <w:pPr>
              <w:pStyle w:val="TableParagraph"/>
              <w:ind w:left="143"/>
              <w:rPr>
                <w:sz w:val="24"/>
              </w:rPr>
            </w:pPr>
            <w:r>
              <w:rPr>
                <w:spacing w:val="-4"/>
                <w:sz w:val="24"/>
              </w:rPr>
              <w:t>Риск</w:t>
            </w:r>
          </w:p>
        </w:tc>
        <w:tc>
          <w:tcPr>
            <w:tcW w:w="953" w:type="dxa"/>
          </w:tcPr>
          <w:p>
            <w:pPr>
              <w:pStyle w:val="TableParagraph"/>
              <w:spacing w:before="3"/>
              <w:ind w:left="0"/>
              <w:rPr>
                <w:sz w:val="24"/>
              </w:rPr>
            </w:pPr>
          </w:p>
          <w:p>
            <w:pPr>
              <w:pStyle w:val="TableParagraph"/>
              <w:ind w:left="143"/>
              <w:rPr>
                <w:b/>
                <w:sz w:val="24"/>
              </w:rPr>
            </w:pPr>
            <w:r>
              <w:rPr>
                <w:b/>
                <w:spacing w:val="-4"/>
                <w:sz w:val="24"/>
              </w:rPr>
              <w:t>&lt;1,4</w:t>
            </w:r>
          </w:p>
        </w:tc>
        <w:tc>
          <w:tcPr>
            <w:tcW w:w="953" w:type="dxa"/>
          </w:tcPr>
          <w:p>
            <w:pPr>
              <w:pStyle w:val="TableParagraph"/>
              <w:spacing w:before="73"/>
              <w:ind w:left="143"/>
              <w:rPr>
                <w:b/>
                <w:sz w:val="24"/>
              </w:rPr>
            </w:pPr>
            <w:r>
              <w:rPr>
                <w:b/>
                <w:spacing w:val="-5"/>
                <w:sz w:val="24"/>
              </w:rPr>
              <w:t>1,4</w:t>
            </w:r>
          </w:p>
          <w:p>
            <w:pPr>
              <w:pStyle w:val="TableParagraph"/>
              <w:spacing w:before="137"/>
              <w:ind w:left="143"/>
              <w:rPr>
                <w:b/>
                <w:sz w:val="24"/>
              </w:rPr>
            </w:pPr>
            <w:r>
              <w:rPr>
                <w:b/>
                <w:spacing w:val="-4"/>
                <w:sz w:val="24"/>
              </w:rPr>
              <w:t>&lt;1,8</w:t>
            </w:r>
          </w:p>
        </w:tc>
        <w:tc>
          <w:tcPr>
            <w:tcW w:w="1191" w:type="dxa"/>
          </w:tcPr>
          <w:p>
            <w:pPr>
              <w:pStyle w:val="TableParagraph"/>
              <w:spacing w:before="3"/>
              <w:ind w:left="0"/>
              <w:rPr>
                <w:sz w:val="24"/>
              </w:rPr>
            </w:pPr>
          </w:p>
          <w:p>
            <w:pPr>
              <w:pStyle w:val="TableParagraph"/>
              <w:ind w:left="143"/>
              <w:rPr>
                <w:b/>
                <w:sz w:val="24"/>
              </w:rPr>
            </w:pPr>
            <w:r>
              <w:rPr>
                <w:b/>
                <w:sz w:val="24"/>
              </w:rPr>
              <w:t>1,8 </w:t>
            </w:r>
            <w:r>
              <w:rPr>
                <w:b/>
                <w:spacing w:val="-4"/>
                <w:sz w:val="24"/>
              </w:rPr>
              <w:t>&lt;2,6</w:t>
            </w:r>
          </w:p>
        </w:tc>
        <w:tc>
          <w:tcPr>
            <w:tcW w:w="956" w:type="dxa"/>
          </w:tcPr>
          <w:p>
            <w:pPr>
              <w:pStyle w:val="TableParagraph"/>
              <w:spacing w:before="73"/>
              <w:ind w:left="142"/>
              <w:rPr>
                <w:b/>
                <w:sz w:val="24"/>
              </w:rPr>
            </w:pPr>
            <w:r>
              <w:rPr>
                <w:b/>
                <w:spacing w:val="-5"/>
                <w:sz w:val="24"/>
              </w:rPr>
              <w:t>2,6</w:t>
            </w:r>
          </w:p>
          <w:p>
            <w:pPr>
              <w:pStyle w:val="TableParagraph"/>
              <w:spacing w:before="137"/>
              <w:ind w:left="142"/>
              <w:rPr>
                <w:b/>
                <w:sz w:val="24"/>
              </w:rPr>
            </w:pPr>
            <w:r>
              <w:rPr>
                <w:b/>
                <w:spacing w:val="-4"/>
                <w:sz w:val="24"/>
              </w:rPr>
              <w:t>&lt;3,0</w:t>
            </w:r>
          </w:p>
        </w:tc>
        <w:tc>
          <w:tcPr>
            <w:tcW w:w="1191" w:type="dxa"/>
          </w:tcPr>
          <w:p>
            <w:pPr>
              <w:pStyle w:val="TableParagraph"/>
              <w:spacing w:before="3"/>
              <w:ind w:left="0"/>
              <w:rPr>
                <w:sz w:val="24"/>
              </w:rPr>
            </w:pPr>
          </w:p>
          <w:p>
            <w:pPr>
              <w:pStyle w:val="TableParagraph"/>
              <w:ind w:left="139"/>
              <w:rPr>
                <w:b/>
                <w:sz w:val="24"/>
              </w:rPr>
            </w:pPr>
            <w:r>
              <w:rPr>
                <w:b/>
                <w:sz w:val="24"/>
              </w:rPr>
              <w:t>3,0 </w:t>
            </w:r>
            <w:r>
              <w:rPr>
                <w:b/>
                <w:spacing w:val="-4"/>
                <w:sz w:val="24"/>
              </w:rPr>
              <w:t>&lt;4,9</w:t>
            </w:r>
          </w:p>
        </w:tc>
        <w:tc>
          <w:tcPr>
            <w:tcW w:w="1270" w:type="dxa"/>
          </w:tcPr>
          <w:p>
            <w:pPr>
              <w:pStyle w:val="TableParagraph"/>
              <w:spacing w:before="3"/>
              <w:ind w:left="0"/>
              <w:rPr>
                <w:sz w:val="24"/>
              </w:rPr>
            </w:pPr>
          </w:p>
          <w:p>
            <w:pPr>
              <w:pStyle w:val="TableParagraph"/>
              <w:ind w:left="141"/>
              <w:rPr>
                <w:b/>
                <w:sz w:val="24"/>
              </w:rPr>
            </w:pPr>
            <w:r>
              <w:rPr>
                <w:b/>
                <w:sz w:val="24"/>
              </w:rPr>
              <w:t>≥ </w:t>
            </w:r>
            <w:r>
              <w:rPr>
                <w:b/>
                <w:spacing w:val="-5"/>
                <w:sz w:val="24"/>
              </w:rPr>
              <w:t>4,9</w:t>
            </w:r>
          </w:p>
        </w:tc>
      </w:tr>
      <w:tr>
        <w:trPr>
          <w:trHeight w:val="558" w:hRule="atLeast"/>
        </w:trPr>
        <w:tc>
          <w:tcPr>
            <w:tcW w:w="8302" w:type="dxa"/>
            <w:gridSpan w:val="7"/>
          </w:tcPr>
          <w:p>
            <w:pPr>
              <w:pStyle w:val="TableParagraph"/>
              <w:spacing w:before="70"/>
              <w:ind w:left="2704" w:right="2685"/>
              <w:jc w:val="center"/>
              <w:rPr>
                <w:b/>
                <w:sz w:val="24"/>
              </w:rPr>
            </w:pPr>
            <w:r>
              <w:rPr>
                <w:b/>
                <w:sz w:val="24"/>
              </w:rPr>
              <w:t>Первичная</w:t>
            </w:r>
            <w:r>
              <w:rPr>
                <w:b/>
                <w:spacing w:val="-5"/>
                <w:sz w:val="24"/>
              </w:rPr>
              <w:t> </w:t>
            </w:r>
            <w:r>
              <w:rPr>
                <w:b/>
                <w:spacing w:val="-2"/>
                <w:sz w:val="24"/>
              </w:rPr>
              <w:t>профилактика</w:t>
            </w:r>
          </w:p>
        </w:tc>
      </w:tr>
      <w:tr>
        <w:trPr>
          <w:trHeight w:val="971" w:hRule="atLeast"/>
        </w:trPr>
        <w:tc>
          <w:tcPr>
            <w:tcW w:w="1788" w:type="dxa"/>
          </w:tcPr>
          <w:p>
            <w:pPr>
              <w:pStyle w:val="TableParagraph"/>
              <w:spacing w:before="1"/>
              <w:ind w:left="0"/>
              <w:rPr>
                <w:sz w:val="24"/>
              </w:rPr>
            </w:pPr>
          </w:p>
          <w:p>
            <w:pPr>
              <w:pStyle w:val="TableParagraph"/>
              <w:ind w:left="143"/>
              <w:rPr>
                <w:b/>
                <w:sz w:val="24"/>
              </w:rPr>
            </w:pPr>
            <w:r>
              <w:rPr>
                <w:b/>
                <w:spacing w:val="-2"/>
                <w:sz w:val="24"/>
              </w:rPr>
              <w:t>Низкий</w:t>
            </w:r>
          </w:p>
        </w:tc>
        <w:tc>
          <w:tcPr>
            <w:tcW w:w="4053" w:type="dxa"/>
            <w:gridSpan w:val="4"/>
            <w:shd w:val="clear" w:color="auto" w:fill="92D050"/>
          </w:tcPr>
          <w:p>
            <w:pPr>
              <w:pStyle w:val="TableParagraph"/>
              <w:spacing w:before="1"/>
              <w:ind w:left="0"/>
              <w:rPr>
                <w:sz w:val="24"/>
              </w:rPr>
            </w:pPr>
          </w:p>
          <w:p>
            <w:pPr>
              <w:pStyle w:val="TableParagraph"/>
              <w:ind w:left="1777" w:right="1761"/>
              <w:jc w:val="center"/>
              <w:rPr>
                <w:sz w:val="24"/>
              </w:rPr>
            </w:pPr>
            <w:r>
              <w:rPr>
                <w:spacing w:val="-5"/>
                <w:sz w:val="24"/>
              </w:rPr>
              <w:t>ОЖ</w:t>
            </w:r>
            <w:r>
              <w:rPr>
                <w:spacing w:val="-5"/>
                <w:sz w:val="24"/>
                <w:vertAlign w:val="superscript"/>
              </w:rPr>
              <w:t>1</w:t>
            </w:r>
          </w:p>
        </w:tc>
        <w:tc>
          <w:tcPr>
            <w:tcW w:w="1191" w:type="dxa"/>
            <w:shd w:val="clear" w:color="auto" w:fill="FFFF00"/>
          </w:tcPr>
          <w:p>
            <w:pPr>
              <w:pStyle w:val="TableParagraph"/>
              <w:spacing w:before="70"/>
              <w:ind w:left="135" w:right="122"/>
              <w:jc w:val="center"/>
              <w:rPr>
                <w:sz w:val="24"/>
              </w:rPr>
            </w:pPr>
            <w:r>
              <w:rPr>
                <w:spacing w:val="-2"/>
                <w:sz w:val="24"/>
              </w:rPr>
              <w:t>ОЖ±МТ</w:t>
            </w:r>
          </w:p>
          <w:p>
            <w:pPr>
              <w:pStyle w:val="TableParagraph"/>
              <w:spacing w:before="121"/>
              <w:ind w:left="13"/>
              <w:jc w:val="center"/>
              <w:rPr>
                <w:sz w:val="16"/>
              </w:rPr>
            </w:pPr>
            <w:r>
              <w:rPr>
                <w:w w:val="100"/>
                <w:sz w:val="16"/>
              </w:rPr>
              <w:t>2</w:t>
            </w:r>
          </w:p>
        </w:tc>
        <w:tc>
          <w:tcPr>
            <w:tcW w:w="1270" w:type="dxa"/>
            <w:shd w:val="clear" w:color="auto" w:fill="FF0000"/>
          </w:tcPr>
          <w:p>
            <w:pPr>
              <w:pStyle w:val="TableParagraph"/>
              <w:spacing w:before="1"/>
              <w:ind w:left="0"/>
              <w:rPr>
                <w:sz w:val="24"/>
              </w:rPr>
            </w:pPr>
          </w:p>
          <w:p>
            <w:pPr>
              <w:pStyle w:val="TableParagraph"/>
              <w:ind w:left="148"/>
              <w:rPr>
                <w:sz w:val="24"/>
              </w:rPr>
            </w:pPr>
            <w:r>
              <w:rPr>
                <w:spacing w:val="-2"/>
                <w:sz w:val="24"/>
              </w:rPr>
              <w:t>ОЖ+МТ</w:t>
            </w:r>
            <w:r>
              <w:rPr>
                <w:spacing w:val="-2"/>
                <w:sz w:val="24"/>
                <w:vertAlign w:val="superscript"/>
              </w:rPr>
              <w:t>3</w:t>
            </w:r>
          </w:p>
        </w:tc>
      </w:tr>
      <w:tr>
        <w:trPr>
          <w:trHeight w:val="558" w:hRule="atLeast"/>
        </w:trPr>
        <w:tc>
          <w:tcPr>
            <w:tcW w:w="1788" w:type="dxa"/>
          </w:tcPr>
          <w:p>
            <w:pPr>
              <w:pStyle w:val="TableParagraph"/>
              <w:spacing w:before="70"/>
              <w:ind w:left="143"/>
              <w:rPr>
                <w:b/>
                <w:sz w:val="24"/>
              </w:rPr>
            </w:pPr>
            <w:r>
              <w:rPr>
                <w:b/>
                <w:spacing w:val="-2"/>
                <w:sz w:val="24"/>
              </w:rPr>
              <w:t>Умеренный</w:t>
            </w:r>
          </w:p>
        </w:tc>
        <w:tc>
          <w:tcPr>
            <w:tcW w:w="3097" w:type="dxa"/>
            <w:gridSpan w:val="3"/>
            <w:shd w:val="clear" w:color="auto" w:fill="92D050"/>
          </w:tcPr>
          <w:p>
            <w:pPr>
              <w:pStyle w:val="TableParagraph"/>
              <w:spacing w:before="70"/>
              <w:ind w:left="1300" w:right="1283"/>
              <w:jc w:val="center"/>
              <w:rPr>
                <w:sz w:val="24"/>
              </w:rPr>
            </w:pPr>
            <w:r>
              <w:rPr>
                <w:spacing w:val="-5"/>
                <w:sz w:val="24"/>
              </w:rPr>
              <w:t>ОЖ</w:t>
            </w:r>
            <w:r>
              <w:rPr>
                <w:spacing w:val="-5"/>
                <w:sz w:val="24"/>
                <w:vertAlign w:val="superscript"/>
              </w:rPr>
              <w:t>1</w:t>
            </w:r>
          </w:p>
        </w:tc>
        <w:tc>
          <w:tcPr>
            <w:tcW w:w="2147" w:type="dxa"/>
            <w:gridSpan w:val="2"/>
            <w:shd w:val="clear" w:color="auto" w:fill="FFFF00"/>
          </w:tcPr>
          <w:p>
            <w:pPr>
              <w:pStyle w:val="TableParagraph"/>
              <w:spacing w:before="70"/>
              <w:ind w:left="591"/>
              <w:rPr>
                <w:sz w:val="24"/>
              </w:rPr>
            </w:pPr>
            <w:r>
              <w:rPr>
                <w:spacing w:val="-2"/>
                <w:sz w:val="24"/>
              </w:rPr>
              <w:t>ОЖ±МТ</w:t>
            </w:r>
            <w:r>
              <w:rPr>
                <w:spacing w:val="-2"/>
                <w:sz w:val="24"/>
                <w:vertAlign w:val="superscript"/>
              </w:rPr>
              <w:t>2</w:t>
            </w:r>
          </w:p>
        </w:tc>
        <w:tc>
          <w:tcPr>
            <w:tcW w:w="1270" w:type="dxa"/>
            <w:shd w:val="clear" w:color="auto" w:fill="FF0000"/>
          </w:tcPr>
          <w:p>
            <w:pPr>
              <w:pStyle w:val="TableParagraph"/>
              <w:spacing w:before="70"/>
              <w:ind w:left="148"/>
              <w:rPr>
                <w:sz w:val="24"/>
              </w:rPr>
            </w:pPr>
            <w:r>
              <w:rPr>
                <w:spacing w:val="-2"/>
                <w:sz w:val="24"/>
              </w:rPr>
              <w:t>ОЖ+МТ</w:t>
            </w:r>
            <w:r>
              <w:rPr>
                <w:spacing w:val="-2"/>
                <w:sz w:val="24"/>
                <w:vertAlign w:val="superscript"/>
              </w:rPr>
              <w:t>3</w:t>
            </w:r>
          </w:p>
        </w:tc>
      </w:tr>
      <w:tr>
        <w:trPr>
          <w:trHeight w:val="971" w:hRule="atLeast"/>
        </w:trPr>
        <w:tc>
          <w:tcPr>
            <w:tcW w:w="1788" w:type="dxa"/>
          </w:tcPr>
          <w:p>
            <w:pPr>
              <w:pStyle w:val="TableParagraph"/>
              <w:spacing w:before="1"/>
              <w:ind w:left="0"/>
              <w:rPr>
                <w:sz w:val="24"/>
              </w:rPr>
            </w:pPr>
          </w:p>
          <w:p>
            <w:pPr>
              <w:pStyle w:val="TableParagraph"/>
              <w:ind w:left="143"/>
              <w:rPr>
                <w:b/>
                <w:sz w:val="24"/>
              </w:rPr>
            </w:pPr>
            <w:r>
              <w:rPr>
                <w:b/>
                <w:spacing w:val="-2"/>
                <w:sz w:val="24"/>
              </w:rPr>
              <w:t>Высокий</w:t>
            </w:r>
          </w:p>
        </w:tc>
        <w:tc>
          <w:tcPr>
            <w:tcW w:w="1906" w:type="dxa"/>
            <w:gridSpan w:val="2"/>
            <w:shd w:val="clear" w:color="auto" w:fill="92D050"/>
          </w:tcPr>
          <w:p>
            <w:pPr>
              <w:pStyle w:val="TableParagraph"/>
              <w:spacing w:before="1"/>
              <w:ind w:left="0"/>
              <w:rPr>
                <w:sz w:val="24"/>
              </w:rPr>
            </w:pPr>
          </w:p>
          <w:p>
            <w:pPr>
              <w:pStyle w:val="TableParagraph"/>
              <w:ind w:left="704" w:right="687"/>
              <w:jc w:val="center"/>
              <w:rPr>
                <w:sz w:val="24"/>
              </w:rPr>
            </w:pPr>
            <w:r>
              <w:rPr>
                <w:spacing w:val="-5"/>
                <w:sz w:val="24"/>
              </w:rPr>
              <w:t>ОЖ</w:t>
            </w:r>
            <w:r>
              <w:rPr>
                <w:spacing w:val="-5"/>
                <w:sz w:val="24"/>
                <w:vertAlign w:val="superscript"/>
              </w:rPr>
              <w:t>1</w:t>
            </w:r>
          </w:p>
        </w:tc>
        <w:tc>
          <w:tcPr>
            <w:tcW w:w="1191" w:type="dxa"/>
            <w:shd w:val="clear" w:color="auto" w:fill="FFFF00"/>
          </w:tcPr>
          <w:p>
            <w:pPr>
              <w:pStyle w:val="TableParagraph"/>
              <w:spacing w:before="70"/>
              <w:ind w:left="136" w:right="121"/>
              <w:jc w:val="center"/>
              <w:rPr>
                <w:sz w:val="24"/>
              </w:rPr>
            </w:pPr>
            <w:r>
              <w:rPr>
                <w:spacing w:val="-2"/>
                <w:sz w:val="24"/>
              </w:rPr>
              <w:t>ОЖ±МТ</w:t>
            </w:r>
          </w:p>
          <w:p>
            <w:pPr>
              <w:pStyle w:val="TableParagraph"/>
              <w:spacing w:before="123"/>
              <w:ind w:left="16"/>
              <w:jc w:val="center"/>
              <w:rPr>
                <w:sz w:val="16"/>
              </w:rPr>
            </w:pPr>
            <w:r>
              <w:rPr>
                <w:w w:val="100"/>
                <w:sz w:val="16"/>
              </w:rPr>
              <w:t>2</w:t>
            </w:r>
          </w:p>
        </w:tc>
        <w:tc>
          <w:tcPr>
            <w:tcW w:w="3417" w:type="dxa"/>
            <w:gridSpan w:val="3"/>
            <w:shd w:val="clear" w:color="auto" w:fill="FF0000"/>
          </w:tcPr>
          <w:p>
            <w:pPr>
              <w:pStyle w:val="TableParagraph"/>
              <w:spacing w:before="1"/>
              <w:ind w:left="0"/>
              <w:rPr>
                <w:sz w:val="24"/>
              </w:rPr>
            </w:pPr>
          </w:p>
          <w:p>
            <w:pPr>
              <w:pStyle w:val="TableParagraph"/>
              <w:ind w:left="1208" w:right="1197"/>
              <w:jc w:val="center"/>
              <w:rPr>
                <w:sz w:val="24"/>
              </w:rPr>
            </w:pPr>
            <w:r>
              <w:rPr>
                <w:spacing w:val="-2"/>
                <w:sz w:val="24"/>
              </w:rPr>
              <w:t>ОЖ+МТ</w:t>
            </w:r>
            <w:r>
              <w:rPr>
                <w:spacing w:val="-2"/>
                <w:sz w:val="24"/>
                <w:vertAlign w:val="superscript"/>
              </w:rPr>
              <w:t>3</w:t>
            </w:r>
          </w:p>
        </w:tc>
      </w:tr>
      <w:tr>
        <w:trPr>
          <w:trHeight w:val="971" w:hRule="atLeast"/>
        </w:trPr>
        <w:tc>
          <w:tcPr>
            <w:tcW w:w="1788" w:type="dxa"/>
          </w:tcPr>
          <w:p>
            <w:pPr>
              <w:pStyle w:val="TableParagraph"/>
              <w:spacing w:before="3"/>
              <w:ind w:left="0"/>
              <w:rPr>
                <w:sz w:val="24"/>
              </w:rPr>
            </w:pPr>
          </w:p>
          <w:p>
            <w:pPr>
              <w:pStyle w:val="TableParagraph"/>
              <w:ind w:left="143"/>
              <w:rPr>
                <w:b/>
                <w:sz w:val="24"/>
              </w:rPr>
            </w:pPr>
            <w:r>
              <w:rPr>
                <w:b/>
                <w:sz w:val="24"/>
              </w:rPr>
              <w:t>Оч.</w:t>
            </w:r>
            <w:r>
              <w:rPr>
                <w:b/>
                <w:spacing w:val="-1"/>
                <w:sz w:val="24"/>
              </w:rPr>
              <w:t> </w:t>
            </w:r>
            <w:r>
              <w:rPr>
                <w:b/>
                <w:spacing w:val="-2"/>
                <w:sz w:val="24"/>
              </w:rPr>
              <w:t>высокий</w:t>
            </w:r>
          </w:p>
        </w:tc>
        <w:tc>
          <w:tcPr>
            <w:tcW w:w="953" w:type="dxa"/>
            <w:shd w:val="clear" w:color="auto" w:fill="92D050"/>
          </w:tcPr>
          <w:p>
            <w:pPr>
              <w:pStyle w:val="TableParagraph"/>
              <w:spacing w:before="3"/>
              <w:ind w:left="0"/>
              <w:rPr>
                <w:sz w:val="24"/>
              </w:rPr>
            </w:pPr>
          </w:p>
          <w:p>
            <w:pPr>
              <w:pStyle w:val="TableParagraph"/>
              <w:ind w:left="241"/>
              <w:rPr>
                <w:sz w:val="24"/>
              </w:rPr>
            </w:pPr>
            <w:r>
              <w:rPr>
                <w:spacing w:val="-5"/>
                <w:sz w:val="24"/>
              </w:rPr>
              <w:t>ОЖ</w:t>
            </w:r>
            <w:r>
              <w:rPr>
                <w:spacing w:val="-5"/>
                <w:sz w:val="24"/>
                <w:vertAlign w:val="superscript"/>
              </w:rPr>
              <w:t>1</w:t>
            </w:r>
          </w:p>
        </w:tc>
        <w:tc>
          <w:tcPr>
            <w:tcW w:w="953" w:type="dxa"/>
            <w:shd w:val="clear" w:color="auto" w:fill="FFFF00"/>
          </w:tcPr>
          <w:p>
            <w:pPr>
              <w:pStyle w:val="TableParagraph"/>
              <w:spacing w:line="360" w:lineRule="auto" w:before="70"/>
              <w:ind w:left="256" w:right="189" w:hanging="41"/>
              <w:rPr>
                <w:sz w:val="24"/>
              </w:rPr>
            </w:pPr>
            <w:r>
              <w:rPr>
                <w:spacing w:val="-4"/>
                <w:sz w:val="24"/>
              </w:rPr>
              <w:t>ОЖ± </w:t>
            </w:r>
            <w:r>
              <w:rPr>
                <w:spacing w:val="-5"/>
                <w:sz w:val="24"/>
              </w:rPr>
              <w:t>МТ</w:t>
            </w:r>
            <w:r>
              <w:rPr>
                <w:spacing w:val="-5"/>
                <w:sz w:val="24"/>
                <w:vertAlign w:val="superscript"/>
              </w:rPr>
              <w:t>2</w:t>
            </w:r>
          </w:p>
        </w:tc>
        <w:tc>
          <w:tcPr>
            <w:tcW w:w="4608" w:type="dxa"/>
            <w:gridSpan w:val="4"/>
            <w:shd w:val="clear" w:color="auto" w:fill="FF0000"/>
          </w:tcPr>
          <w:p>
            <w:pPr>
              <w:pStyle w:val="TableParagraph"/>
              <w:spacing w:before="3"/>
              <w:ind w:left="0"/>
              <w:rPr>
                <w:sz w:val="24"/>
              </w:rPr>
            </w:pPr>
          </w:p>
          <w:p>
            <w:pPr>
              <w:pStyle w:val="TableParagraph"/>
              <w:ind w:left="1804" w:right="1792"/>
              <w:jc w:val="center"/>
              <w:rPr>
                <w:sz w:val="24"/>
              </w:rPr>
            </w:pPr>
            <w:r>
              <w:rPr>
                <w:spacing w:val="-2"/>
                <w:sz w:val="24"/>
              </w:rPr>
              <w:t>ОЖ+МТ</w:t>
            </w:r>
            <w:r>
              <w:rPr>
                <w:spacing w:val="-2"/>
                <w:sz w:val="24"/>
                <w:vertAlign w:val="superscript"/>
              </w:rPr>
              <w:t>3</w:t>
            </w:r>
          </w:p>
        </w:tc>
      </w:tr>
      <w:tr>
        <w:trPr>
          <w:trHeight w:val="558" w:hRule="atLeast"/>
        </w:trPr>
        <w:tc>
          <w:tcPr>
            <w:tcW w:w="8302" w:type="dxa"/>
            <w:gridSpan w:val="7"/>
          </w:tcPr>
          <w:p>
            <w:pPr>
              <w:pStyle w:val="TableParagraph"/>
              <w:spacing w:before="73"/>
              <w:ind w:left="2704" w:right="2685"/>
              <w:jc w:val="center"/>
              <w:rPr>
                <w:b/>
                <w:sz w:val="24"/>
              </w:rPr>
            </w:pPr>
            <w:r>
              <w:rPr>
                <w:b/>
                <w:sz w:val="24"/>
              </w:rPr>
              <w:t>Вторичная</w:t>
            </w:r>
            <w:r>
              <w:rPr>
                <w:b/>
                <w:spacing w:val="-4"/>
                <w:sz w:val="24"/>
              </w:rPr>
              <w:t> </w:t>
            </w:r>
            <w:r>
              <w:rPr>
                <w:b/>
                <w:spacing w:val="-2"/>
                <w:sz w:val="24"/>
              </w:rPr>
              <w:t>профилактика</w:t>
            </w:r>
          </w:p>
        </w:tc>
      </w:tr>
      <w:tr>
        <w:trPr>
          <w:trHeight w:val="973" w:hRule="atLeast"/>
        </w:trPr>
        <w:tc>
          <w:tcPr>
            <w:tcW w:w="1788" w:type="dxa"/>
          </w:tcPr>
          <w:p>
            <w:pPr>
              <w:pStyle w:val="TableParagraph"/>
              <w:spacing w:before="3"/>
              <w:ind w:left="0"/>
              <w:rPr>
                <w:sz w:val="24"/>
              </w:rPr>
            </w:pPr>
          </w:p>
          <w:p>
            <w:pPr>
              <w:pStyle w:val="TableParagraph"/>
              <w:ind w:left="143"/>
              <w:rPr>
                <w:b/>
                <w:sz w:val="24"/>
              </w:rPr>
            </w:pPr>
            <w:r>
              <w:rPr>
                <w:b/>
                <w:sz w:val="24"/>
              </w:rPr>
              <w:t>Оч.</w:t>
            </w:r>
            <w:r>
              <w:rPr>
                <w:b/>
                <w:spacing w:val="-1"/>
                <w:sz w:val="24"/>
              </w:rPr>
              <w:t> </w:t>
            </w:r>
            <w:r>
              <w:rPr>
                <w:b/>
                <w:spacing w:val="-2"/>
                <w:sz w:val="24"/>
              </w:rPr>
              <w:t>высокий</w:t>
            </w:r>
          </w:p>
        </w:tc>
        <w:tc>
          <w:tcPr>
            <w:tcW w:w="953" w:type="dxa"/>
            <w:shd w:val="clear" w:color="auto" w:fill="FFFF00"/>
          </w:tcPr>
          <w:p>
            <w:pPr>
              <w:pStyle w:val="TableParagraph"/>
              <w:spacing w:line="360" w:lineRule="auto" w:before="73"/>
              <w:ind w:left="256" w:right="189" w:hanging="41"/>
              <w:rPr>
                <w:sz w:val="24"/>
              </w:rPr>
            </w:pPr>
            <w:r>
              <w:rPr>
                <w:spacing w:val="-4"/>
                <w:sz w:val="24"/>
              </w:rPr>
              <w:t>ОЖ± </w:t>
            </w:r>
            <w:r>
              <w:rPr>
                <w:spacing w:val="-5"/>
                <w:sz w:val="24"/>
              </w:rPr>
              <w:t>МТ</w:t>
            </w:r>
            <w:r>
              <w:rPr>
                <w:spacing w:val="-5"/>
                <w:sz w:val="24"/>
                <w:vertAlign w:val="superscript"/>
              </w:rPr>
              <w:t>2</w:t>
            </w:r>
          </w:p>
        </w:tc>
        <w:tc>
          <w:tcPr>
            <w:tcW w:w="5561" w:type="dxa"/>
            <w:gridSpan w:val="5"/>
            <w:shd w:val="clear" w:color="auto" w:fill="FF0000"/>
          </w:tcPr>
          <w:p>
            <w:pPr>
              <w:pStyle w:val="TableParagraph"/>
              <w:spacing w:before="3"/>
              <w:ind w:left="0"/>
              <w:rPr>
                <w:sz w:val="24"/>
              </w:rPr>
            </w:pPr>
          </w:p>
          <w:p>
            <w:pPr>
              <w:pStyle w:val="TableParagraph"/>
              <w:ind w:left="2282" w:right="2267"/>
              <w:jc w:val="center"/>
              <w:rPr>
                <w:sz w:val="24"/>
              </w:rPr>
            </w:pPr>
            <w:r>
              <w:rPr>
                <w:spacing w:val="-2"/>
                <w:sz w:val="24"/>
              </w:rPr>
              <w:t>ОЖ+МТ</w:t>
            </w:r>
            <w:r>
              <w:rPr>
                <w:spacing w:val="-2"/>
                <w:sz w:val="24"/>
                <w:vertAlign w:val="superscript"/>
              </w:rPr>
              <w:t>3</w:t>
            </w:r>
          </w:p>
        </w:tc>
      </w:tr>
    </w:tbl>
    <w:p>
      <w:pPr>
        <w:pStyle w:val="BodyText"/>
        <w:ind w:left="0"/>
        <w:rPr>
          <w:sz w:val="36"/>
        </w:rPr>
      </w:pPr>
    </w:p>
    <w:p>
      <w:pPr>
        <w:pStyle w:val="BodyText"/>
        <w:spacing w:line="360" w:lineRule="auto"/>
        <w:ind w:left="1261" w:right="567"/>
        <w:jc w:val="both"/>
      </w:pPr>
      <w:r>
        <w:rPr/>
        <w:t>Примечание: ХС ЛНП — холестерин липопротеидов низкой плотности. У больных ССЗ терапия </w:t>
      </w:r>
      <w:r>
        <w:rPr>
          <w:rFonts w:ascii="Calibri" w:hAnsi="Calibri"/>
          <w:sz w:val="22"/>
        </w:rPr>
        <w:t>с</w:t>
      </w:r>
      <w:r>
        <w:rPr/>
        <w:t>татин</w:t>
      </w:r>
      <w:r>
        <w:rPr>
          <w:rFonts w:ascii="Calibri" w:hAnsi="Calibri"/>
          <w:sz w:val="22"/>
        </w:rPr>
        <w:t>ами </w:t>
      </w:r>
      <w:r>
        <w:rPr/>
        <w:t>назначается вне зависимости от уровня ХС.</w:t>
      </w:r>
    </w:p>
    <w:p>
      <w:pPr>
        <w:pStyle w:val="BodyText"/>
        <w:spacing w:line="360" w:lineRule="auto"/>
        <w:ind w:left="1261" w:right="568"/>
        <w:jc w:val="both"/>
      </w:pPr>
      <w:r>
        <w:rPr>
          <w:vertAlign w:val="superscript"/>
        </w:rPr>
        <w:t>1</w:t>
      </w:r>
      <w:r>
        <w:rPr>
          <w:vertAlign w:val="baseline"/>
        </w:rPr>
        <w:t> ОЖ: лечение не требуется, рекомендуется поддержание здорового образа жизни и контроль факторов риска.</w:t>
      </w:r>
    </w:p>
    <w:p>
      <w:pPr>
        <w:pStyle w:val="BodyText"/>
        <w:spacing w:line="360" w:lineRule="auto"/>
        <w:ind w:left="1261" w:right="566"/>
        <w:jc w:val="both"/>
      </w:pPr>
      <w:r>
        <w:rPr>
          <w:vertAlign w:val="superscript"/>
        </w:rPr>
        <w:t>2</w:t>
      </w:r>
      <w:r>
        <w:rPr>
          <w:vertAlign w:val="baseline"/>
        </w:rPr>
        <w:t> ОЖ±МТ:</w:t>
      </w:r>
      <w:r>
        <w:rPr>
          <w:spacing w:val="-1"/>
          <w:vertAlign w:val="baseline"/>
        </w:rPr>
        <w:t> </w:t>
      </w:r>
      <w:r>
        <w:rPr>
          <w:vertAlign w:val="baseline"/>
        </w:rPr>
        <w:t>рекомендуется</w:t>
      </w:r>
      <w:r>
        <w:rPr>
          <w:spacing w:val="-1"/>
          <w:vertAlign w:val="baseline"/>
        </w:rPr>
        <w:t> </w:t>
      </w:r>
      <w:r>
        <w:rPr>
          <w:vertAlign w:val="baseline"/>
        </w:rPr>
        <w:t>поддержание</w:t>
      </w:r>
      <w:r>
        <w:rPr>
          <w:spacing w:val="-2"/>
          <w:vertAlign w:val="baseline"/>
        </w:rPr>
        <w:t> </w:t>
      </w:r>
      <w:r>
        <w:rPr>
          <w:vertAlign w:val="baseline"/>
        </w:rPr>
        <w:t>здорового</w:t>
      </w:r>
      <w:r>
        <w:rPr>
          <w:spacing w:val="-1"/>
          <w:vertAlign w:val="baseline"/>
        </w:rPr>
        <w:t> </w:t>
      </w:r>
      <w:r>
        <w:rPr>
          <w:vertAlign w:val="baseline"/>
        </w:rPr>
        <w:t>образа</w:t>
      </w:r>
      <w:r>
        <w:rPr>
          <w:spacing w:val="-2"/>
          <w:vertAlign w:val="baseline"/>
        </w:rPr>
        <w:t> </w:t>
      </w:r>
      <w:r>
        <w:rPr>
          <w:vertAlign w:val="baseline"/>
        </w:rPr>
        <w:t>жизни и,</w:t>
      </w:r>
      <w:r>
        <w:rPr>
          <w:spacing w:val="-1"/>
          <w:vertAlign w:val="baseline"/>
        </w:rPr>
        <w:t> </w:t>
      </w:r>
      <w:r>
        <w:rPr>
          <w:vertAlign w:val="baseline"/>
        </w:rPr>
        <w:t>возможно</w:t>
      </w:r>
      <w:r>
        <w:rPr>
          <w:spacing w:val="-1"/>
          <w:vertAlign w:val="baseline"/>
        </w:rPr>
        <w:t> </w:t>
      </w:r>
      <w:r>
        <w:rPr>
          <w:vertAlign w:val="baseline"/>
        </w:rPr>
        <w:t>(по</w:t>
      </w:r>
      <w:r>
        <w:rPr>
          <w:spacing w:val="-1"/>
          <w:vertAlign w:val="baseline"/>
        </w:rPr>
        <w:t> </w:t>
      </w:r>
      <w:r>
        <w:rPr>
          <w:vertAlign w:val="baseline"/>
        </w:rPr>
        <w:t>решению врача), назначение липидснижающей терапии, если целевой уровень ХС ЛНП не </w:t>
      </w:r>
      <w:r>
        <w:rPr>
          <w:spacing w:val="-2"/>
          <w:vertAlign w:val="baseline"/>
        </w:rPr>
        <w:t>достигнут.</w:t>
      </w:r>
    </w:p>
    <w:p>
      <w:pPr>
        <w:pStyle w:val="BodyText"/>
        <w:spacing w:line="360" w:lineRule="auto" w:before="2"/>
        <w:ind w:left="1261" w:right="566"/>
        <w:jc w:val="both"/>
      </w:pPr>
      <w:r>
        <w:rPr>
          <w:vertAlign w:val="superscript"/>
        </w:rPr>
        <w:t>3</w:t>
      </w:r>
      <w:r>
        <w:rPr>
          <w:vertAlign w:val="baseline"/>
        </w:rPr>
        <w:t> ОЖ+МТ: рекомендуется поддержание здорового образа жизни и одновременное назначение липидснижающей терапии.</w:t>
      </w:r>
    </w:p>
    <w:p>
      <w:pPr>
        <w:spacing w:after="0" w:line="360" w:lineRule="auto"/>
        <w:jc w:val="both"/>
        <w:sectPr>
          <w:type w:val="continuous"/>
          <w:pgSz w:w="11910" w:h="16840"/>
          <w:pgMar w:header="0" w:footer="710" w:top="1100" w:bottom="900" w:left="440" w:right="280"/>
        </w:sectPr>
      </w:pPr>
    </w:p>
    <w:p>
      <w:pPr>
        <w:pStyle w:val="Heading3"/>
        <w:spacing w:before="68"/>
        <w:jc w:val="both"/>
        <w:rPr>
          <w:b w:val="0"/>
        </w:rPr>
      </w:pPr>
      <w:r>
        <w:rPr/>
        <w:t>Таблица</w:t>
      </w:r>
      <w:r>
        <w:rPr>
          <w:spacing w:val="-3"/>
        </w:rPr>
        <w:t> </w:t>
      </w:r>
      <w:r>
        <w:rPr/>
        <w:t>Б4/2</w:t>
      </w:r>
      <w:r>
        <w:rPr>
          <w:spacing w:val="-3"/>
        </w:rPr>
        <w:t> </w:t>
      </w:r>
      <w:r>
        <w:rPr/>
        <w:t>Влияние</w:t>
      </w:r>
      <w:r>
        <w:rPr>
          <w:spacing w:val="-3"/>
        </w:rPr>
        <w:t> </w:t>
      </w:r>
      <w:r>
        <w:rPr/>
        <w:t>изменения</w:t>
      </w:r>
      <w:r>
        <w:rPr>
          <w:spacing w:val="-4"/>
        </w:rPr>
        <w:t> </w:t>
      </w:r>
      <w:r>
        <w:rPr/>
        <w:t>образа</w:t>
      </w:r>
      <w:r>
        <w:rPr>
          <w:spacing w:val="-3"/>
        </w:rPr>
        <w:t> </w:t>
      </w:r>
      <w:r>
        <w:rPr/>
        <w:t>жизни</w:t>
      </w:r>
      <w:r>
        <w:rPr>
          <w:spacing w:val="-2"/>
        </w:rPr>
        <w:t> </w:t>
      </w:r>
      <w:r>
        <w:rPr/>
        <w:t>на</w:t>
      </w:r>
      <w:r>
        <w:rPr>
          <w:spacing w:val="-3"/>
        </w:rPr>
        <w:t> </w:t>
      </w:r>
      <w:r>
        <w:rPr/>
        <w:t>уровень</w:t>
      </w:r>
      <w:r>
        <w:rPr>
          <w:spacing w:val="-3"/>
        </w:rPr>
        <w:t> </w:t>
      </w:r>
      <w:r>
        <w:rPr/>
        <w:t>липидов</w:t>
      </w:r>
      <w:r>
        <w:rPr>
          <w:spacing w:val="-2"/>
        </w:rPr>
        <w:t> </w:t>
      </w:r>
      <w:r>
        <w:rPr>
          <w:b w:val="0"/>
          <w:spacing w:val="-4"/>
        </w:rPr>
        <w:t>[</w:t>
      </w:r>
      <w:hyperlink w:history="true" w:anchor="_bookmark95">
        <w:r>
          <w:rPr>
            <w:b w:val="0"/>
            <w:spacing w:val="-4"/>
          </w:rPr>
          <w:t>50</w:t>
        </w:r>
      </w:hyperlink>
      <w:r>
        <w:rPr>
          <w:b w:val="0"/>
          <w:spacing w:val="-4"/>
        </w:rPr>
        <w:t>]</w:t>
      </w:r>
    </w:p>
    <w:p>
      <w:pPr>
        <w:pStyle w:val="BodyText"/>
        <w:ind w:left="0"/>
        <w:rPr>
          <w:sz w:val="12"/>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092"/>
        <w:gridCol w:w="814"/>
        <w:gridCol w:w="1313"/>
      </w:tblGrid>
      <w:tr>
        <w:trPr>
          <w:trHeight w:val="1242" w:hRule="atLeast"/>
        </w:trPr>
        <w:tc>
          <w:tcPr>
            <w:tcW w:w="7906" w:type="dxa"/>
            <w:gridSpan w:val="2"/>
          </w:tcPr>
          <w:p>
            <w:pPr>
              <w:pStyle w:val="TableParagraph"/>
              <w:spacing w:before="1"/>
              <w:rPr>
                <w:b/>
                <w:sz w:val="24"/>
              </w:rPr>
            </w:pPr>
            <w:r>
              <w:rPr>
                <w:b/>
                <w:sz w:val="24"/>
              </w:rPr>
              <w:t>Изменения</w:t>
            </w:r>
            <w:r>
              <w:rPr>
                <w:b/>
                <w:spacing w:val="-5"/>
                <w:sz w:val="24"/>
              </w:rPr>
              <w:t> </w:t>
            </w:r>
            <w:r>
              <w:rPr>
                <w:b/>
                <w:sz w:val="24"/>
              </w:rPr>
              <w:t>образа</w:t>
            </w:r>
            <w:r>
              <w:rPr>
                <w:b/>
                <w:spacing w:val="-2"/>
                <w:sz w:val="24"/>
              </w:rPr>
              <w:t> </w:t>
            </w:r>
            <w:r>
              <w:rPr>
                <w:b/>
                <w:sz w:val="24"/>
              </w:rPr>
              <w:t>жизни</w:t>
            </w:r>
            <w:r>
              <w:rPr>
                <w:b/>
                <w:spacing w:val="-2"/>
                <w:sz w:val="24"/>
              </w:rPr>
              <w:t> </w:t>
            </w:r>
            <w:r>
              <w:rPr>
                <w:b/>
                <w:sz w:val="24"/>
              </w:rPr>
              <w:t>для</w:t>
            </w:r>
            <w:r>
              <w:rPr>
                <w:b/>
                <w:spacing w:val="-3"/>
                <w:sz w:val="24"/>
              </w:rPr>
              <w:t> </w:t>
            </w:r>
            <w:r>
              <w:rPr>
                <w:b/>
                <w:sz w:val="24"/>
              </w:rPr>
              <w:t>снижения</w:t>
            </w:r>
            <w:r>
              <w:rPr>
                <w:b/>
                <w:spacing w:val="-3"/>
                <w:sz w:val="24"/>
              </w:rPr>
              <w:t> </w:t>
            </w:r>
            <w:r>
              <w:rPr>
                <w:b/>
                <w:sz w:val="24"/>
              </w:rPr>
              <w:t>уровня</w:t>
            </w:r>
            <w:r>
              <w:rPr>
                <w:b/>
                <w:spacing w:val="-3"/>
                <w:sz w:val="24"/>
              </w:rPr>
              <w:t> </w:t>
            </w:r>
            <w:r>
              <w:rPr>
                <w:b/>
                <w:sz w:val="24"/>
              </w:rPr>
              <w:t>ОХС</w:t>
            </w:r>
            <w:r>
              <w:rPr>
                <w:b/>
                <w:spacing w:val="-3"/>
                <w:sz w:val="24"/>
              </w:rPr>
              <w:t> </w:t>
            </w:r>
            <w:r>
              <w:rPr>
                <w:b/>
                <w:sz w:val="24"/>
              </w:rPr>
              <w:t>и</w:t>
            </w:r>
            <w:r>
              <w:rPr>
                <w:b/>
                <w:spacing w:val="-2"/>
                <w:sz w:val="24"/>
              </w:rPr>
              <w:t> </w:t>
            </w:r>
            <w:r>
              <w:rPr>
                <w:b/>
                <w:sz w:val="24"/>
              </w:rPr>
              <w:t>ХС</w:t>
            </w:r>
            <w:r>
              <w:rPr>
                <w:b/>
                <w:spacing w:val="-2"/>
                <w:sz w:val="24"/>
              </w:rPr>
              <w:t> </w:t>
            </w:r>
            <w:r>
              <w:rPr>
                <w:b/>
                <w:spacing w:val="-5"/>
                <w:sz w:val="24"/>
              </w:rPr>
              <w:t>ЛНП</w:t>
            </w:r>
          </w:p>
        </w:tc>
        <w:tc>
          <w:tcPr>
            <w:tcW w:w="1313" w:type="dxa"/>
          </w:tcPr>
          <w:p>
            <w:pPr>
              <w:pStyle w:val="TableParagraph"/>
              <w:spacing w:line="360" w:lineRule="auto" w:before="1"/>
              <w:ind w:right="110"/>
              <w:rPr>
                <w:b/>
                <w:sz w:val="24"/>
              </w:rPr>
            </w:pPr>
            <w:r>
              <w:rPr>
                <w:b/>
                <w:spacing w:val="-2"/>
                <w:sz w:val="24"/>
              </w:rPr>
              <w:t>Источник литерату</w:t>
            </w:r>
          </w:p>
          <w:p>
            <w:pPr>
              <w:pStyle w:val="TableParagraph"/>
              <w:rPr>
                <w:b/>
                <w:sz w:val="24"/>
              </w:rPr>
            </w:pPr>
            <w:r>
              <w:rPr>
                <w:b/>
                <w:spacing w:val="-5"/>
                <w:sz w:val="24"/>
              </w:rPr>
              <w:t>ры</w:t>
            </w:r>
          </w:p>
        </w:tc>
      </w:tr>
      <w:tr>
        <w:trPr>
          <w:trHeight w:val="414" w:hRule="atLeast"/>
        </w:trPr>
        <w:tc>
          <w:tcPr>
            <w:tcW w:w="7092" w:type="dxa"/>
          </w:tcPr>
          <w:p>
            <w:pPr>
              <w:pStyle w:val="TableParagraph"/>
              <w:spacing w:line="275" w:lineRule="exact"/>
              <w:rPr>
                <w:sz w:val="24"/>
              </w:rPr>
            </w:pPr>
            <w:r>
              <w:rPr>
                <w:sz w:val="24"/>
              </w:rPr>
              <w:t>Исключение</w:t>
            </w:r>
            <w:r>
              <w:rPr>
                <w:spacing w:val="-2"/>
                <w:sz w:val="24"/>
              </w:rPr>
              <w:t> трансжиров</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z w:val="24"/>
              </w:rPr>
              <w:t>[</w:t>
            </w:r>
            <w:hyperlink w:history="true" w:anchor="_bookmark167">
              <w:r>
                <w:rPr>
                  <w:sz w:val="24"/>
                </w:rPr>
                <w:t>122</w:t>
              </w:r>
            </w:hyperlink>
            <w:r>
              <w:rPr>
                <w:sz w:val="24"/>
              </w:rPr>
              <w:t>,</w:t>
            </w:r>
            <w:r>
              <w:rPr>
                <w:spacing w:val="-3"/>
                <w:sz w:val="24"/>
              </w:rPr>
              <w:t> </w:t>
            </w:r>
            <w:hyperlink w:history="true" w:anchor="_bookmark168">
              <w:r>
                <w:rPr>
                  <w:spacing w:val="-4"/>
                  <w:sz w:val="24"/>
                </w:rPr>
                <w:t>123</w:t>
              </w:r>
            </w:hyperlink>
            <w:r>
              <w:rPr>
                <w:spacing w:val="-4"/>
                <w:sz w:val="24"/>
              </w:rPr>
              <w:t>]</w:t>
            </w:r>
          </w:p>
        </w:tc>
      </w:tr>
      <w:tr>
        <w:trPr>
          <w:trHeight w:val="412" w:hRule="atLeast"/>
        </w:trPr>
        <w:tc>
          <w:tcPr>
            <w:tcW w:w="7092" w:type="dxa"/>
          </w:tcPr>
          <w:p>
            <w:pPr>
              <w:pStyle w:val="TableParagraph"/>
              <w:spacing w:line="275" w:lineRule="exact"/>
              <w:rPr>
                <w:sz w:val="24"/>
              </w:rPr>
            </w:pPr>
            <w:r>
              <w:rPr>
                <w:sz w:val="24"/>
              </w:rPr>
              <w:t>Снижение</w:t>
            </w:r>
            <w:r>
              <w:rPr>
                <w:spacing w:val="-3"/>
                <w:sz w:val="24"/>
              </w:rPr>
              <w:t> </w:t>
            </w:r>
            <w:r>
              <w:rPr>
                <w:sz w:val="24"/>
              </w:rPr>
              <w:t>употребления</w:t>
            </w:r>
            <w:r>
              <w:rPr>
                <w:spacing w:val="-2"/>
                <w:sz w:val="24"/>
              </w:rPr>
              <w:t> </w:t>
            </w:r>
            <w:r>
              <w:rPr>
                <w:sz w:val="24"/>
              </w:rPr>
              <w:t>насыщенных</w:t>
            </w:r>
            <w:r>
              <w:rPr>
                <w:spacing w:val="-1"/>
                <w:sz w:val="24"/>
              </w:rPr>
              <w:t> </w:t>
            </w:r>
            <w:r>
              <w:rPr>
                <w:spacing w:val="-2"/>
                <w:sz w:val="24"/>
              </w:rPr>
              <w:t>жиров</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z w:val="24"/>
              </w:rPr>
              <w:t>[</w:t>
            </w:r>
            <w:hyperlink w:history="true" w:anchor="_bookmark167">
              <w:r>
                <w:rPr>
                  <w:sz w:val="24"/>
                </w:rPr>
                <w:t>122</w:t>
              </w:r>
            </w:hyperlink>
            <w:r>
              <w:rPr>
                <w:sz w:val="24"/>
              </w:rPr>
              <w:t>,</w:t>
            </w:r>
            <w:r>
              <w:rPr>
                <w:spacing w:val="-3"/>
                <w:sz w:val="24"/>
              </w:rPr>
              <w:t> </w:t>
            </w:r>
            <w:hyperlink w:history="true" w:anchor="_bookmark169">
              <w:r>
                <w:rPr>
                  <w:spacing w:val="-4"/>
                  <w:sz w:val="24"/>
                </w:rPr>
                <w:t>124</w:t>
              </w:r>
            </w:hyperlink>
            <w:r>
              <w:rPr>
                <w:spacing w:val="-4"/>
                <w:sz w:val="24"/>
              </w:rPr>
              <w:t>]</w:t>
            </w:r>
          </w:p>
        </w:tc>
      </w:tr>
      <w:tr>
        <w:trPr>
          <w:trHeight w:val="414" w:hRule="atLeast"/>
        </w:trPr>
        <w:tc>
          <w:tcPr>
            <w:tcW w:w="7092" w:type="dxa"/>
          </w:tcPr>
          <w:p>
            <w:pPr>
              <w:pStyle w:val="TableParagraph"/>
              <w:spacing w:before="1"/>
              <w:rPr>
                <w:sz w:val="24"/>
              </w:rPr>
            </w:pPr>
            <w:r>
              <w:rPr>
                <w:sz w:val="24"/>
              </w:rPr>
              <w:t>Увеличить</w:t>
            </w:r>
            <w:r>
              <w:rPr>
                <w:spacing w:val="-3"/>
                <w:sz w:val="24"/>
              </w:rPr>
              <w:t> </w:t>
            </w:r>
            <w:r>
              <w:rPr>
                <w:sz w:val="24"/>
              </w:rPr>
              <w:t>потребление</w:t>
            </w:r>
            <w:r>
              <w:rPr>
                <w:spacing w:val="-4"/>
                <w:sz w:val="24"/>
              </w:rPr>
              <w:t> </w:t>
            </w:r>
            <w:r>
              <w:rPr>
                <w:sz w:val="24"/>
              </w:rPr>
              <w:t>пищевых </w:t>
            </w:r>
            <w:r>
              <w:rPr>
                <w:spacing w:val="-2"/>
                <w:sz w:val="24"/>
              </w:rPr>
              <w:t>волокон</w:t>
            </w:r>
          </w:p>
        </w:tc>
        <w:tc>
          <w:tcPr>
            <w:tcW w:w="814" w:type="dxa"/>
          </w:tcPr>
          <w:p>
            <w:pPr>
              <w:pStyle w:val="TableParagraph"/>
              <w:spacing w:before="1"/>
              <w:rPr>
                <w:b/>
                <w:sz w:val="24"/>
              </w:rPr>
            </w:pPr>
            <w:r>
              <w:rPr>
                <w:b/>
                <w:spacing w:val="-5"/>
                <w:sz w:val="24"/>
              </w:rPr>
              <w:t>++</w:t>
            </w:r>
          </w:p>
        </w:tc>
        <w:tc>
          <w:tcPr>
            <w:tcW w:w="1313" w:type="dxa"/>
          </w:tcPr>
          <w:p>
            <w:pPr>
              <w:pStyle w:val="TableParagraph"/>
              <w:spacing w:before="1"/>
              <w:rPr>
                <w:sz w:val="24"/>
              </w:rPr>
            </w:pPr>
            <w:r>
              <w:rPr>
                <w:sz w:val="24"/>
              </w:rPr>
              <w:t>[</w:t>
            </w:r>
            <w:hyperlink w:history="true" w:anchor="_bookmark170">
              <w:r>
                <w:rPr>
                  <w:sz w:val="24"/>
                </w:rPr>
                <w:t>125</w:t>
              </w:r>
            </w:hyperlink>
            <w:r>
              <w:rPr>
                <w:sz w:val="24"/>
              </w:rPr>
              <w:t>,</w:t>
            </w:r>
            <w:r>
              <w:rPr>
                <w:spacing w:val="-3"/>
                <w:sz w:val="24"/>
              </w:rPr>
              <w:t> </w:t>
            </w:r>
            <w:hyperlink w:history="true" w:anchor="_bookmark171">
              <w:r>
                <w:rPr>
                  <w:spacing w:val="-4"/>
                  <w:sz w:val="24"/>
                </w:rPr>
                <w:t>126</w:t>
              </w:r>
            </w:hyperlink>
            <w:r>
              <w:rPr>
                <w:spacing w:val="-4"/>
                <w:sz w:val="24"/>
              </w:rPr>
              <w:t>]</w:t>
            </w:r>
          </w:p>
        </w:tc>
      </w:tr>
      <w:tr>
        <w:trPr>
          <w:trHeight w:val="414" w:hRule="atLeast"/>
        </w:trPr>
        <w:tc>
          <w:tcPr>
            <w:tcW w:w="7092" w:type="dxa"/>
          </w:tcPr>
          <w:p>
            <w:pPr>
              <w:pStyle w:val="TableParagraph"/>
              <w:spacing w:line="275" w:lineRule="exact"/>
              <w:rPr>
                <w:sz w:val="24"/>
              </w:rPr>
            </w:pPr>
            <w:r>
              <w:rPr>
                <w:sz w:val="24"/>
              </w:rPr>
              <w:t>Употребление</w:t>
            </w:r>
            <w:r>
              <w:rPr>
                <w:spacing w:val="-3"/>
                <w:sz w:val="24"/>
              </w:rPr>
              <w:t> </w:t>
            </w:r>
            <w:r>
              <w:rPr>
                <w:sz w:val="24"/>
              </w:rPr>
              <w:t>продуктов,</w:t>
            </w:r>
            <w:r>
              <w:rPr>
                <w:spacing w:val="-3"/>
                <w:sz w:val="24"/>
              </w:rPr>
              <w:t> </w:t>
            </w:r>
            <w:r>
              <w:rPr>
                <w:sz w:val="24"/>
              </w:rPr>
              <w:t>богатые</w:t>
            </w:r>
            <w:r>
              <w:rPr>
                <w:spacing w:val="-2"/>
                <w:sz w:val="24"/>
              </w:rPr>
              <w:t> фитостеролами</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ind w:left="167"/>
              <w:rPr>
                <w:sz w:val="24"/>
              </w:rPr>
            </w:pPr>
            <w:r>
              <w:rPr>
                <w:sz w:val="24"/>
              </w:rPr>
              <w:t>[</w:t>
            </w:r>
            <w:hyperlink w:history="true" w:anchor="_bookmark172">
              <w:r>
                <w:rPr>
                  <w:sz w:val="24"/>
                </w:rPr>
                <w:t>127</w:t>
              </w:r>
            </w:hyperlink>
            <w:r>
              <w:rPr>
                <w:sz w:val="24"/>
              </w:rPr>
              <w:t>,</w:t>
            </w:r>
            <w:r>
              <w:rPr>
                <w:spacing w:val="-3"/>
                <w:sz w:val="24"/>
              </w:rPr>
              <w:t> </w:t>
            </w:r>
            <w:hyperlink w:history="true" w:anchor="_bookmark173">
              <w:r>
                <w:rPr>
                  <w:spacing w:val="-4"/>
                  <w:sz w:val="24"/>
                </w:rPr>
                <w:t>128</w:t>
              </w:r>
            </w:hyperlink>
            <w:r>
              <w:rPr>
                <w:spacing w:val="-4"/>
                <w:sz w:val="24"/>
              </w:rPr>
              <w:t>]</w:t>
            </w:r>
          </w:p>
        </w:tc>
      </w:tr>
      <w:tr>
        <w:trPr>
          <w:trHeight w:val="412" w:hRule="atLeast"/>
        </w:trPr>
        <w:tc>
          <w:tcPr>
            <w:tcW w:w="7092" w:type="dxa"/>
          </w:tcPr>
          <w:p>
            <w:pPr>
              <w:pStyle w:val="TableParagraph"/>
              <w:spacing w:line="275" w:lineRule="exact"/>
              <w:rPr>
                <w:sz w:val="24"/>
              </w:rPr>
            </w:pPr>
            <w:r>
              <w:rPr>
                <w:sz w:val="24"/>
              </w:rPr>
              <w:t>Красный</w:t>
            </w:r>
            <w:r>
              <w:rPr>
                <w:spacing w:val="-4"/>
                <w:sz w:val="24"/>
              </w:rPr>
              <w:t> </w:t>
            </w:r>
            <w:r>
              <w:rPr>
                <w:sz w:val="24"/>
              </w:rPr>
              <w:t>дрожжевой</w:t>
            </w:r>
            <w:r>
              <w:rPr>
                <w:spacing w:val="-2"/>
                <w:sz w:val="24"/>
              </w:rPr>
              <w:t> </w:t>
            </w:r>
            <w:r>
              <w:rPr>
                <w:spacing w:val="-5"/>
                <w:sz w:val="24"/>
              </w:rPr>
              <w:t>рис</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ind w:left="167"/>
              <w:rPr>
                <w:sz w:val="24"/>
              </w:rPr>
            </w:pPr>
            <w:r>
              <w:rPr>
                <w:sz w:val="24"/>
              </w:rPr>
              <w:t>[</w:t>
            </w:r>
            <w:hyperlink w:history="true" w:anchor="_bookmark174">
              <w:r>
                <w:rPr>
                  <w:sz w:val="24"/>
                </w:rPr>
                <w:t>129</w:t>
              </w:r>
            </w:hyperlink>
            <w:r>
              <w:rPr>
                <w:sz w:val="24"/>
              </w:rPr>
              <w:t>,</w:t>
            </w:r>
            <w:r>
              <w:rPr>
                <w:spacing w:val="-3"/>
                <w:sz w:val="24"/>
              </w:rPr>
              <w:t> </w:t>
            </w:r>
            <w:hyperlink w:history="true" w:anchor="_bookmark175">
              <w:r>
                <w:rPr>
                  <w:spacing w:val="-4"/>
                  <w:sz w:val="24"/>
                </w:rPr>
                <w:t>130</w:t>
              </w:r>
            </w:hyperlink>
            <w:r>
              <w:rPr>
                <w:spacing w:val="-4"/>
                <w:sz w:val="24"/>
              </w:rPr>
              <w:t>]</w:t>
            </w:r>
          </w:p>
        </w:tc>
      </w:tr>
      <w:tr>
        <w:trPr>
          <w:trHeight w:val="414" w:hRule="atLeast"/>
        </w:trPr>
        <w:tc>
          <w:tcPr>
            <w:tcW w:w="7092" w:type="dxa"/>
          </w:tcPr>
          <w:p>
            <w:pPr>
              <w:pStyle w:val="TableParagraph"/>
              <w:spacing w:before="1"/>
              <w:rPr>
                <w:sz w:val="24"/>
              </w:rPr>
            </w:pPr>
            <w:r>
              <w:rPr>
                <w:sz w:val="24"/>
              </w:rPr>
              <w:t>Снижение</w:t>
            </w:r>
            <w:r>
              <w:rPr>
                <w:spacing w:val="-3"/>
                <w:sz w:val="24"/>
              </w:rPr>
              <w:t> </w:t>
            </w:r>
            <w:r>
              <w:rPr>
                <w:sz w:val="24"/>
              </w:rPr>
              <w:t>избыточной</w:t>
            </w:r>
            <w:r>
              <w:rPr>
                <w:spacing w:val="-4"/>
                <w:sz w:val="24"/>
              </w:rPr>
              <w:t> </w:t>
            </w:r>
            <w:r>
              <w:rPr>
                <w:sz w:val="24"/>
              </w:rPr>
              <w:t>массы</w:t>
            </w:r>
            <w:r>
              <w:rPr>
                <w:spacing w:val="-2"/>
                <w:sz w:val="24"/>
              </w:rPr>
              <w:t> </w:t>
            </w:r>
            <w:r>
              <w:rPr>
                <w:spacing w:val="-4"/>
                <w:sz w:val="24"/>
              </w:rPr>
              <w:t>тела</w:t>
            </w:r>
          </w:p>
        </w:tc>
        <w:tc>
          <w:tcPr>
            <w:tcW w:w="814" w:type="dxa"/>
          </w:tcPr>
          <w:p>
            <w:pPr>
              <w:pStyle w:val="TableParagraph"/>
              <w:spacing w:before="1"/>
              <w:rPr>
                <w:b/>
                <w:sz w:val="24"/>
              </w:rPr>
            </w:pPr>
            <w:r>
              <w:rPr>
                <w:b/>
                <w:spacing w:val="-5"/>
                <w:sz w:val="24"/>
              </w:rPr>
              <w:t>++</w:t>
            </w:r>
          </w:p>
        </w:tc>
        <w:tc>
          <w:tcPr>
            <w:tcW w:w="1313" w:type="dxa"/>
          </w:tcPr>
          <w:p>
            <w:pPr>
              <w:pStyle w:val="TableParagraph"/>
              <w:spacing w:before="1"/>
              <w:ind w:left="167"/>
              <w:rPr>
                <w:sz w:val="24"/>
              </w:rPr>
            </w:pPr>
            <w:r>
              <w:rPr>
                <w:sz w:val="24"/>
              </w:rPr>
              <w:t>[</w:t>
            </w:r>
            <w:hyperlink w:history="true" w:anchor="_bookmark176">
              <w:r>
                <w:rPr>
                  <w:sz w:val="24"/>
                </w:rPr>
                <w:t>131</w:t>
              </w:r>
            </w:hyperlink>
            <w:r>
              <w:rPr>
                <w:sz w:val="24"/>
              </w:rPr>
              <w:t>,</w:t>
            </w:r>
            <w:r>
              <w:rPr>
                <w:spacing w:val="-3"/>
                <w:sz w:val="24"/>
              </w:rPr>
              <w:t> </w:t>
            </w:r>
            <w:hyperlink w:history="true" w:anchor="_bookmark177">
              <w:r>
                <w:rPr>
                  <w:spacing w:val="-4"/>
                  <w:sz w:val="24"/>
                </w:rPr>
                <w:t>132</w:t>
              </w:r>
            </w:hyperlink>
            <w:r>
              <w:rPr>
                <w:spacing w:val="-4"/>
                <w:sz w:val="24"/>
              </w:rPr>
              <w:t>]</w:t>
            </w:r>
          </w:p>
        </w:tc>
      </w:tr>
      <w:tr>
        <w:trPr>
          <w:trHeight w:val="414" w:hRule="atLeast"/>
        </w:trPr>
        <w:tc>
          <w:tcPr>
            <w:tcW w:w="7092" w:type="dxa"/>
          </w:tcPr>
          <w:p>
            <w:pPr>
              <w:pStyle w:val="TableParagraph"/>
              <w:spacing w:line="275" w:lineRule="exact"/>
              <w:rPr>
                <w:sz w:val="24"/>
              </w:rPr>
            </w:pPr>
            <w:r>
              <w:rPr>
                <w:sz w:val="24"/>
              </w:rPr>
              <w:t>Снижение</w:t>
            </w:r>
            <w:r>
              <w:rPr>
                <w:spacing w:val="-5"/>
                <w:sz w:val="24"/>
              </w:rPr>
              <w:t> </w:t>
            </w:r>
            <w:r>
              <w:rPr>
                <w:sz w:val="24"/>
              </w:rPr>
              <w:t>количества</w:t>
            </w:r>
            <w:r>
              <w:rPr>
                <w:spacing w:val="-2"/>
                <w:sz w:val="24"/>
              </w:rPr>
              <w:t> </w:t>
            </w:r>
            <w:r>
              <w:rPr>
                <w:sz w:val="24"/>
              </w:rPr>
              <w:t>холестерина</w:t>
            </w:r>
            <w:r>
              <w:rPr>
                <w:spacing w:val="-2"/>
                <w:sz w:val="24"/>
              </w:rPr>
              <w:t> </w:t>
            </w:r>
            <w:r>
              <w:rPr>
                <w:sz w:val="24"/>
              </w:rPr>
              <w:t>с</w:t>
            </w:r>
            <w:r>
              <w:rPr>
                <w:spacing w:val="-2"/>
                <w:sz w:val="24"/>
              </w:rPr>
              <w:t> </w:t>
            </w:r>
            <w:r>
              <w:rPr>
                <w:spacing w:val="-4"/>
                <w:sz w:val="24"/>
              </w:rPr>
              <w:t>пищей</w:t>
            </w:r>
          </w:p>
        </w:tc>
        <w:tc>
          <w:tcPr>
            <w:tcW w:w="814" w:type="dxa"/>
          </w:tcPr>
          <w:p>
            <w:pPr>
              <w:pStyle w:val="TableParagraph"/>
              <w:spacing w:line="275" w:lineRule="exact"/>
              <w:rPr>
                <w:b/>
                <w:sz w:val="24"/>
              </w:rPr>
            </w:pPr>
            <w:r>
              <w:rPr>
                <w:b/>
                <w:sz w:val="24"/>
              </w:rPr>
              <w:t>+</w:t>
            </w:r>
          </w:p>
        </w:tc>
        <w:tc>
          <w:tcPr>
            <w:tcW w:w="1313" w:type="dxa"/>
          </w:tcPr>
          <w:p>
            <w:pPr>
              <w:pStyle w:val="TableParagraph"/>
              <w:spacing w:line="275" w:lineRule="exact"/>
              <w:ind w:left="167"/>
              <w:rPr>
                <w:sz w:val="24"/>
              </w:rPr>
            </w:pPr>
            <w:r>
              <w:rPr>
                <w:sz w:val="24"/>
              </w:rPr>
              <w:t>[</w:t>
            </w:r>
            <w:hyperlink w:history="true" w:anchor="_bookmark178">
              <w:r>
                <w:rPr>
                  <w:sz w:val="24"/>
                </w:rPr>
                <w:t>133</w:t>
              </w:r>
            </w:hyperlink>
            <w:r>
              <w:rPr>
                <w:sz w:val="24"/>
              </w:rPr>
              <w:t>,</w:t>
            </w:r>
            <w:r>
              <w:rPr>
                <w:spacing w:val="-3"/>
                <w:sz w:val="24"/>
              </w:rPr>
              <w:t> </w:t>
            </w:r>
            <w:hyperlink w:history="true" w:anchor="_bookmark179">
              <w:r>
                <w:rPr>
                  <w:spacing w:val="-4"/>
                  <w:sz w:val="24"/>
                </w:rPr>
                <w:t>134</w:t>
              </w:r>
            </w:hyperlink>
            <w:r>
              <w:rPr>
                <w:spacing w:val="-4"/>
                <w:sz w:val="24"/>
              </w:rPr>
              <w:t>]</w:t>
            </w:r>
          </w:p>
        </w:tc>
      </w:tr>
      <w:tr>
        <w:trPr>
          <w:trHeight w:val="412" w:hRule="atLeast"/>
        </w:trPr>
        <w:tc>
          <w:tcPr>
            <w:tcW w:w="7092" w:type="dxa"/>
          </w:tcPr>
          <w:p>
            <w:pPr>
              <w:pStyle w:val="TableParagraph"/>
              <w:spacing w:line="275" w:lineRule="exact"/>
              <w:rPr>
                <w:sz w:val="24"/>
              </w:rPr>
            </w:pPr>
            <w:r>
              <w:rPr>
                <w:sz w:val="24"/>
              </w:rPr>
              <w:t>Повышение</w:t>
            </w:r>
            <w:r>
              <w:rPr>
                <w:spacing w:val="-2"/>
                <w:sz w:val="24"/>
              </w:rPr>
              <w:t> </w:t>
            </w:r>
            <w:r>
              <w:rPr>
                <w:sz w:val="24"/>
              </w:rPr>
              <w:t>уровня</w:t>
            </w:r>
            <w:r>
              <w:rPr>
                <w:spacing w:val="-1"/>
                <w:sz w:val="24"/>
              </w:rPr>
              <w:t> </w:t>
            </w:r>
            <w:r>
              <w:rPr>
                <w:sz w:val="24"/>
              </w:rPr>
              <w:t>регулярной физической </w:t>
            </w:r>
            <w:r>
              <w:rPr>
                <w:spacing w:val="-2"/>
                <w:sz w:val="24"/>
              </w:rPr>
              <w:t>активности</w:t>
            </w:r>
          </w:p>
        </w:tc>
        <w:tc>
          <w:tcPr>
            <w:tcW w:w="814" w:type="dxa"/>
          </w:tcPr>
          <w:p>
            <w:pPr>
              <w:pStyle w:val="TableParagraph"/>
              <w:spacing w:line="275" w:lineRule="exact"/>
              <w:rPr>
                <w:b/>
                <w:sz w:val="24"/>
              </w:rPr>
            </w:pPr>
            <w:r>
              <w:rPr>
                <w:b/>
                <w:sz w:val="24"/>
              </w:rPr>
              <w:t>+</w:t>
            </w:r>
          </w:p>
        </w:tc>
        <w:tc>
          <w:tcPr>
            <w:tcW w:w="1313" w:type="dxa"/>
          </w:tcPr>
          <w:p>
            <w:pPr>
              <w:pStyle w:val="TableParagraph"/>
              <w:spacing w:line="275" w:lineRule="exact"/>
              <w:ind w:left="167"/>
              <w:rPr>
                <w:sz w:val="24"/>
              </w:rPr>
            </w:pPr>
            <w:r>
              <w:rPr>
                <w:spacing w:val="-2"/>
                <w:sz w:val="24"/>
              </w:rPr>
              <w:t>[</w:t>
            </w:r>
            <w:hyperlink w:history="true" w:anchor="_bookmark180">
              <w:r>
                <w:rPr>
                  <w:spacing w:val="-2"/>
                  <w:sz w:val="24"/>
                </w:rPr>
                <w:t>135</w:t>
              </w:r>
            </w:hyperlink>
            <w:r>
              <w:rPr>
                <w:spacing w:val="-2"/>
                <w:sz w:val="24"/>
              </w:rPr>
              <w:t>]</w:t>
            </w:r>
          </w:p>
        </w:tc>
      </w:tr>
      <w:tr>
        <w:trPr>
          <w:trHeight w:val="414" w:hRule="atLeast"/>
        </w:trPr>
        <w:tc>
          <w:tcPr>
            <w:tcW w:w="9219" w:type="dxa"/>
            <w:gridSpan w:val="3"/>
          </w:tcPr>
          <w:p>
            <w:pPr>
              <w:pStyle w:val="TableParagraph"/>
              <w:spacing w:line="275" w:lineRule="exact"/>
              <w:rPr>
                <w:b/>
                <w:sz w:val="24"/>
              </w:rPr>
            </w:pPr>
            <w:r>
              <w:rPr>
                <w:b/>
                <w:sz w:val="24"/>
              </w:rPr>
              <w:t>Изменения</w:t>
            </w:r>
            <w:r>
              <w:rPr>
                <w:b/>
                <w:spacing w:val="-6"/>
                <w:sz w:val="24"/>
              </w:rPr>
              <w:t> </w:t>
            </w:r>
            <w:r>
              <w:rPr>
                <w:b/>
                <w:sz w:val="24"/>
              </w:rPr>
              <w:t>образа</w:t>
            </w:r>
            <w:r>
              <w:rPr>
                <w:b/>
                <w:spacing w:val="-3"/>
                <w:sz w:val="24"/>
              </w:rPr>
              <w:t> </w:t>
            </w:r>
            <w:r>
              <w:rPr>
                <w:b/>
                <w:sz w:val="24"/>
              </w:rPr>
              <w:t>жизни</w:t>
            </w:r>
            <w:r>
              <w:rPr>
                <w:b/>
                <w:spacing w:val="-3"/>
                <w:sz w:val="24"/>
              </w:rPr>
              <w:t> </w:t>
            </w:r>
            <w:r>
              <w:rPr>
                <w:b/>
                <w:sz w:val="24"/>
              </w:rPr>
              <w:t>для</w:t>
            </w:r>
            <w:r>
              <w:rPr>
                <w:b/>
                <w:spacing w:val="-4"/>
                <w:sz w:val="24"/>
              </w:rPr>
              <w:t> </w:t>
            </w:r>
            <w:r>
              <w:rPr>
                <w:b/>
                <w:sz w:val="24"/>
              </w:rPr>
              <w:t>снижения</w:t>
            </w:r>
            <w:r>
              <w:rPr>
                <w:b/>
                <w:spacing w:val="-4"/>
                <w:sz w:val="24"/>
              </w:rPr>
              <w:t> </w:t>
            </w:r>
            <w:r>
              <w:rPr>
                <w:b/>
                <w:sz w:val="24"/>
              </w:rPr>
              <w:t>уровня</w:t>
            </w:r>
            <w:r>
              <w:rPr>
                <w:b/>
                <w:spacing w:val="-3"/>
                <w:sz w:val="24"/>
              </w:rPr>
              <w:t> </w:t>
            </w:r>
            <w:r>
              <w:rPr>
                <w:b/>
                <w:spacing w:val="-5"/>
                <w:sz w:val="24"/>
              </w:rPr>
              <w:t>ТГ</w:t>
            </w:r>
          </w:p>
        </w:tc>
      </w:tr>
      <w:tr>
        <w:trPr>
          <w:trHeight w:val="414" w:hRule="atLeast"/>
        </w:trPr>
        <w:tc>
          <w:tcPr>
            <w:tcW w:w="7092" w:type="dxa"/>
          </w:tcPr>
          <w:p>
            <w:pPr>
              <w:pStyle w:val="TableParagraph"/>
              <w:spacing w:line="275" w:lineRule="exact"/>
              <w:rPr>
                <w:sz w:val="24"/>
              </w:rPr>
            </w:pPr>
            <w:r>
              <w:rPr>
                <w:sz w:val="24"/>
              </w:rPr>
              <w:t>Снижение</w:t>
            </w:r>
            <w:r>
              <w:rPr>
                <w:spacing w:val="-3"/>
                <w:sz w:val="24"/>
              </w:rPr>
              <w:t> </w:t>
            </w:r>
            <w:r>
              <w:rPr>
                <w:sz w:val="24"/>
              </w:rPr>
              <w:t>избыточной</w:t>
            </w:r>
            <w:r>
              <w:rPr>
                <w:spacing w:val="-4"/>
                <w:sz w:val="24"/>
              </w:rPr>
              <w:t> </w:t>
            </w:r>
            <w:r>
              <w:rPr>
                <w:sz w:val="24"/>
              </w:rPr>
              <w:t>массы</w:t>
            </w:r>
            <w:r>
              <w:rPr>
                <w:spacing w:val="-2"/>
                <w:sz w:val="24"/>
              </w:rPr>
              <w:t> </w:t>
            </w:r>
            <w:r>
              <w:rPr>
                <w:spacing w:val="-4"/>
                <w:sz w:val="24"/>
              </w:rPr>
              <w:t>тела</w:t>
            </w:r>
          </w:p>
        </w:tc>
        <w:tc>
          <w:tcPr>
            <w:tcW w:w="814" w:type="dxa"/>
          </w:tcPr>
          <w:p>
            <w:pPr>
              <w:pStyle w:val="TableParagraph"/>
              <w:spacing w:line="275" w:lineRule="exact"/>
              <w:rPr>
                <w:b/>
                <w:sz w:val="24"/>
              </w:rPr>
            </w:pPr>
            <w:r>
              <w:rPr>
                <w:b/>
                <w:sz w:val="24"/>
              </w:rPr>
              <w:t>+</w:t>
            </w:r>
          </w:p>
        </w:tc>
        <w:tc>
          <w:tcPr>
            <w:tcW w:w="1313" w:type="dxa"/>
          </w:tcPr>
          <w:p>
            <w:pPr>
              <w:pStyle w:val="TableParagraph"/>
              <w:spacing w:line="275" w:lineRule="exact"/>
              <w:ind w:left="167"/>
              <w:rPr>
                <w:sz w:val="24"/>
              </w:rPr>
            </w:pPr>
            <w:r>
              <w:rPr>
                <w:sz w:val="24"/>
              </w:rPr>
              <w:t>[</w:t>
            </w:r>
            <w:hyperlink w:history="true" w:anchor="_bookmark176">
              <w:r>
                <w:rPr>
                  <w:sz w:val="24"/>
                </w:rPr>
                <w:t>131</w:t>
              </w:r>
            </w:hyperlink>
            <w:r>
              <w:rPr>
                <w:sz w:val="24"/>
              </w:rPr>
              <w:t>,</w:t>
            </w:r>
            <w:r>
              <w:rPr>
                <w:spacing w:val="-3"/>
                <w:sz w:val="24"/>
              </w:rPr>
              <w:t> </w:t>
            </w:r>
            <w:hyperlink w:history="true" w:anchor="_bookmark177">
              <w:r>
                <w:rPr>
                  <w:spacing w:val="-4"/>
                  <w:sz w:val="24"/>
                </w:rPr>
                <w:t>132</w:t>
              </w:r>
            </w:hyperlink>
            <w:r>
              <w:rPr>
                <w:spacing w:val="-4"/>
                <w:sz w:val="24"/>
              </w:rPr>
              <w:t>]</w:t>
            </w:r>
          </w:p>
        </w:tc>
      </w:tr>
      <w:tr>
        <w:trPr>
          <w:trHeight w:val="412" w:hRule="atLeast"/>
        </w:trPr>
        <w:tc>
          <w:tcPr>
            <w:tcW w:w="7092" w:type="dxa"/>
          </w:tcPr>
          <w:p>
            <w:pPr>
              <w:pStyle w:val="TableParagraph"/>
              <w:spacing w:line="275" w:lineRule="exact"/>
              <w:rPr>
                <w:sz w:val="24"/>
              </w:rPr>
            </w:pPr>
            <w:r>
              <w:rPr>
                <w:sz w:val="24"/>
              </w:rPr>
              <w:t>Исключение</w:t>
            </w:r>
            <w:r>
              <w:rPr>
                <w:spacing w:val="-2"/>
                <w:sz w:val="24"/>
              </w:rPr>
              <w:t> алкоголя</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z w:val="24"/>
              </w:rPr>
              <w:t>[</w:t>
            </w:r>
            <w:hyperlink w:history="true" w:anchor="_bookmark181">
              <w:r>
                <w:rPr>
                  <w:sz w:val="24"/>
                </w:rPr>
                <w:t>136</w:t>
              </w:r>
            </w:hyperlink>
            <w:r>
              <w:rPr>
                <w:sz w:val="24"/>
              </w:rPr>
              <w:t>,</w:t>
            </w:r>
            <w:r>
              <w:rPr>
                <w:spacing w:val="-3"/>
                <w:sz w:val="24"/>
              </w:rPr>
              <w:t> </w:t>
            </w:r>
            <w:hyperlink w:history="true" w:anchor="_bookmark182">
              <w:r>
                <w:rPr>
                  <w:spacing w:val="-4"/>
                  <w:sz w:val="24"/>
                </w:rPr>
                <w:t>137</w:t>
              </w:r>
            </w:hyperlink>
            <w:r>
              <w:rPr>
                <w:spacing w:val="-4"/>
                <w:sz w:val="24"/>
              </w:rPr>
              <w:t>]</w:t>
            </w:r>
          </w:p>
        </w:tc>
      </w:tr>
      <w:tr>
        <w:trPr>
          <w:trHeight w:val="414" w:hRule="atLeast"/>
        </w:trPr>
        <w:tc>
          <w:tcPr>
            <w:tcW w:w="7092" w:type="dxa"/>
          </w:tcPr>
          <w:p>
            <w:pPr>
              <w:pStyle w:val="TableParagraph"/>
              <w:spacing w:line="275" w:lineRule="exact"/>
              <w:rPr>
                <w:sz w:val="24"/>
              </w:rPr>
            </w:pPr>
            <w:r>
              <w:rPr>
                <w:sz w:val="24"/>
              </w:rPr>
              <w:t>Повышение</w:t>
            </w:r>
            <w:r>
              <w:rPr>
                <w:spacing w:val="-2"/>
                <w:sz w:val="24"/>
              </w:rPr>
              <w:t> </w:t>
            </w:r>
            <w:r>
              <w:rPr>
                <w:sz w:val="24"/>
              </w:rPr>
              <w:t>уровня</w:t>
            </w:r>
            <w:r>
              <w:rPr>
                <w:spacing w:val="-1"/>
                <w:sz w:val="24"/>
              </w:rPr>
              <w:t> </w:t>
            </w:r>
            <w:r>
              <w:rPr>
                <w:sz w:val="24"/>
              </w:rPr>
              <w:t>регулярной физической </w:t>
            </w:r>
            <w:r>
              <w:rPr>
                <w:spacing w:val="-2"/>
                <w:sz w:val="24"/>
              </w:rPr>
              <w:t>активности</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z w:val="24"/>
              </w:rPr>
              <w:t>[</w:t>
            </w:r>
            <w:hyperlink w:history="true" w:anchor="_bookmark180">
              <w:r>
                <w:rPr>
                  <w:sz w:val="24"/>
                </w:rPr>
                <w:t>135</w:t>
              </w:r>
            </w:hyperlink>
            <w:r>
              <w:rPr>
                <w:sz w:val="24"/>
              </w:rPr>
              <w:t>,</w:t>
            </w:r>
            <w:r>
              <w:rPr>
                <w:spacing w:val="-3"/>
                <w:sz w:val="24"/>
              </w:rPr>
              <w:t> </w:t>
            </w:r>
            <w:hyperlink w:history="true" w:anchor="_bookmark183">
              <w:r>
                <w:rPr>
                  <w:spacing w:val="-4"/>
                  <w:sz w:val="24"/>
                </w:rPr>
                <w:t>138</w:t>
              </w:r>
            </w:hyperlink>
            <w:r>
              <w:rPr>
                <w:spacing w:val="-4"/>
                <w:sz w:val="24"/>
              </w:rPr>
              <w:t>]</w:t>
            </w:r>
          </w:p>
        </w:tc>
      </w:tr>
      <w:tr>
        <w:trPr>
          <w:trHeight w:val="414" w:hRule="atLeast"/>
        </w:trPr>
        <w:tc>
          <w:tcPr>
            <w:tcW w:w="7092" w:type="dxa"/>
          </w:tcPr>
          <w:p>
            <w:pPr>
              <w:pStyle w:val="TableParagraph"/>
              <w:spacing w:line="275" w:lineRule="exact"/>
              <w:rPr>
                <w:sz w:val="24"/>
              </w:rPr>
            </w:pPr>
            <w:r>
              <w:rPr>
                <w:sz w:val="24"/>
              </w:rPr>
              <w:t>Снижение</w:t>
            </w:r>
            <w:r>
              <w:rPr>
                <w:spacing w:val="-2"/>
                <w:sz w:val="24"/>
              </w:rPr>
              <w:t> </w:t>
            </w:r>
            <w:r>
              <w:rPr>
                <w:sz w:val="24"/>
              </w:rPr>
              <w:t>общего</w:t>
            </w:r>
            <w:r>
              <w:rPr>
                <w:spacing w:val="-2"/>
                <w:sz w:val="24"/>
              </w:rPr>
              <w:t> </w:t>
            </w:r>
            <w:r>
              <w:rPr>
                <w:sz w:val="24"/>
              </w:rPr>
              <w:t>количества</w:t>
            </w:r>
            <w:r>
              <w:rPr>
                <w:spacing w:val="-2"/>
                <w:sz w:val="24"/>
              </w:rPr>
              <w:t> </w:t>
            </w:r>
            <w:r>
              <w:rPr>
                <w:sz w:val="24"/>
              </w:rPr>
              <w:t>углеводов,</w:t>
            </w:r>
            <w:r>
              <w:rPr>
                <w:spacing w:val="-1"/>
                <w:sz w:val="24"/>
              </w:rPr>
              <w:t> </w:t>
            </w:r>
            <w:r>
              <w:rPr>
                <w:sz w:val="24"/>
              </w:rPr>
              <w:t>поступающих</w:t>
            </w:r>
            <w:r>
              <w:rPr>
                <w:spacing w:val="-1"/>
                <w:sz w:val="24"/>
              </w:rPr>
              <w:t> </w:t>
            </w:r>
            <w:r>
              <w:rPr>
                <w:sz w:val="24"/>
              </w:rPr>
              <w:t>с</w:t>
            </w:r>
            <w:r>
              <w:rPr>
                <w:spacing w:val="-2"/>
                <w:sz w:val="24"/>
              </w:rPr>
              <w:t> пищей</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ind w:left="167"/>
              <w:rPr>
                <w:sz w:val="24"/>
              </w:rPr>
            </w:pPr>
            <w:r>
              <w:rPr>
                <w:sz w:val="24"/>
              </w:rPr>
              <w:t>[</w:t>
            </w:r>
            <w:hyperlink w:history="true" w:anchor="_bookmark176">
              <w:r>
                <w:rPr>
                  <w:sz w:val="24"/>
                </w:rPr>
                <w:t>131</w:t>
              </w:r>
            </w:hyperlink>
            <w:r>
              <w:rPr>
                <w:sz w:val="24"/>
              </w:rPr>
              <w:t>,</w:t>
            </w:r>
            <w:r>
              <w:rPr>
                <w:spacing w:val="-3"/>
                <w:sz w:val="24"/>
              </w:rPr>
              <w:t> </w:t>
            </w:r>
            <w:hyperlink w:history="true" w:anchor="_bookmark184">
              <w:r>
                <w:rPr>
                  <w:spacing w:val="-4"/>
                  <w:sz w:val="24"/>
                </w:rPr>
                <w:t>139</w:t>
              </w:r>
            </w:hyperlink>
            <w:r>
              <w:rPr>
                <w:spacing w:val="-4"/>
                <w:sz w:val="24"/>
              </w:rPr>
              <w:t>]</w:t>
            </w:r>
          </w:p>
        </w:tc>
      </w:tr>
      <w:tr>
        <w:trPr>
          <w:trHeight w:val="412" w:hRule="atLeast"/>
        </w:trPr>
        <w:tc>
          <w:tcPr>
            <w:tcW w:w="7092" w:type="dxa"/>
          </w:tcPr>
          <w:p>
            <w:pPr>
              <w:pStyle w:val="TableParagraph"/>
              <w:spacing w:line="275" w:lineRule="exact"/>
              <w:rPr>
                <w:sz w:val="24"/>
              </w:rPr>
            </w:pPr>
            <w:r>
              <w:rPr>
                <w:sz w:val="24"/>
              </w:rPr>
              <w:t>Применение</w:t>
            </w:r>
            <w:r>
              <w:rPr>
                <w:spacing w:val="-5"/>
                <w:sz w:val="24"/>
              </w:rPr>
              <w:t> </w:t>
            </w:r>
            <w:r>
              <w:rPr>
                <w:sz w:val="24"/>
              </w:rPr>
              <w:t>омега-3</w:t>
            </w:r>
            <w:r>
              <w:rPr>
                <w:spacing w:val="-1"/>
                <w:sz w:val="24"/>
              </w:rPr>
              <w:t> </w:t>
            </w:r>
            <w:r>
              <w:rPr>
                <w:sz w:val="24"/>
              </w:rPr>
              <w:t>ПНЖК</w:t>
            </w:r>
            <w:r>
              <w:rPr>
                <w:spacing w:val="-1"/>
                <w:sz w:val="24"/>
              </w:rPr>
              <w:t> </w:t>
            </w:r>
            <w:r>
              <w:rPr>
                <w:sz w:val="24"/>
              </w:rPr>
              <w:t>в</w:t>
            </w:r>
            <w:r>
              <w:rPr>
                <w:spacing w:val="-2"/>
                <w:sz w:val="24"/>
              </w:rPr>
              <w:t> </w:t>
            </w:r>
            <w:r>
              <w:rPr>
                <w:sz w:val="24"/>
              </w:rPr>
              <w:t>качестве</w:t>
            </w:r>
            <w:r>
              <w:rPr>
                <w:spacing w:val="-2"/>
                <w:sz w:val="24"/>
              </w:rPr>
              <w:t> </w:t>
            </w:r>
            <w:r>
              <w:rPr>
                <w:sz w:val="24"/>
              </w:rPr>
              <w:t>пищевой </w:t>
            </w:r>
            <w:r>
              <w:rPr>
                <w:spacing w:val="-2"/>
                <w:sz w:val="24"/>
              </w:rPr>
              <w:t>добавки</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z w:val="24"/>
              </w:rPr>
              <w:t>[</w:t>
            </w:r>
            <w:hyperlink w:history="true" w:anchor="_bookmark185">
              <w:r>
                <w:rPr>
                  <w:sz w:val="24"/>
                </w:rPr>
                <w:t>140</w:t>
              </w:r>
            </w:hyperlink>
            <w:r>
              <w:rPr>
                <w:sz w:val="24"/>
              </w:rPr>
              <w:t>,</w:t>
            </w:r>
            <w:r>
              <w:rPr>
                <w:spacing w:val="-3"/>
                <w:sz w:val="24"/>
              </w:rPr>
              <w:t> </w:t>
            </w:r>
            <w:hyperlink w:history="true" w:anchor="_bookmark186">
              <w:r>
                <w:rPr>
                  <w:spacing w:val="-4"/>
                  <w:sz w:val="24"/>
                </w:rPr>
                <w:t>141</w:t>
              </w:r>
            </w:hyperlink>
            <w:r>
              <w:rPr>
                <w:spacing w:val="-4"/>
                <w:sz w:val="24"/>
              </w:rPr>
              <w:t>]</w:t>
            </w:r>
          </w:p>
        </w:tc>
      </w:tr>
      <w:tr>
        <w:trPr>
          <w:trHeight w:val="414" w:hRule="atLeast"/>
        </w:trPr>
        <w:tc>
          <w:tcPr>
            <w:tcW w:w="7092" w:type="dxa"/>
          </w:tcPr>
          <w:p>
            <w:pPr>
              <w:pStyle w:val="TableParagraph"/>
              <w:spacing w:line="275" w:lineRule="exact"/>
              <w:rPr>
                <w:sz w:val="24"/>
              </w:rPr>
            </w:pPr>
            <w:r>
              <w:rPr>
                <w:sz w:val="24"/>
              </w:rPr>
              <w:t>Снижение</w:t>
            </w:r>
            <w:r>
              <w:rPr>
                <w:spacing w:val="-2"/>
                <w:sz w:val="24"/>
              </w:rPr>
              <w:t> </w:t>
            </w:r>
            <w:r>
              <w:rPr>
                <w:sz w:val="24"/>
              </w:rPr>
              <w:t>потребления</w:t>
            </w:r>
            <w:r>
              <w:rPr>
                <w:spacing w:val="-4"/>
                <w:sz w:val="24"/>
              </w:rPr>
              <w:t> </w:t>
            </w:r>
            <w:r>
              <w:rPr>
                <w:sz w:val="24"/>
              </w:rPr>
              <w:t>моно-</w:t>
            </w:r>
            <w:r>
              <w:rPr>
                <w:spacing w:val="-2"/>
                <w:sz w:val="24"/>
              </w:rPr>
              <w:t> </w:t>
            </w:r>
            <w:r>
              <w:rPr>
                <w:sz w:val="24"/>
              </w:rPr>
              <w:t>и </w:t>
            </w:r>
            <w:r>
              <w:rPr>
                <w:spacing w:val="-2"/>
                <w:sz w:val="24"/>
              </w:rPr>
              <w:t>дисахаридов</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ind w:left="167"/>
              <w:rPr>
                <w:sz w:val="24"/>
              </w:rPr>
            </w:pPr>
            <w:r>
              <w:rPr>
                <w:sz w:val="24"/>
              </w:rPr>
              <w:t>[</w:t>
            </w:r>
            <w:hyperlink w:history="true" w:anchor="_bookmark187">
              <w:r>
                <w:rPr>
                  <w:sz w:val="24"/>
                </w:rPr>
                <w:t>142</w:t>
              </w:r>
            </w:hyperlink>
            <w:r>
              <w:rPr>
                <w:sz w:val="24"/>
              </w:rPr>
              <w:t>,</w:t>
            </w:r>
            <w:r>
              <w:rPr>
                <w:spacing w:val="-3"/>
                <w:sz w:val="24"/>
              </w:rPr>
              <w:t> </w:t>
            </w:r>
            <w:hyperlink w:history="true" w:anchor="_bookmark188">
              <w:r>
                <w:rPr>
                  <w:spacing w:val="-4"/>
                  <w:sz w:val="24"/>
                </w:rPr>
                <w:t>143</w:t>
              </w:r>
            </w:hyperlink>
            <w:r>
              <w:rPr>
                <w:spacing w:val="-4"/>
                <w:sz w:val="24"/>
              </w:rPr>
              <w:t>]</w:t>
            </w:r>
          </w:p>
        </w:tc>
      </w:tr>
      <w:tr>
        <w:trPr>
          <w:trHeight w:val="827" w:hRule="atLeast"/>
        </w:trPr>
        <w:tc>
          <w:tcPr>
            <w:tcW w:w="7092" w:type="dxa"/>
          </w:tcPr>
          <w:p>
            <w:pPr>
              <w:pStyle w:val="TableParagraph"/>
              <w:spacing w:line="275" w:lineRule="exact"/>
              <w:rPr>
                <w:sz w:val="24"/>
              </w:rPr>
            </w:pPr>
            <w:r>
              <w:rPr>
                <w:sz w:val="24"/>
              </w:rPr>
              <w:t>Замена</w:t>
            </w:r>
            <w:r>
              <w:rPr>
                <w:spacing w:val="-3"/>
                <w:sz w:val="24"/>
              </w:rPr>
              <w:t> </w:t>
            </w:r>
            <w:r>
              <w:rPr>
                <w:sz w:val="24"/>
              </w:rPr>
              <w:t>насыщенных</w:t>
            </w:r>
            <w:r>
              <w:rPr>
                <w:spacing w:val="-2"/>
                <w:sz w:val="24"/>
              </w:rPr>
              <w:t> </w:t>
            </w:r>
            <w:r>
              <w:rPr>
                <w:sz w:val="24"/>
              </w:rPr>
              <w:t>жиров</w:t>
            </w:r>
            <w:r>
              <w:rPr>
                <w:spacing w:val="-3"/>
                <w:sz w:val="24"/>
              </w:rPr>
              <w:t> </w:t>
            </w:r>
            <w:r>
              <w:rPr>
                <w:sz w:val="24"/>
              </w:rPr>
              <w:t>моно-</w:t>
            </w:r>
            <w:r>
              <w:rPr>
                <w:spacing w:val="-3"/>
                <w:sz w:val="24"/>
              </w:rPr>
              <w:t> </w:t>
            </w:r>
            <w:r>
              <w:rPr>
                <w:sz w:val="24"/>
              </w:rPr>
              <w:t>и</w:t>
            </w:r>
            <w:r>
              <w:rPr>
                <w:spacing w:val="-1"/>
                <w:sz w:val="24"/>
              </w:rPr>
              <w:t> </w:t>
            </w:r>
            <w:r>
              <w:rPr>
                <w:sz w:val="24"/>
              </w:rPr>
              <w:t>полиненасыщенными</w:t>
            </w:r>
            <w:r>
              <w:rPr>
                <w:spacing w:val="-1"/>
                <w:sz w:val="24"/>
              </w:rPr>
              <w:t> </w:t>
            </w:r>
            <w:r>
              <w:rPr>
                <w:spacing w:val="-2"/>
                <w:sz w:val="24"/>
              </w:rPr>
              <w:t>жирам</w:t>
            </w:r>
          </w:p>
        </w:tc>
        <w:tc>
          <w:tcPr>
            <w:tcW w:w="814" w:type="dxa"/>
          </w:tcPr>
          <w:p>
            <w:pPr>
              <w:pStyle w:val="TableParagraph"/>
              <w:spacing w:line="275" w:lineRule="exact"/>
              <w:rPr>
                <w:b/>
                <w:sz w:val="24"/>
              </w:rPr>
            </w:pPr>
            <w:r>
              <w:rPr>
                <w:b/>
                <w:sz w:val="24"/>
              </w:rPr>
              <w:t>+</w:t>
            </w:r>
          </w:p>
        </w:tc>
        <w:tc>
          <w:tcPr>
            <w:tcW w:w="1313" w:type="dxa"/>
          </w:tcPr>
          <w:p>
            <w:pPr>
              <w:pStyle w:val="TableParagraph"/>
              <w:spacing w:line="275" w:lineRule="exact"/>
              <w:rPr>
                <w:sz w:val="24"/>
              </w:rPr>
            </w:pPr>
            <w:r>
              <w:rPr>
                <w:sz w:val="24"/>
              </w:rPr>
              <w:t>[</w:t>
            </w:r>
            <w:hyperlink w:history="true" w:anchor="_bookmark91">
              <w:r>
                <w:rPr>
                  <w:sz w:val="24"/>
                </w:rPr>
                <w:t>46</w:t>
              </w:r>
            </w:hyperlink>
            <w:r>
              <w:rPr>
                <w:sz w:val="24"/>
              </w:rPr>
              <w:t>,</w:t>
            </w:r>
            <w:r>
              <w:rPr>
                <w:spacing w:val="-3"/>
                <w:sz w:val="24"/>
              </w:rPr>
              <w:t> </w:t>
            </w:r>
            <w:hyperlink w:history="true" w:anchor="_bookmark167">
              <w:r>
                <w:rPr>
                  <w:spacing w:val="-4"/>
                  <w:sz w:val="24"/>
                </w:rPr>
                <w:t>122</w:t>
              </w:r>
            </w:hyperlink>
            <w:r>
              <w:rPr>
                <w:spacing w:val="-4"/>
                <w:sz w:val="24"/>
              </w:rPr>
              <w:t>]</w:t>
            </w:r>
          </w:p>
        </w:tc>
      </w:tr>
      <w:tr>
        <w:trPr>
          <w:trHeight w:val="414" w:hRule="atLeast"/>
        </w:trPr>
        <w:tc>
          <w:tcPr>
            <w:tcW w:w="9219" w:type="dxa"/>
            <w:gridSpan w:val="3"/>
          </w:tcPr>
          <w:p>
            <w:pPr>
              <w:pStyle w:val="TableParagraph"/>
              <w:spacing w:line="275" w:lineRule="exact"/>
              <w:rPr>
                <w:b/>
                <w:sz w:val="24"/>
              </w:rPr>
            </w:pPr>
            <w:r>
              <w:rPr>
                <w:b/>
                <w:sz w:val="24"/>
              </w:rPr>
              <w:t>Изменения</w:t>
            </w:r>
            <w:r>
              <w:rPr>
                <w:b/>
                <w:spacing w:val="-6"/>
                <w:sz w:val="24"/>
              </w:rPr>
              <w:t> </w:t>
            </w:r>
            <w:r>
              <w:rPr>
                <w:b/>
                <w:sz w:val="24"/>
              </w:rPr>
              <w:t>образа</w:t>
            </w:r>
            <w:r>
              <w:rPr>
                <w:b/>
                <w:spacing w:val="-2"/>
                <w:sz w:val="24"/>
              </w:rPr>
              <w:t> </w:t>
            </w:r>
            <w:r>
              <w:rPr>
                <w:b/>
                <w:sz w:val="24"/>
              </w:rPr>
              <w:t>жизни</w:t>
            </w:r>
            <w:r>
              <w:rPr>
                <w:b/>
                <w:spacing w:val="-2"/>
                <w:sz w:val="24"/>
              </w:rPr>
              <w:t> </w:t>
            </w:r>
            <w:r>
              <w:rPr>
                <w:b/>
                <w:sz w:val="24"/>
              </w:rPr>
              <w:t>для</w:t>
            </w:r>
            <w:r>
              <w:rPr>
                <w:b/>
                <w:spacing w:val="-3"/>
                <w:sz w:val="24"/>
              </w:rPr>
              <w:t> </w:t>
            </w:r>
            <w:r>
              <w:rPr>
                <w:b/>
                <w:sz w:val="24"/>
              </w:rPr>
              <w:t>повышения</w:t>
            </w:r>
            <w:r>
              <w:rPr>
                <w:b/>
                <w:spacing w:val="-3"/>
                <w:sz w:val="24"/>
              </w:rPr>
              <w:t> </w:t>
            </w:r>
            <w:r>
              <w:rPr>
                <w:b/>
                <w:sz w:val="24"/>
              </w:rPr>
              <w:t>уровня</w:t>
            </w:r>
            <w:r>
              <w:rPr>
                <w:b/>
                <w:spacing w:val="-3"/>
                <w:sz w:val="24"/>
              </w:rPr>
              <w:t> </w:t>
            </w:r>
            <w:r>
              <w:rPr>
                <w:b/>
                <w:sz w:val="24"/>
              </w:rPr>
              <w:t>ХС</w:t>
            </w:r>
            <w:r>
              <w:rPr>
                <w:b/>
                <w:spacing w:val="-3"/>
                <w:sz w:val="24"/>
              </w:rPr>
              <w:t> </w:t>
            </w:r>
            <w:r>
              <w:rPr>
                <w:b/>
                <w:spacing w:val="-5"/>
                <w:sz w:val="24"/>
              </w:rPr>
              <w:t>ЛВП</w:t>
            </w:r>
          </w:p>
        </w:tc>
      </w:tr>
      <w:tr>
        <w:trPr>
          <w:trHeight w:val="412" w:hRule="atLeast"/>
        </w:trPr>
        <w:tc>
          <w:tcPr>
            <w:tcW w:w="7092" w:type="dxa"/>
          </w:tcPr>
          <w:p>
            <w:pPr>
              <w:pStyle w:val="TableParagraph"/>
              <w:spacing w:line="275" w:lineRule="exact"/>
              <w:rPr>
                <w:sz w:val="24"/>
              </w:rPr>
            </w:pPr>
            <w:r>
              <w:rPr>
                <w:sz w:val="24"/>
              </w:rPr>
              <w:t>Снижение</w:t>
            </w:r>
            <w:r>
              <w:rPr>
                <w:spacing w:val="-3"/>
                <w:sz w:val="24"/>
              </w:rPr>
              <w:t> </w:t>
            </w:r>
            <w:r>
              <w:rPr>
                <w:sz w:val="24"/>
              </w:rPr>
              <w:t>потребления</w:t>
            </w:r>
            <w:r>
              <w:rPr>
                <w:spacing w:val="-4"/>
                <w:sz w:val="24"/>
              </w:rPr>
              <w:t> </w:t>
            </w:r>
            <w:r>
              <w:rPr>
                <w:spacing w:val="-2"/>
                <w:sz w:val="24"/>
              </w:rPr>
              <w:t>трансжиров</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z w:val="24"/>
              </w:rPr>
              <w:t>[</w:t>
            </w:r>
            <w:hyperlink w:history="true" w:anchor="_bookmark167">
              <w:r>
                <w:rPr>
                  <w:sz w:val="24"/>
                </w:rPr>
                <w:t>122</w:t>
              </w:r>
            </w:hyperlink>
            <w:r>
              <w:rPr>
                <w:sz w:val="24"/>
              </w:rPr>
              <w:t>,</w:t>
            </w:r>
            <w:r>
              <w:rPr>
                <w:spacing w:val="-3"/>
                <w:sz w:val="24"/>
              </w:rPr>
              <w:t> </w:t>
            </w:r>
            <w:hyperlink w:history="true" w:anchor="_bookmark189">
              <w:r>
                <w:rPr>
                  <w:spacing w:val="-4"/>
                  <w:sz w:val="24"/>
                </w:rPr>
                <w:t>144</w:t>
              </w:r>
            </w:hyperlink>
            <w:r>
              <w:rPr>
                <w:spacing w:val="-4"/>
                <w:sz w:val="24"/>
              </w:rPr>
              <w:t>]</w:t>
            </w:r>
          </w:p>
        </w:tc>
      </w:tr>
      <w:tr>
        <w:trPr>
          <w:trHeight w:val="414" w:hRule="atLeast"/>
        </w:trPr>
        <w:tc>
          <w:tcPr>
            <w:tcW w:w="7092" w:type="dxa"/>
          </w:tcPr>
          <w:p>
            <w:pPr>
              <w:pStyle w:val="TableParagraph"/>
              <w:spacing w:line="275" w:lineRule="exact"/>
              <w:rPr>
                <w:sz w:val="24"/>
              </w:rPr>
            </w:pPr>
            <w:r>
              <w:rPr>
                <w:sz w:val="24"/>
              </w:rPr>
              <w:t>Повышение</w:t>
            </w:r>
            <w:r>
              <w:rPr>
                <w:spacing w:val="-2"/>
                <w:sz w:val="24"/>
              </w:rPr>
              <w:t> </w:t>
            </w:r>
            <w:r>
              <w:rPr>
                <w:sz w:val="24"/>
              </w:rPr>
              <w:t>уровня</w:t>
            </w:r>
            <w:r>
              <w:rPr>
                <w:spacing w:val="-1"/>
                <w:sz w:val="24"/>
              </w:rPr>
              <w:t> </w:t>
            </w:r>
            <w:r>
              <w:rPr>
                <w:sz w:val="24"/>
              </w:rPr>
              <w:t>регулярной физической </w:t>
            </w:r>
            <w:r>
              <w:rPr>
                <w:spacing w:val="-2"/>
                <w:sz w:val="24"/>
              </w:rPr>
              <w:t>активности</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ind w:left="167"/>
              <w:rPr>
                <w:sz w:val="24"/>
              </w:rPr>
            </w:pPr>
            <w:r>
              <w:rPr>
                <w:sz w:val="24"/>
              </w:rPr>
              <w:t>[</w:t>
            </w:r>
            <w:hyperlink w:history="true" w:anchor="_bookmark180">
              <w:r>
                <w:rPr>
                  <w:sz w:val="24"/>
                </w:rPr>
                <w:t>135</w:t>
              </w:r>
            </w:hyperlink>
            <w:r>
              <w:rPr>
                <w:sz w:val="24"/>
              </w:rPr>
              <w:t>,</w:t>
            </w:r>
            <w:r>
              <w:rPr>
                <w:spacing w:val="-3"/>
                <w:sz w:val="24"/>
              </w:rPr>
              <w:t> </w:t>
            </w:r>
            <w:hyperlink w:history="true" w:anchor="_bookmark190">
              <w:r>
                <w:rPr>
                  <w:spacing w:val="-4"/>
                  <w:sz w:val="24"/>
                </w:rPr>
                <w:t>145</w:t>
              </w:r>
            </w:hyperlink>
            <w:r>
              <w:rPr>
                <w:spacing w:val="-4"/>
                <w:sz w:val="24"/>
              </w:rPr>
              <w:t>]</w:t>
            </w:r>
          </w:p>
        </w:tc>
      </w:tr>
      <w:tr>
        <w:trPr>
          <w:trHeight w:val="414" w:hRule="atLeast"/>
        </w:trPr>
        <w:tc>
          <w:tcPr>
            <w:tcW w:w="7092" w:type="dxa"/>
          </w:tcPr>
          <w:p>
            <w:pPr>
              <w:pStyle w:val="TableParagraph"/>
              <w:spacing w:line="275" w:lineRule="exact"/>
              <w:rPr>
                <w:sz w:val="24"/>
              </w:rPr>
            </w:pPr>
            <w:r>
              <w:rPr>
                <w:sz w:val="24"/>
              </w:rPr>
              <w:t>Снижение</w:t>
            </w:r>
            <w:r>
              <w:rPr>
                <w:spacing w:val="-3"/>
                <w:sz w:val="24"/>
              </w:rPr>
              <w:t> </w:t>
            </w:r>
            <w:r>
              <w:rPr>
                <w:sz w:val="24"/>
              </w:rPr>
              <w:t>избыточной</w:t>
            </w:r>
            <w:r>
              <w:rPr>
                <w:spacing w:val="-4"/>
                <w:sz w:val="24"/>
              </w:rPr>
              <w:t> </w:t>
            </w:r>
            <w:r>
              <w:rPr>
                <w:sz w:val="24"/>
              </w:rPr>
              <w:t>массы</w:t>
            </w:r>
            <w:r>
              <w:rPr>
                <w:spacing w:val="-2"/>
                <w:sz w:val="24"/>
              </w:rPr>
              <w:t> </w:t>
            </w:r>
            <w:r>
              <w:rPr>
                <w:spacing w:val="-4"/>
                <w:sz w:val="24"/>
              </w:rPr>
              <w:t>тела</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ind w:left="167"/>
              <w:rPr>
                <w:sz w:val="24"/>
              </w:rPr>
            </w:pPr>
            <w:r>
              <w:rPr>
                <w:sz w:val="24"/>
              </w:rPr>
              <w:t>[</w:t>
            </w:r>
            <w:hyperlink w:history="true" w:anchor="_bookmark176">
              <w:r>
                <w:rPr>
                  <w:sz w:val="24"/>
                </w:rPr>
                <w:t>131</w:t>
              </w:r>
            </w:hyperlink>
            <w:r>
              <w:rPr>
                <w:sz w:val="24"/>
              </w:rPr>
              <w:t>,</w:t>
            </w:r>
            <w:r>
              <w:rPr>
                <w:spacing w:val="-3"/>
                <w:sz w:val="24"/>
              </w:rPr>
              <w:t> </w:t>
            </w:r>
            <w:hyperlink w:history="true" w:anchor="_bookmark177">
              <w:r>
                <w:rPr>
                  <w:spacing w:val="-4"/>
                  <w:sz w:val="24"/>
                </w:rPr>
                <w:t>132</w:t>
              </w:r>
            </w:hyperlink>
            <w:r>
              <w:rPr>
                <w:spacing w:val="-4"/>
                <w:sz w:val="24"/>
              </w:rPr>
              <w:t>]</w:t>
            </w:r>
          </w:p>
        </w:tc>
      </w:tr>
      <w:tr>
        <w:trPr>
          <w:trHeight w:val="827" w:hRule="atLeast"/>
        </w:trPr>
        <w:tc>
          <w:tcPr>
            <w:tcW w:w="7092" w:type="dxa"/>
          </w:tcPr>
          <w:p>
            <w:pPr>
              <w:pStyle w:val="TableParagraph"/>
              <w:spacing w:line="275" w:lineRule="exact"/>
              <w:rPr>
                <w:sz w:val="24"/>
              </w:rPr>
            </w:pPr>
            <w:r>
              <w:rPr>
                <w:sz w:val="24"/>
              </w:rPr>
              <w:t>Снижение</w:t>
            </w:r>
            <w:r>
              <w:rPr>
                <w:spacing w:val="5"/>
                <w:sz w:val="24"/>
              </w:rPr>
              <w:t> </w:t>
            </w:r>
            <w:r>
              <w:rPr>
                <w:sz w:val="24"/>
              </w:rPr>
              <w:t>количества</w:t>
            </w:r>
            <w:r>
              <w:rPr>
                <w:spacing w:val="10"/>
                <w:sz w:val="24"/>
              </w:rPr>
              <w:t> </w:t>
            </w:r>
            <w:r>
              <w:rPr>
                <w:sz w:val="24"/>
              </w:rPr>
              <w:t>углеводов,</w:t>
            </w:r>
            <w:r>
              <w:rPr>
                <w:spacing w:val="8"/>
                <w:sz w:val="24"/>
              </w:rPr>
              <w:t> </w:t>
            </w:r>
            <w:r>
              <w:rPr>
                <w:sz w:val="24"/>
              </w:rPr>
              <w:t>поступающих</w:t>
            </w:r>
            <w:r>
              <w:rPr>
                <w:spacing w:val="8"/>
                <w:sz w:val="24"/>
              </w:rPr>
              <w:t> </w:t>
            </w:r>
            <w:r>
              <w:rPr>
                <w:sz w:val="24"/>
              </w:rPr>
              <w:t>с</w:t>
            </w:r>
            <w:r>
              <w:rPr>
                <w:spacing w:val="7"/>
                <w:sz w:val="24"/>
              </w:rPr>
              <w:t> </w:t>
            </w:r>
            <w:r>
              <w:rPr>
                <w:sz w:val="24"/>
              </w:rPr>
              <w:t>пищей,</w:t>
            </w:r>
            <w:r>
              <w:rPr>
                <w:spacing w:val="8"/>
                <w:sz w:val="24"/>
              </w:rPr>
              <w:t> </w:t>
            </w:r>
            <w:r>
              <w:rPr>
                <w:sz w:val="24"/>
              </w:rPr>
              <w:t>и</w:t>
            </w:r>
            <w:r>
              <w:rPr>
                <w:spacing w:val="10"/>
                <w:sz w:val="24"/>
              </w:rPr>
              <w:t> </w:t>
            </w:r>
            <w:r>
              <w:rPr>
                <w:spacing w:val="-2"/>
                <w:sz w:val="24"/>
              </w:rPr>
              <w:t>замена</w:t>
            </w:r>
          </w:p>
          <w:p>
            <w:pPr>
              <w:pStyle w:val="TableParagraph"/>
              <w:spacing w:before="137"/>
              <w:rPr>
                <w:sz w:val="24"/>
              </w:rPr>
            </w:pPr>
            <w:r>
              <w:rPr>
                <w:sz w:val="24"/>
              </w:rPr>
              <w:t>их</w:t>
            </w:r>
            <w:r>
              <w:rPr>
                <w:spacing w:val="-1"/>
                <w:sz w:val="24"/>
              </w:rPr>
              <w:t> </w:t>
            </w:r>
            <w:r>
              <w:rPr>
                <w:sz w:val="24"/>
              </w:rPr>
              <w:t>на</w:t>
            </w:r>
            <w:r>
              <w:rPr>
                <w:spacing w:val="-1"/>
                <w:sz w:val="24"/>
              </w:rPr>
              <w:t> </w:t>
            </w:r>
            <w:r>
              <w:rPr>
                <w:sz w:val="24"/>
              </w:rPr>
              <w:t>ненасыщенные</w:t>
            </w:r>
            <w:r>
              <w:rPr>
                <w:spacing w:val="-1"/>
                <w:sz w:val="24"/>
              </w:rPr>
              <w:t> </w:t>
            </w:r>
            <w:r>
              <w:rPr>
                <w:spacing w:val="-4"/>
                <w:sz w:val="24"/>
              </w:rPr>
              <w:t>жиры</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z w:val="24"/>
              </w:rPr>
              <w:t>[</w:t>
            </w:r>
            <w:hyperlink w:history="true" w:anchor="_bookmark176">
              <w:r>
                <w:rPr>
                  <w:sz w:val="24"/>
                </w:rPr>
                <w:t>131</w:t>
              </w:r>
            </w:hyperlink>
            <w:r>
              <w:rPr>
                <w:sz w:val="24"/>
              </w:rPr>
              <w:t>,</w:t>
            </w:r>
            <w:r>
              <w:rPr>
                <w:spacing w:val="-3"/>
                <w:sz w:val="24"/>
              </w:rPr>
              <w:t> </w:t>
            </w:r>
            <w:hyperlink w:history="true" w:anchor="_bookmark191">
              <w:r>
                <w:rPr>
                  <w:spacing w:val="-4"/>
                  <w:sz w:val="24"/>
                </w:rPr>
                <w:t>146</w:t>
              </w:r>
            </w:hyperlink>
            <w:r>
              <w:rPr>
                <w:spacing w:val="-4"/>
                <w:sz w:val="24"/>
              </w:rPr>
              <w:t>]</w:t>
            </w:r>
          </w:p>
        </w:tc>
      </w:tr>
      <w:tr>
        <w:trPr>
          <w:trHeight w:val="412" w:hRule="atLeast"/>
        </w:trPr>
        <w:tc>
          <w:tcPr>
            <w:tcW w:w="7092" w:type="dxa"/>
          </w:tcPr>
          <w:p>
            <w:pPr>
              <w:pStyle w:val="TableParagraph"/>
              <w:spacing w:line="275" w:lineRule="exact"/>
              <w:rPr>
                <w:sz w:val="24"/>
              </w:rPr>
            </w:pPr>
            <w:r>
              <w:rPr>
                <w:sz w:val="24"/>
              </w:rPr>
              <w:t>Умеренное</w:t>
            </w:r>
            <w:r>
              <w:rPr>
                <w:spacing w:val="-1"/>
                <w:sz w:val="24"/>
              </w:rPr>
              <w:t> </w:t>
            </w:r>
            <w:r>
              <w:rPr>
                <w:sz w:val="24"/>
              </w:rPr>
              <w:t>употребление</w:t>
            </w:r>
            <w:r>
              <w:rPr>
                <w:spacing w:val="-1"/>
                <w:sz w:val="24"/>
              </w:rPr>
              <w:t> </w:t>
            </w:r>
            <w:r>
              <w:rPr>
                <w:spacing w:val="-2"/>
                <w:sz w:val="24"/>
              </w:rPr>
              <w:t>алкоголя</w:t>
            </w:r>
          </w:p>
        </w:tc>
        <w:tc>
          <w:tcPr>
            <w:tcW w:w="814" w:type="dxa"/>
          </w:tcPr>
          <w:p>
            <w:pPr>
              <w:pStyle w:val="TableParagraph"/>
              <w:spacing w:line="275" w:lineRule="exact"/>
              <w:rPr>
                <w:b/>
                <w:sz w:val="24"/>
              </w:rPr>
            </w:pPr>
            <w:r>
              <w:rPr>
                <w:b/>
                <w:spacing w:val="-5"/>
                <w:sz w:val="24"/>
              </w:rPr>
              <w:t>++</w:t>
            </w:r>
          </w:p>
        </w:tc>
        <w:tc>
          <w:tcPr>
            <w:tcW w:w="1313" w:type="dxa"/>
          </w:tcPr>
          <w:p>
            <w:pPr>
              <w:pStyle w:val="TableParagraph"/>
              <w:spacing w:line="275" w:lineRule="exact"/>
              <w:rPr>
                <w:sz w:val="24"/>
              </w:rPr>
            </w:pPr>
            <w:r>
              <w:rPr>
                <w:spacing w:val="-2"/>
                <w:sz w:val="24"/>
              </w:rPr>
              <w:t>[</w:t>
            </w:r>
            <w:hyperlink w:history="true" w:anchor="_bookmark182">
              <w:r>
                <w:rPr>
                  <w:spacing w:val="-2"/>
                  <w:sz w:val="24"/>
                </w:rPr>
                <w:t>137</w:t>
              </w:r>
            </w:hyperlink>
            <w:r>
              <w:rPr>
                <w:spacing w:val="-2"/>
                <w:sz w:val="24"/>
              </w:rPr>
              <w:t>]</w:t>
            </w:r>
          </w:p>
        </w:tc>
      </w:tr>
      <w:tr>
        <w:trPr>
          <w:trHeight w:val="470" w:hRule="atLeast"/>
        </w:trPr>
        <w:tc>
          <w:tcPr>
            <w:tcW w:w="7092" w:type="dxa"/>
          </w:tcPr>
          <w:p>
            <w:pPr>
              <w:pStyle w:val="TableParagraph"/>
              <w:spacing w:before="1"/>
              <w:rPr>
                <w:sz w:val="24"/>
              </w:rPr>
            </w:pPr>
            <w:r>
              <w:rPr>
                <w:sz w:val="24"/>
              </w:rPr>
              <w:t>Прекращение</w:t>
            </w:r>
            <w:r>
              <w:rPr>
                <w:spacing w:val="-2"/>
                <w:sz w:val="24"/>
              </w:rPr>
              <w:t> курения</w:t>
            </w:r>
          </w:p>
        </w:tc>
        <w:tc>
          <w:tcPr>
            <w:tcW w:w="814" w:type="dxa"/>
          </w:tcPr>
          <w:p>
            <w:pPr>
              <w:pStyle w:val="TableParagraph"/>
              <w:spacing w:before="1"/>
              <w:rPr>
                <w:b/>
                <w:sz w:val="24"/>
              </w:rPr>
            </w:pPr>
            <w:r>
              <w:rPr>
                <w:b/>
                <w:sz w:val="24"/>
              </w:rPr>
              <w:t>+</w:t>
            </w:r>
          </w:p>
        </w:tc>
        <w:tc>
          <w:tcPr>
            <w:tcW w:w="1313" w:type="dxa"/>
          </w:tcPr>
          <w:p>
            <w:pPr>
              <w:pStyle w:val="TableParagraph"/>
              <w:spacing w:before="1"/>
              <w:ind w:left="167"/>
              <w:rPr>
                <w:sz w:val="24"/>
              </w:rPr>
            </w:pPr>
            <w:r>
              <w:rPr>
                <w:spacing w:val="-2"/>
                <w:sz w:val="24"/>
              </w:rPr>
              <w:t>[</w:t>
            </w:r>
            <w:hyperlink w:history="true" w:anchor="_bookmark192">
              <w:r>
                <w:rPr>
                  <w:spacing w:val="-2"/>
                  <w:sz w:val="24"/>
                </w:rPr>
                <w:t>147</w:t>
              </w:r>
            </w:hyperlink>
            <w:r>
              <w:rPr>
                <w:spacing w:val="-2"/>
                <w:sz w:val="24"/>
              </w:rPr>
              <w:t>]</w:t>
            </w:r>
          </w:p>
        </w:tc>
      </w:tr>
    </w:tbl>
    <w:p>
      <w:pPr>
        <w:pStyle w:val="BodyText"/>
        <w:spacing w:line="360" w:lineRule="auto" w:before="14"/>
        <w:ind w:left="1261" w:right="566"/>
        <w:jc w:val="both"/>
        <w:rPr>
          <w:b/>
        </w:rPr>
      </w:pPr>
      <w:r>
        <w:rPr/>
        <w:t>Примечание: +++ Общее соглашение об эффективности влияния на уровень липидов. ++ Менее выраженное влияние на уровень липидов; имеющиеся свидетельства/мнения специалистов указывают на эффективность мероприятий. + Противоречивые сведения</w:t>
      </w:r>
      <w:r>
        <w:rPr>
          <w:b/>
        </w:rPr>
        <w:t>.</w:t>
      </w:r>
    </w:p>
    <w:p>
      <w:pPr>
        <w:spacing w:after="0" w:line="360" w:lineRule="auto"/>
        <w:jc w:val="both"/>
        <w:sectPr>
          <w:pgSz w:w="11910" w:h="16840"/>
          <w:pgMar w:header="0" w:footer="710" w:top="1460" w:bottom="900" w:left="440" w:right="280"/>
        </w:sectPr>
      </w:pPr>
    </w:p>
    <w:p>
      <w:pPr>
        <w:pStyle w:val="Heading3"/>
        <w:spacing w:before="73"/>
        <w:ind w:left="3534"/>
      </w:pPr>
      <w:r>
        <w:rPr/>
        <w:t>Приложение</w:t>
      </w:r>
      <w:r>
        <w:rPr>
          <w:spacing w:val="-4"/>
        </w:rPr>
        <w:t> </w:t>
      </w:r>
      <w:r>
        <w:rPr/>
        <w:t>В.</w:t>
      </w:r>
      <w:r>
        <w:rPr>
          <w:spacing w:val="-2"/>
        </w:rPr>
        <w:t> </w:t>
      </w:r>
      <w:r>
        <w:rPr/>
        <w:t>Информация</w:t>
      </w:r>
      <w:r>
        <w:rPr>
          <w:spacing w:val="-3"/>
        </w:rPr>
        <w:t> </w:t>
      </w:r>
      <w:r>
        <w:rPr/>
        <w:t>для</w:t>
      </w:r>
      <w:r>
        <w:rPr>
          <w:spacing w:val="-3"/>
        </w:rPr>
        <w:t> </w:t>
      </w:r>
      <w:r>
        <w:rPr>
          <w:spacing w:val="-2"/>
        </w:rPr>
        <w:t>пациентов</w:t>
      </w:r>
    </w:p>
    <w:p>
      <w:pPr>
        <w:pStyle w:val="BodyText"/>
        <w:spacing w:before="1"/>
        <w:ind w:left="0"/>
        <w:rPr>
          <w:b/>
          <w:sz w:val="21"/>
        </w:rPr>
      </w:pPr>
    </w:p>
    <w:p>
      <w:pPr>
        <w:pStyle w:val="BodyText"/>
        <w:ind w:left="1261"/>
      </w:pPr>
      <w:r>
        <w:rPr/>
        <w:t>Таблица</w:t>
      </w:r>
      <w:r>
        <w:rPr>
          <w:spacing w:val="-4"/>
        </w:rPr>
        <w:t> </w:t>
      </w:r>
      <w:r>
        <w:rPr/>
        <w:t>В1.</w:t>
      </w:r>
      <w:r>
        <w:rPr>
          <w:spacing w:val="-1"/>
        </w:rPr>
        <w:t> </w:t>
      </w:r>
      <w:r>
        <w:rPr/>
        <w:t>Рекомендации</w:t>
      </w:r>
      <w:r>
        <w:rPr>
          <w:spacing w:val="-3"/>
        </w:rPr>
        <w:t> </w:t>
      </w:r>
      <w:r>
        <w:rPr/>
        <w:t>по</w:t>
      </w:r>
      <w:r>
        <w:rPr>
          <w:spacing w:val="-1"/>
        </w:rPr>
        <w:t> </w:t>
      </w:r>
      <w:r>
        <w:rPr/>
        <w:t>диете</w:t>
      </w:r>
      <w:r>
        <w:rPr>
          <w:spacing w:val="-2"/>
        </w:rPr>
        <w:t> </w:t>
      </w:r>
      <w:r>
        <w:rPr/>
        <w:t>для</w:t>
      </w:r>
      <w:r>
        <w:rPr>
          <w:spacing w:val="-1"/>
        </w:rPr>
        <w:t> </w:t>
      </w:r>
      <w:r>
        <w:rPr/>
        <w:t>улучшения</w:t>
      </w:r>
      <w:r>
        <w:rPr>
          <w:spacing w:val="-1"/>
        </w:rPr>
        <w:t> </w:t>
      </w:r>
      <w:r>
        <w:rPr/>
        <w:t>общего</w:t>
      </w:r>
      <w:r>
        <w:rPr>
          <w:spacing w:val="-2"/>
        </w:rPr>
        <w:t> </w:t>
      </w:r>
      <w:r>
        <w:rPr/>
        <w:t>профиля</w:t>
      </w:r>
      <w:r>
        <w:rPr>
          <w:spacing w:val="-3"/>
        </w:rPr>
        <w:t> </w:t>
      </w:r>
      <w:r>
        <w:rPr>
          <w:spacing w:val="-2"/>
        </w:rPr>
        <w:t>липопротеидов</w:t>
      </w:r>
    </w:p>
    <w:p>
      <w:pPr>
        <w:pStyle w:val="BodyText"/>
        <w:spacing w:before="1"/>
        <w:ind w:left="0"/>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19"/>
        <w:gridCol w:w="2520"/>
        <w:gridCol w:w="2419"/>
        <w:gridCol w:w="2688"/>
      </w:tblGrid>
      <w:tr>
        <w:trPr>
          <w:trHeight w:val="827" w:hRule="atLeast"/>
        </w:trPr>
        <w:tc>
          <w:tcPr>
            <w:tcW w:w="1519" w:type="dxa"/>
          </w:tcPr>
          <w:p>
            <w:pPr>
              <w:pStyle w:val="TableParagraph"/>
              <w:ind w:left="0"/>
              <w:rPr>
                <w:sz w:val="24"/>
              </w:rPr>
            </w:pPr>
          </w:p>
        </w:tc>
        <w:tc>
          <w:tcPr>
            <w:tcW w:w="2520" w:type="dxa"/>
          </w:tcPr>
          <w:p>
            <w:pPr>
              <w:pStyle w:val="TableParagraph"/>
              <w:spacing w:line="275" w:lineRule="exact"/>
              <w:ind w:left="108"/>
              <w:rPr>
                <w:b/>
                <w:sz w:val="24"/>
              </w:rPr>
            </w:pPr>
            <w:r>
              <w:rPr>
                <w:b/>
                <w:spacing w:val="-2"/>
                <w:sz w:val="24"/>
              </w:rPr>
              <w:t>Предпочтительно</w:t>
            </w:r>
          </w:p>
        </w:tc>
        <w:tc>
          <w:tcPr>
            <w:tcW w:w="2419" w:type="dxa"/>
          </w:tcPr>
          <w:p>
            <w:pPr>
              <w:pStyle w:val="TableParagraph"/>
              <w:ind w:left="105" w:right="322"/>
              <w:rPr>
                <w:b/>
                <w:sz w:val="24"/>
              </w:rPr>
            </w:pPr>
            <w:r>
              <w:rPr>
                <w:b/>
                <w:spacing w:val="-2"/>
                <w:sz w:val="24"/>
              </w:rPr>
              <w:t>Употреблять умеренно</w:t>
            </w:r>
          </w:p>
        </w:tc>
        <w:tc>
          <w:tcPr>
            <w:tcW w:w="2688" w:type="dxa"/>
          </w:tcPr>
          <w:p>
            <w:pPr>
              <w:pStyle w:val="TableParagraph"/>
              <w:spacing w:line="276" w:lineRule="exact"/>
              <w:ind w:left="108" w:right="463"/>
              <w:rPr>
                <w:b/>
                <w:sz w:val="24"/>
              </w:rPr>
            </w:pPr>
            <w:r>
              <w:rPr>
                <w:b/>
                <w:sz w:val="24"/>
              </w:rPr>
              <w:t>Употреблять</w:t>
            </w:r>
            <w:r>
              <w:rPr>
                <w:b/>
                <w:spacing w:val="-15"/>
                <w:sz w:val="24"/>
              </w:rPr>
              <w:t> </w:t>
            </w:r>
            <w:r>
              <w:rPr>
                <w:b/>
                <w:sz w:val="24"/>
              </w:rPr>
              <w:t>редко и в ограниченных </w:t>
            </w:r>
            <w:r>
              <w:rPr>
                <w:b/>
                <w:spacing w:val="-2"/>
                <w:sz w:val="24"/>
              </w:rPr>
              <w:t>количествах</w:t>
            </w:r>
          </w:p>
        </w:tc>
      </w:tr>
      <w:tr>
        <w:trPr>
          <w:trHeight w:val="1379" w:hRule="atLeast"/>
        </w:trPr>
        <w:tc>
          <w:tcPr>
            <w:tcW w:w="1519" w:type="dxa"/>
          </w:tcPr>
          <w:p>
            <w:pPr>
              <w:pStyle w:val="TableParagraph"/>
              <w:spacing w:line="275" w:lineRule="exact"/>
              <w:rPr>
                <w:sz w:val="24"/>
              </w:rPr>
            </w:pPr>
            <w:r>
              <w:rPr>
                <w:spacing w:val="-2"/>
                <w:sz w:val="24"/>
              </w:rPr>
              <w:t>Злаки</w:t>
            </w:r>
          </w:p>
        </w:tc>
        <w:tc>
          <w:tcPr>
            <w:tcW w:w="2520" w:type="dxa"/>
          </w:tcPr>
          <w:p>
            <w:pPr>
              <w:pStyle w:val="TableParagraph"/>
              <w:spacing w:line="275" w:lineRule="exact"/>
              <w:ind w:left="108"/>
              <w:rPr>
                <w:sz w:val="24"/>
              </w:rPr>
            </w:pPr>
            <w:r>
              <w:rPr>
                <w:spacing w:val="-2"/>
                <w:sz w:val="24"/>
              </w:rPr>
              <w:t>Цельнозерновые</w:t>
            </w:r>
          </w:p>
        </w:tc>
        <w:tc>
          <w:tcPr>
            <w:tcW w:w="2419" w:type="dxa"/>
          </w:tcPr>
          <w:p>
            <w:pPr>
              <w:pStyle w:val="TableParagraph"/>
              <w:ind w:left="105" w:right="36"/>
              <w:rPr>
                <w:sz w:val="24"/>
              </w:rPr>
            </w:pPr>
            <w:r>
              <w:rPr>
                <w:spacing w:val="-2"/>
                <w:sz w:val="24"/>
              </w:rPr>
              <w:t>Рафинированный </w:t>
            </w:r>
            <w:r>
              <w:rPr>
                <w:sz w:val="24"/>
              </w:rPr>
              <w:t>хлеб, рис</w:t>
            </w:r>
          </w:p>
          <w:p>
            <w:pPr>
              <w:pStyle w:val="TableParagraph"/>
              <w:spacing w:line="270" w:lineRule="atLeast"/>
              <w:ind w:left="105" w:right="322"/>
              <w:rPr>
                <w:sz w:val="24"/>
              </w:rPr>
            </w:pPr>
            <w:r>
              <w:rPr>
                <w:sz w:val="24"/>
              </w:rPr>
              <w:t>и макаронные изделия, печенье, кукурузные</w:t>
            </w:r>
            <w:r>
              <w:rPr>
                <w:spacing w:val="-15"/>
                <w:sz w:val="24"/>
              </w:rPr>
              <w:t> </w:t>
            </w:r>
            <w:r>
              <w:rPr>
                <w:sz w:val="24"/>
              </w:rPr>
              <w:t>хлопья</w:t>
            </w:r>
          </w:p>
        </w:tc>
        <w:tc>
          <w:tcPr>
            <w:tcW w:w="2688" w:type="dxa"/>
          </w:tcPr>
          <w:p>
            <w:pPr>
              <w:pStyle w:val="TableParagraph"/>
              <w:ind w:left="108" w:right="464"/>
              <w:rPr>
                <w:sz w:val="24"/>
              </w:rPr>
            </w:pPr>
            <w:r>
              <w:rPr>
                <w:sz w:val="24"/>
              </w:rPr>
              <w:t>Пирожные, кексы, пирожки,</w:t>
            </w:r>
            <w:r>
              <w:rPr>
                <w:spacing w:val="-15"/>
                <w:sz w:val="24"/>
              </w:rPr>
              <w:t> </w:t>
            </w:r>
            <w:r>
              <w:rPr>
                <w:sz w:val="24"/>
              </w:rPr>
              <w:t>круассаны</w:t>
            </w:r>
          </w:p>
        </w:tc>
      </w:tr>
      <w:tr>
        <w:trPr>
          <w:trHeight w:val="826" w:hRule="atLeast"/>
        </w:trPr>
        <w:tc>
          <w:tcPr>
            <w:tcW w:w="1519" w:type="dxa"/>
          </w:tcPr>
          <w:p>
            <w:pPr>
              <w:pStyle w:val="TableParagraph"/>
              <w:spacing w:line="274" w:lineRule="exact"/>
              <w:rPr>
                <w:sz w:val="24"/>
              </w:rPr>
            </w:pPr>
            <w:r>
              <w:rPr>
                <w:spacing w:val="-2"/>
                <w:sz w:val="24"/>
              </w:rPr>
              <w:t>Овощи</w:t>
            </w:r>
          </w:p>
        </w:tc>
        <w:tc>
          <w:tcPr>
            <w:tcW w:w="2520" w:type="dxa"/>
          </w:tcPr>
          <w:p>
            <w:pPr>
              <w:pStyle w:val="TableParagraph"/>
              <w:spacing w:line="274" w:lineRule="exact"/>
              <w:ind w:left="108"/>
              <w:rPr>
                <w:sz w:val="24"/>
              </w:rPr>
            </w:pPr>
            <w:r>
              <w:rPr>
                <w:spacing w:val="-2"/>
                <w:sz w:val="24"/>
              </w:rPr>
              <w:t>Сырые</w:t>
            </w:r>
          </w:p>
          <w:p>
            <w:pPr>
              <w:pStyle w:val="TableParagraph"/>
              <w:spacing w:line="270" w:lineRule="atLeast"/>
              <w:ind w:left="108" w:right="761"/>
              <w:rPr>
                <w:sz w:val="24"/>
              </w:rPr>
            </w:pPr>
            <w:r>
              <w:rPr>
                <w:sz w:val="24"/>
              </w:rPr>
              <w:t>и</w:t>
            </w:r>
            <w:r>
              <w:rPr>
                <w:spacing w:val="-15"/>
                <w:sz w:val="24"/>
              </w:rPr>
              <w:t> </w:t>
            </w:r>
            <w:r>
              <w:rPr>
                <w:sz w:val="24"/>
              </w:rPr>
              <w:t>обработанные </w:t>
            </w:r>
            <w:r>
              <w:rPr>
                <w:spacing w:val="-2"/>
                <w:sz w:val="24"/>
              </w:rPr>
              <w:t>овощи</w:t>
            </w:r>
          </w:p>
        </w:tc>
        <w:tc>
          <w:tcPr>
            <w:tcW w:w="2419" w:type="dxa"/>
          </w:tcPr>
          <w:p>
            <w:pPr>
              <w:pStyle w:val="TableParagraph"/>
              <w:spacing w:line="274" w:lineRule="exact"/>
              <w:ind w:left="105"/>
              <w:rPr>
                <w:sz w:val="24"/>
              </w:rPr>
            </w:pPr>
            <w:r>
              <w:rPr>
                <w:spacing w:val="-2"/>
                <w:sz w:val="24"/>
              </w:rPr>
              <w:t>Картофель</w:t>
            </w:r>
          </w:p>
        </w:tc>
        <w:tc>
          <w:tcPr>
            <w:tcW w:w="2688" w:type="dxa"/>
          </w:tcPr>
          <w:p>
            <w:pPr>
              <w:pStyle w:val="TableParagraph"/>
              <w:spacing w:line="276" w:lineRule="exact"/>
              <w:ind w:left="108" w:right="245"/>
              <w:rPr>
                <w:sz w:val="24"/>
              </w:rPr>
            </w:pPr>
            <w:r>
              <w:rPr>
                <w:spacing w:val="-2"/>
                <w:sz w:val="24"/>
              </w:rPr>
              <w:t>Овощи, </w:t>
            </w:r>
            <w:r>
              <w:rPr>
                <w:sz w:val="24"/>
              </w:rPr>
              <w:t>приготовленные с маслом</w:t>
            </w:r>
            <w:r>
              <w:rPr>
                <w:spacing w:val="-15"/>
                <w:sz w:val="24"/>
              </w:rPr>
              <w:t> </w:t>
            </w:r>
            <w:r>
              <w:rPr>
                <w:sz w:val="24"/>
              </w:rPr>
              <w:t>или</w:t>
            </w:r>
            <w:r>
              <w:rPr>
                <w:spacing w:val="-15"/>
                <w:sz w:val="24"/>
              </w:rPr>
              <w:t> </w:t>
            </w:r>
            <w:r>
              <w:rPr>
                <w:sz w:val="24"/>
              </w:rPr>
              <w:t>сливками</w:t>
            </w:r>
          </w:p>
        </w:tc>
      </w:tr>
      <w:tr>
        <w:trPr>
          <w:trHeight w:val="552" w:hRule="atLeast"/>
        </w:trPr>
        <w:tc>
          <w:tcPr>
            <w:tcW w:w="1519" w:type="dxa"/>
          </w:tcPr>
          <w:p>
            <w:pPr>
              <w:pStyle w:val="TableParagraph"/>
              <w:rPr>
                <w:sz w:val="24"/>
              </w:rPr>
            </w:pPr>
            <w:r>
              <w:rPr>
                <w:spacing w:val="-2"/>
                <w:sz w:val="24"/>
              </w:rPr>
              <w:t>Бобовые</w:t>
            </w:r>
          </w:p>
        </w:tc>
        <w:tc>
          <w:tcPr>
            <w:tcW w:w="2520" w:type="dxa"/>
          </w:tcPr>
          <w:p>
            <w:pPr>
              <w:pStyle w:val="TableParagraph"/>
              <w:spacing w:line="270" w:lineRule="atLeast"/>
              <w:ind w:left="108"/>
              <w:rPr>
                <w:sz w:val="24"/>
              </w:rPr>
            </w:pPr>
            <w:r>
              <w:rPr>
                <w:sz w:val="24"/>
              </w:rPr>
              <w:t>Чечевица, фасоль, бобы,</w:t>
            </w:r>
            <w:r>
              <w:rPr>
                <w:spacing w:val="-13"/>
                <w:sz w:val="24"/>
              </w:rPr>
              <w:t> </w:t>
            </w:r>
            <w:r>
              <w:rPr>
                <w:sz w:val="24"/>
              </w:rPr>
              <w:t>горох,</w:t>
            </w:r>
            <w:r>
              <w:rPr>
                <w:spacing w:val="-13"/>
                <w:sz w:val="24"/>
              </w:rPr>
              <w:t> </w:t>
            </w:r>
            <w:r>
              <w:rPr>
                <w:sz w:val="24"/>
              </w:rPr>
              <w:t>нут,</w:t>
            </w:r>
            <w:r>
              <w:rPr>
                <w:spacing w:val="-13"/>
                <w:sz w:val="24"/>
              </w:rPr>
              <w:t> </w:t>
            </w:r>
            <w:r>
              <w:rPr>
                <w:sz w:val="24"/>
              </w:rPr>
              <w:t>соя</w:t>
            </w:r>
          </w:p>
        </w:tc>
        <w:tc>
          <w:tcPr>
            <w:tcW w:w="2419" w:type="dxa"/>
          </w:tcPr>
          <w:p>
            <w:pPr>
              <w:pStyle w:val="TableParagraph"/>
              <w:ind w:left="0"/>
              <w:rPr>
                <w:sz w:val="24"/>
              </w:rPr>
            </w:pPr>
          </w:p>
        </w:tc>
        <w:tc>
          <w:tcPr>
            <w:tcW w:w="2688" w:type="dxa"/>
          </w:tcPr>
          <w:p>
            <w:pPr>
              <w:pStyle w:val="TableParagraph"/>
              <w:ind w:left="0"/>
              <w:rPr>
                <w:sz w:val="24"/>
              </w:rPr>
            </w:pPr>
          </w:p>
        </w:tc>
      </w:tr>
      <w:tr>
        <w:trPr>
          <w:trHeight w:val="1931" w:hRule="atLeast"/>
        </w:trPr>
        <w:tc>
          <w:tcPr>
            <w:tcW w:w="1519" w:type="dxa"/>
          </w:tcPr>
          <w:p>
            <w:pPr>
              <w:pStyle w:val="TableParagraph"/>
              <w:spacing w:line="275" w:lineRule="exact"/>
              <w:rPr>
                <w:sz w:val="24"/>
              </w:rPr>
            </w:pPr>
            <w:r>
              <w:rPr>
                <w:spacing w:val="-2"/>
                <w:sz w:val="24"/>
              </w:rPr>
              <w:t>Фрукты</w:t>
            </w:r>
          </w:p>
        </w:tc>
        <w:tc>
          <w:tcPr>
            <w:tcW w:w="2520" w:type="dxa"/>
          </w:tcPr>
          <w:p>
            <w:pPr>
              <w:pStyle w:val="TableParagraph"/>
              <w:spacing w:line="275" w:lineRule="exact"/>
              <w:ind w:left="108"/>
              <w:rPr>
                <w:sz w:val="24"/>
              </w:rPr>
            </w:pPr>
            <w:r>
              <w:rPr>
                <w:spacing w:val="-2"/>
                <w:sz w:val="24"/>
              </w:rPr>
              <w:t>Свежие</w:t>
            </w:r>
          </w:p>
          <w:p>
            <w:pPr>
              <w:pStyle w:val="TableParagraph"/>
              <w:ind w:left="108" w:right="698"/>
              <w:rPr>
                <w:sz w:val="24"/>
              </w:rPr>
            </w:pPr>
            <w:r>
              <w:rPr>
                <w:sz w:val="24"/>
              </w:rPr>
              <w:t>и</w:t>
            </w:r>
            <w:r>
              <w:rPr>
                <w:spacing w:val="-15"/>
                <w:sz w:val="24"/>
              </w:rPr>
              <w:t> </w:t>
            </w:r>
            <w:r>
              <w:rPr>
                <w:sz w:val="24"/>
              </w:rPr>
              <w:t>замороженные </w:t>
            </w:r>
            <w:r>
              <w:rPr>
                <w:spacing w:val="-2"/>
                <w:sz w:val="24"/>
              </w:rPr>
              <w:t>фрукты</w:t>
            </w:r>
          </w:p>
        </w:tc>
        <w:tc>
          <w:tcPr>
            <w:tcW w:w="2419" w:type="dxa"/>
          </w:tcPr>
          <w:p>
            <w:pPr>
              <w:pStyle w:val="TableParagraph"/>
              <w:spacing w:line="276" w:lineRule="exact"/>
              <w:ind w:left="105" w:right="322"/>
              <w:rPr>
                <w:sz w:val="24"/>
              </w:rPr>
            </w:pPr>
            <w:r>
              <w:rPr>
                <w:sz w:val="24"/>
              </w:rPr>
              <w:t>Сухофрукты,</w:t>
            </w:r>
            <w:r>
              <w:rPr>
                <w:spacing w:val="-15"/>
                <w:sz w:val="24"/>
              </w:rPr>
              <w:t> </w:t>
            </w:r>
            <w:r>
              <w:rPr>
                <w:sz w:val="24"/>
              </w:rPr>
              <w:t>желе, </w:t>
            </w:r>
            <w:r>
              <w:rPr>
                <w:spacing w:val="-2"/>
                <w:sz w:val="24"/>
              </w:rPr>
              <w:t>варенье, консервированные </w:t>
            </w:r>
            <w:r>
              <w:rPr>
                <w:sz w:val="24"/>
              </w:rPr>
              <w:t>фрукты, шербет, </w:t>
            </w:r>
            <w:r>
              <w:rPr>
                <w:spacing w:val="-2"/>
                <w:sz w:val="24"/>
              </w:rPr>
              <w:t>фруктовое мороженое, </w:t>
            </w:r>
            <w:r>
              <w:rPr>
                <w:sz w:val="24"/>
              </w:rPr>
              <w:t>фруктовый сок</w:t>
            </w:r>
          </w:p>
        </w:tc>
        <w:tc>
          <w:tcPr>
            <w:tcW w:w="2688" w:type="dxa"/>
          </w:tcPr>
          <w:p>
            <w:pPr>
              <w:pStyle w:val="TableParagraph"/>
              <w:ind w:left="0"/>
              <w:rPr>
                <w:sz w:val="24"/>
              </w:rPr>
            </w:pPr>
          </w:p>
        </w:tc>
      </w:tr>
      <w:tr>
        <w:trPr>
          <w:trHeight w:val="827" w:hRule="atLeast"/>
        </w:trPr>
        <w:tc>
          <w:tcPr>
            <w:tcW w:w="1519" w:type="dxa"/>
          </w:tcPr>
          <w:p>
            <w:pPr>
              <w:pStyle w:val="TableParagraph"/>
              <w:spacing w:line="276" w:lineRule="exact"/>
              <w:rPr>
                <w:sz w:val="24"/>
              </w:rPr>
            </w:pPr>
            <w:r>
              <w:rPr>
                <w:sz w:val="24"/>
              </w:rPr>
              <w:t>Сладости и </w:t>
            </w:r>
            <w:r>
              <w:rPr>
                <w:spacing w:val="-2"/>
                <w:sz w:val="24"/>
              </w:rPr>
              <w:t>подсластите </w:t>
            </w:r>
            <w:r>
              <w:rPr>
                <w:spacing w:val="-6"/>
                <w:sz w:val="24"/>
              </w:rPr>
              <w:t>ли</w:t>
            </w:r>
          </w:p>
        </w:tc>
        <w:tc>
          <w:tcPr>
            <w:tcW w:w="2520" w:type="dxa"/>
          </w:tcPr>
          <w:p>
            <w:pPr>
              <w:pStyle w:val="TableParagraph"/>
              <w:spacing w:before="2"/>
              <w:ind w:left="0"/>
              <w:rPr>
                <w:sz w:val="22"/>
              </w:rPr>
            </w:pPr>
          </w:p>
          <w:p>
            <w:pPr>
              <w:pStyle w:val="TableParagraph"/>
              <w:spacing w:line="270" w:lineRule="atLeast"/>
              <w:ind w:left="108"/>
              <w:rPr>
                <w:sz w:val="24"/>
              </w:rPr>
            </w:pPr>
            <w:r>
              <w:rPr>
                <w:spacing w:val="-2"/>
                <w:sz w:val="24"/>
              </w:rPr>
              <w:t>Некалорийные подсластители</w:t>
            </w:r>
          </w:p>
        </w:tc>
        <w:tc>
          <w:tcPr>
            <w:tcW w:w="2419" w:type="dxa"/>
          </w:tcPr>
          <w:p>
            <w:pPr>
              <w:pStyle w:val="TableParagraph"/>
              <w:ind w:left="105" w:right="322"/>
              <w:rPr>
                <w:sz w:val="24"/>
              </w:rPr>
            </w:pPr>
            <w:r>
              <w:rPr>
                <w:sz w:val="24"/>
              </w:rPr>
              <w:t>Сахароза, мед, шоколад,</w:t>
            </w:r>
            <w:r>
              <w:rPr>
                <w:spacing w:val="-15"/>
                <w:sz w:val="24"/>
              </w:rPr>
              <w:t> </w:t>
            </w:r>
            <w:r>
              <w:rPr>
                <w:sz w:val="24"/>
              </w:rPr>
              <w:t>конфеты</w:t>
            </w:r>
          </w:p>
        </w:tc>
        <w:tc>
          <w:tcPr>
            <w:tcW w:w="2688" w:type="dxa"/>
          </w:tcPr>
          <w:p>
            <w:pPr>
              <w:pStyle w:val="TableParagraph"/>
              <w:spacing w:line="276" w:lineRule="exact"/>
              <w:ind w:left="108" w:right="245"/>
              <w:rPr>
                <w:sz w:val="24"/>
              </w:rPr>
            </w:pPr>
            <w:r>
              <w:rPr>
                <w:sz w:val="24"/>
              </w:rPr>
              <w:t>Мороженое,</w:t>
            </w:r>
            <w:r>
              <w:rPr>
                <w:spacing w:val="-15"/>
                <w:sz w:val="24"/>
              </w:rPr>
              <w:t> </w:t>
            </w:r>
            <w:r>
              <w:rPr>
                <w:sz w:val="24"/>
              </w:rPr>
              <w:t>фруктоза, </w:t>
            </w:r>
            <w:r>
              <w:rPr>
                <w:spacing w:val="-2"/>
                <w:sz w:val="24"/>
              </w:rPr>
              <w:t>безалкогольные напитки</w:t>
            </w:r>
          </w:p>
        </w:tc>
      </w:tr>
      <w:tr>
        <w:trPr>
          <w:trHeight w:val="1930" w:hRule="atLeast"/>
        </w:trPr>
        <w:tc>
          <w:tcPr>
            <w:tcW w:w="1519" w:type="dxa"/>
          </w:tcPr>
          <w:p>
            <w:pPr>
              <w:pStyle w:val="TableParagraph"/>
              <w:ind w:right="658"/>
              <w:rPr>
                <w:sz w:val="24"/>
              </w:rPr>
            </w:pPr>
            <w:r>
              <w:rPr>
                <w:sz w:val="24"/>
              </w:rPr>
              <w:t>Мясо</w:t>
            </w:r>
            <w:r>
              <w:rPr>
                <w:spacing w:val="-15"/>
                <w:sz w:val="24"/>
              </w:rPr>
              <w:t> </w:t>
            </w:r>
            <w:r>
              <w:rPr>
                <w:sz w:val="24"/>
              </w:rPr>
              <w:t>и </w:t>
            </w:r>
            <w:r>
              <w:rPr>
                <w:spacing w:val="-4"/>
                <w:sz w:val="24"/>
              </w:rPr>
              <w:t>рыба</w:t>
            </w:r>
          </w:p>
        </w:tc>
        <w:tc>
          <w:tcPr>
            <w:tcW w:w="2520" w:type="dxa"/>
          </w:tcPr>
          <w:p>
            <w:pPr>
              <w:pStyle w:val="TableParagraph"/>
              <w:ind w:left="108"/>
              <w:rPr>
                <w:sz w:val="24"/>
              </w:rPr>
            </w:pPr>
            <w:r>
              <w:rPr>
                <w:sz w:val="24"/>
              </w:rPr>
              <w:t>Постная и жирная рыба,</w:t>
            </w:r>
            <w:r>
              <w:rPr>
                <w:spacing w:val="-13"/>
                <w:sz w:val="24"/>
              </w:rPr>
              <w:t> </w:t>
            </w:r>
            <w:r>
              <w:rPr>
                <w:sz w:val="24"/>
              </w:rPr>
              <w:t>мясо</w:t>
            </w:r>
            <w:r>
              <w:rPr>
                <w:spacing w:val="-13"/>
                <w:sz w:val="24"/>
              </w:rPr>
              <w:t> </w:t>
            </w:r>
            <w:r>
              <w:rPr>
                <w:sz w:val="24"/>
              </w:rPr>
              <w:t>птицы</w:t>
            </w:r>
            <w:r>
              <w:rPr>
                <w:spacing w:val="-14"/>
                <w:sz w:val="24"/>
              </w:rPr>
              <w:t> </w:t>
            </w:r>
            <w:r>
              <w:rPr>
                <w:sz w:val="24"/>
              </w:rPr>
              <w:t>без </w:t>
            </w:r>
            <w:r>
              <w:rPr>
                <w:spacing w:val="-4"/>
                <w:sz w:val="24"/>
              </w:rPr>
              <w:t>кожи</w:t>
            </w:r>
          </w:p>
        </w:tc>
        <w:tc>
          <w:tcPr>
            <w:tcW w:w="2419" w:type="dxa"/>
          </w:tcPr>
          <w:p>
            <w:pPr>
              <w:pStyle w:val="TableParagraph"/>
              <w:spacing w:line="276" w:lineRule="exact"/>
              <w:ind w:left="105"/>
              <w:rPr>
                <w:sz w:val="24"/>
              </w:rPr>
            </w:pPr>
            <w:r>
              <w:rPr>
                <w:sz w:val="24"/>
              </w:rPr>
              <w:t>Постная вырезка говядины,</w:t>
            </w:r>
            <w:r>
              <w:rPr>
                <w:spacing w:val="-15"/>
                <w:sz w:val="24"/>
              </w:rPr>
              <w:t> </w:t>
            </w:r>
            <w:r>
              <w:rPr>
                <w:sz w:val="24"/>
              </w:rPr>
              <w:t>баранины, свинины или </w:t>
            </w:r>
            <w:r>
              <w:rPr>
                <w:spacing w:val="-2"/>
                <w:sz w:val="24"/>
              </w:rPr>
              <w:t>телятины, морепродукты, </w:t>
            </w:r>
            <w:r>
              <w:rPr>
                <w:sz w:val="24"/>
              </w:rPr>
              <w:t>моллюски и </w:t>
            </w:r>
            <w:r>
              <w:rPr>
                <w:spacing w:val="-2"/>
                <w:sz w:val="24"/>
              </w:rPr>
              <w:t>ракообразные</w:t>
            </w:r>
          </w:p>
        </w:tc>
        <w:tc>
          <w:tcPr>
            <w:tcW w:w="2688" w:type="dxa"/>
          </w:tcPr>
          <w:p>
            <w:pPr>
              <w:pStyle w:val="TableParagraph"/>
              <w:ind w:left="108" w:right="245"/>
              <w:rPr>
                <w:sz w:val="24"/>
              </w:rPr>
            </w:pPr>
            <w:r>
              <w:rPr>
                <w:sz w:val="24"/>
              </w:rPr>
              <w:t>Колбасы, салями, бекон, свиные ребрышки,</w:t>
            </w:r>
            <w:r>
              <w:rPr>
                <w:spacing w:val="-4"/>
                <w:sz w:val="24"/>
              </w:rPr>
              <w:t> </w:t>
            </w:r>
            <w:r>
              <w:rPr>
                <w:sz w:val="24"/>
              </w:rPr>
              <w:t>хот-доги, мясные</w:t>
            </w:r>
            <w:r>
              <w:rPr>
                <w:spacing w:val="-3"/>
                <w:sz w:val="24"/>
              </w:rPr>
              <w:t> </w:t>
            </w:r>
            <w:r>
              <w:rPr>
                <w:spacing w:val="-2"/>
                <w:sz w:val="24"/>
              </w:rPr>
              <w:t>субпродукты</w:t>
            </w:r>
          </w:p>
        </w:tc>
      </w:tr>
      <w:tr>
        <w:trPr>
          <w:trHeight w:val="1378" w:hRule="atLeast"/>
        </w:trPr>
        <w:tc>
          <w:tcPr>
            <w:tcW w:w="1519" w:type="dxa"/>
          </w:tcPr>
          <w:p>
            <w:pPr>
              <w:pStyle w:val="TableParagraph"/>
              <w:rPr>
                <w:sz w:val="24"/>
              </w:rPr>
            </w:pPr>
            <w:r>
              <w:rPr>
                <w:spacing w:val="-2"/>
                <w:sz w:val="24"/>
              </w:rPr>
              <w:t>Молочная </w:t>
            </w:r>
            <w:r>
              <w:rPr>
                <w:sz w:val="24"/>
              </w:rPr>
              <w:t>пища</w:t>
            </w:r>
            <w:r>
              <w:rPr>
                <w:spacing w:val="-15"/>
                <w:sz w:val="24"/>
              </w:rPr>
              <w:t> </w:t>
            </w:r>
            <w:r>
              <w:rPr>
                <w:sz w:val="24"/>
              </w:rPr>
              <w:t>и</w:t>
            </w:r>
            <w:r>
              <w:rPr>
                <w:spacing w:val="-15"/>
                <w:sz w:val="24"/>
              </w:rPr>
              <w:t> </w:t>
            </w:r>
            <w:r>
              <w:rPr>
                <w:sz w:val="24"/>
              </w:rPr>
              <w:t>яйца</w:t>
            </w:r>
          </w:p>
        </w:tc>
        <w:tc>
          <w:tcPr>
            <w:tcW w:w="2520" w:type="dxa"/>
          </w:tcPr>
          <w:p>
            <w:pPr>
              <w:pStyle w:val="TableParagraph"/>
              <w:ind w:left="108" w:right="698"/>
              <w:rPr>
                <w:sz w:val="24"/>
              </w:rPr>
            </w:pPr>
            <w:r>
              <w:rPr>
                <w:spacing w:val="-2"/>
                <w:sz w:val="24"/>
              </w:rPr>
              <w:t>Обезжиренное </w:t>
            </w:r>
            <w:r>
              <w:rPr>
                <w:sz w:val="24"/>
              </w:rPr>
              <w:t>молоко</w:t>
            </w:r>
            <w:r>
              <w:rPr>
                <w:spacing w:val="-15"/>
                <w:sz w:val="24"/>
              </w:rPr>
              <w:t> </w:t>
            </w:r>
            <w:r>
              <w:rPr>
                <w:sz w:val="24"/>
              </w:rPr>
              <w:t>и</w:t>
            </w:r>
            <w:r>
              <w:rPr>
                <w:spacing w:val="-15"/>
                <w:sz w:val="24"/>
              </w:rPr>
              <w:t> </w:t>
            </w:r>
            <w:r>
              <w:rPr>
                <w:sz w:val="24"/>
              </w:rPr>
              <w:t>йогурт</w:t>
            </w:r>
          </w:p>
        </w:tc>
        <w:tc>
          <w:tcPr>
            <w:tcW w:w="2419" w:type="dxa"/>
          </w:tcPr>
          <w:p>
            <w:pPr>
              <w:pStyle w:val="TableParagraph"/>
              <w:spacing w:line="276" w:lineRule="exact"/>
              <w:ind w:left="105" w:right="295"/>
              <w:rPr>
                <w:sz w:val="24"/>
              </w:rPr>
            </w:pPr>
            <w:r>
              <w:rPr>
                <w:sz w:val="24"/>
              </w:rPr>
              <w:t>Молоко, сыры со </w:t>
            </w:r>
            <w:r>
              <w:rPr>
                <w:spacing w:val="-2"/>
                <w:sz w:val="24"/>
              </w:rPr>
              <w:t>сниженным </w:t>
            </w:r>
            <w:r>
              <w:rPr>
                <w:sz w:val="24"/>
              </w:rPr>
              <w:t>содержанием</w:t>
            </w:r>
            <w:r>
              <w:rPr>
                <w:spacing w:val="-15"/>
                <w:sz w:val="24"/>
              </w:rPr>
              <w:t> </w:t>
            </w:r>
            <w:r>
              <w:rPr>
                <w:sz w:val="24"/>
              </w:rPr>
              <w:t>жира, другие молочные продукты, яйца</w:t>
            </w:r>
          </w:p>
        </w:tc>
        <w:tc>
          <w:tcPr>
            <w:tcW w:w="2688" w:type="dxa"/>
          </w:tcPr>
          <w:p>
            <w:pPr>
              <w:pStyle w:val="TableParagraph"/>
              <w:ind w:left="108" w:right="187"/>
              <w:rPr>
                <w:sz w:val="24"/>
              </w:rPr>
            </w:pPr>
            <w:r>
              <w:rPr>
                <w:sz w:val="24"/>
              </w:rPr>
              <w:t>Обычный</w:t>
            </w:r>
            <w:r>
              <w:rPr>
                <w:spacing w:val="-15"/>
                <w:sz w:val="24"/>
              </w:rPr>
              <w:t> </w:t>
            </w:r>
            <w:r>
              <w:rPr>
                <w:sz w:val="24"/>
              </w:rPr>
              <w:t>сыр,</w:t>
            </w:r>
            <w:r>
              <w:rPr>
                <w:spacing w:val="-15"/>
                <w:sz w:val="24"/>
              </w:rPr>
              <w:t> </w:t>
            </w:r>
            <w:r>
              <w:rPr>
                <w:sz w:val="24"/>
              </w:rPr>
              <w:t>сливки, цельное молоко и </w:t>
            </w:r>
            <w:r>
              <w:rPr>
                <w:spacing w:val="-2"/>
                <w:sz w:val="24"/>
              </w:rPr>
              <w:t>йогурт</w:t>
            </w:r>
          </w:p>
        </w:tc>
      </w:tr>
      <w:tr>
        <w:trPr>
          <w:trHeight w:val="1377" w:hRule="atLeast"/>
        </w:trPr>
        <w:tc>
          <w:tcPr>
            <w:tcW w:w="1519" w:type="dxa"/>
          </w:tcPr>
          <w:p>
            <w:pPr>
              <w:pStyle w:val="TableParagraph"/>
              <w:spacing w:line="273" w:lineRule="exact"/>
              <w:rPr>
                <w:sz w:val="24"/>
              </w:rPr>
            </w:pPr>
            <w:r>
              <w:rPr>
                <w:spacing w:val="-2"/>
                <w:sz w:val="24"/>
              </w:rPr>
              <w:t>Приправы</w:t>
            </w:r>
          </w:p>
        </w:tc>
        <w:tc>
          <w:tcPr>
            <w:tcW w:w="2520" w:type="dxa"/>
          </w:tcPr>
          <w:p>
            <w:pPr>
              <w:pStyle w:val="TableParagraph"/>
              <w:ind w:left="108" w:right="774"/>
              <w:rPr>
                <w:sz w:val="24"/>
              </w:rPr>
            </w:pPr>
            <w:r>
              <w:rPr>
                <w:sz w:val="24"/>
              </w:rPr>
              <w:t>Уксус,</w:t>
            </w:r>
            <w:r>
              <w:rPr>
                <w:spacing w:val="-15"/>
                <w:sz w:val="24"/>
              </w:rPr>
              <w:t> </w:t>
            </w:r>
            <w:r>
              <w:rPr>
                <w:sz w:val="24"/>
              </w:rPr>
              <w:t>горчица, </w:t>
            </w:r>
            <w:r>
              <w:rPr>
                <w:spacing w:val="-2"/>
                <w:sz w:val="24"/>
              </w:rPr>
              <w:t>обезжиренные приправы</w:t>
            </w:r>
          </w:p>
        </w:tc>
        <w:tc>
          <w:tcPr>
            <w:tcW w:w="2419" w:type="dxa"/>
          </w:tcPr>
          <w:p>
            <w:pPr>
              <w:pStyle w:val="TableParagraph"/>
              <w:spacing w:line="276" w:lineRule="exact"/>
              <w:ind w:left="105" w:right="184"/>
              <w:rPr>
                <w:sz w:val="24"/>
              </w:rPr>
            </w:pPr>
            <w:r>
              <w:rPr>
                <w:sz w:val="24"/>
              </w:rPr>
              <w:t>Оливковое масло, </w:t>
            </w:r>
            <w:r>
              <w:rPr>
                <w:spacing w:val="-2"/>
                <w:sz w:val="24"/>
              </w:rPr>
              <w:t>нетропические </w:t>
            </w:r>
            <w:r>
              <w:rPr>
                <w:sz w:val="24"/>
              </w:rPr>
              <w:t>растительные</w:t>
            </w:r>
            <w:r>
              <w:rPr>
                <w:spacing w:val="-15"/>
                <w:sz w:val="24"/>
              </w:rPr>
              <w:t> </w:t>
            </w:r>
            <w:r>
              <w:rPr>
                <w:sz w:val="24"/>
              </w:rPr>
              <w:t>масла, мягкие маргарины, майонез, кетчуп</w:t>
            </w:r>
          </w:p>
        </w:tc>
        <w:tc>
          <w:tcPr>
            <w:tcW w:w="2688" w:type="dxa"/>
          </w:tcPr>
          <w:p>
            <w:pPr>
              <w:pStyle w:val="TableParagraph"/>
              <w:ind w:left="108" w:right="187"/>
              <w:rPr>
                <w:sz w:val="24"/>
              </w:rPr>
            </w:pPr>
            <w:r>
              <w:rPr>
                <w:sz w:val="24"/>
              </w:rPr>
              <w:t>Трансжиры и твердые маргарины,</w:t>
            </w:r>
            <w:r>
              <w:rPr>
                <w:spacing w:val="-15"/>
                <w:sz w:val="24"/>
              </w:rPr>
              <w:t> </w:t>
            </w:r>
            <w:r>
              <w:rPr>
                <w:sz w:val="24"/>
              </w:rPr>
              <w:t>пальмовое, кокосовое</w:t>
            </w:r>
            <w:r>
              <w:rPr>
                <w:spacing w:val="-8"/>
                <w:sz w:val="24"/>
              </w:rPr>
              <w:t> </w:t>
            </w:r>
            <w:r>
              <w:rPr>
                <w:sz w:val="24"/>
              </w:rPr>
              <w:t>и</w:t>
            </w:r>
            <w:r>
              <w:rPr>
                <w:spacing w:val="-6"/>
                <w:sz w:val="24"/>
              </w:rPr>
              <w:t> </w:t>
            </w:r>
            <w:r>
              <w:rPr>
                <w:sz w:val="24"/>
              </w:rPr>
              <w:t>сливочное масло, сало</w:t>
            </w:r>
          </w:p>
        </w:tc>
      </w:tr>
      <w:tr>
        <w:trPr>
          <w:trHeight w:val="549" w:hRule="atLeast"/>
        </w:trPr>
        <w:tc>
          <w:tcPr>
            <w:tcW w:w="1519" w:type="dxa"/>
          </w:tcPr>
          <w:p>
            <w:pPr>
              <w:pStyle w:val="TableParagraph"/>
              <w:spacing w:line="273" w:lineRule="exact"/>
              <w:rPr>
                <w:sz w:val="24"/>
              </w:rPr>
            </w:pPr>
            <w:r>
              <w:rPr>
                <w:spacing w:val="-4"/>
                <w:sz w:val="24"/>
              </w:rPr>
              <w:t>Орехи</w:t>
            </w:r>
          </w:p>
        </w:tc>
        <w:tc>
          <w:tcPr>
            <w:tcW w:w="2520" w:type="dxa"/>
          </w:tcPr>
          <w:p>
            <w:pPr>
              <w:pStyle w:val="TableParagraph"/>
              <w:ind w:left="0"/>
              <w:rPr>
                <w:sz w:val="24"/>
              </w:rPr>
            </w:pPr>
          </w:p>
        </w:tc>
        <w:tc>
          <w:tcPr>
            <w:tcW w:w="2419" w:type="dxa"/>
          </w:tcPr>
          <w:p>
            <w:pPr>
              <w:pStyle w:val="TableParagraph"/>
              <w:spacing w:line="276" w:lineRule="exact"/>
              <w:ind w:left="105" w:right="778"/>
              <w:rPr>
                <w:sz w:val="24"/>
              </w:rPr>
            </w:pPr>
            <w:r>
              <w:rPr>
                <w:sz w:val="24"/>
              </w:rPr>
              <w:t>Все</w:t>
            </w:r>
            <w:r>
              <w:rPr>
                <w:spacing w:val="-15"/>
                <w:sz w:val="24"/>
              </w:rPr>
              <w:t> </w:t>
            </w:r>
            <w:r>
              <w:rPr>
                <w:sz w:val="24"/>
              </w:rPr>
              <w:t>несоленые (кроме</w:t>
            </w:r>
            <w:r>
              <w:rPr>
                <w:spacing w:val="-2"/>
                <w:sz w:val="24"/>
              </w:rPr>
              <w:t> кокоса)</w:t>
            </w:r>
          </w:p>
        </w:tc>
        <w:tc>
          <w:tcPr>
            <w:tcW w:w="2688" w:type="dxa"/>
          </w:tcPr>
          <w:p>
            <w:pPr>
              <w:pStyle w:val="TableParagraph"/>
              <w:spacing w:line="273" w:lineRule="exact"/>
              <w:ind w:left="108"/>
              <w:rPr>
                <w:sz w:val="24"/>
              </w:rPr>
            </w:pPr>
            <w:r>
              <w:rPr>
                <w:spacing w:val="-2"/>
                <w:sz w:val="24"/>
              </w:rPr>
              <w:t>Кокос</w:t>
            </w:r>
          </w:p>
        </w:tc>
      </w:tr>
      <w:tr>
        <w:trPr>
          <w:trHeight w:val="551" w:hRule="atLeast"/>
        </w:trPr>
        <w:tc>
          <w:tcPr>
            <w:tcW w:w="1519" w:type="dxa"/>
          </w:tcPr>
          <w:p>
            <w:pPr>
              <w:pStyle w:val="TableParagraph"/>
              <w:spacing w:line="276" w:lineRule="exact"/>
              <w:rPr>
                <w:sz w:val="24"/>
              </w:rPr>
            </w:pPr>
            <w:r>
              <w:rPr>
                <w:spacing w:val="-2"/>
                <w:sz w:val="24"/>
              </w:rPr>
              <w:t>Приготовле </w:t>
            </w:r>
            <w:r>
              <w:rPr>
                <w:sz w:val="24"/>
              </w:rPr>
              <w:t>ние пищи</w:t>
            </w:r>
          </w:p>
        </w:tc>
        <w:tc>
          <w:tcPr>
            <w:tcW w:w="2520" w:type="dxa"/>
          </w:tcPr>
          <w:p>
            <w:pPr>
              <w:pStyle w:val="TableParagraph"/>
              <w:spacing w:line="273" w:lineRule="exact"/>
              <w:ind w:left="108"/>
              <w:rPr>
                <w:sz w:val="24"/>
              </w:rPr>
            </w:pPr>
            <w:r>
              <w:rPr>
                <w:sz w:val="24"/>
              </w:rPr>
              <w:t>Гриль,</w:t>
            </w:r>
            <w:r>
              <w:rPr>
                <w:spacing w:val="-2"/>
                <w:sz w:val="24"/>
              </w:rPr>
              <w:t> пароварение</w:t>
            </w:r>
          </w:p>
        </w:tc>
        <w:tc>
          <w:tcPr>
            <w:tcW w:w="2419" w:type="dxa"/>
          </w:tcPr>
          <w:p>
            <w:pPr>
              <w:pStyle w:val="TableParagraph"/>
              <w:spacing w:line="273" w:lineRule="exact"/>
              <w:ind w:left="105"/>
              <w:rPr>
                <w:sz w:val="24"/>
              </w:rPr>
            </w:pPr>
            <w:r>
              <w:rPr>
                <w:spacing w:val="-2"/>
                <w:sz w:val="24"/>
              </w:rPr>
              <w:t>Обжаривание</w:t>
            </w:r>
          </w:p>
        </w:tc>
        <w:tc>
          <w:tcPr>
            <w:tcW w:w="2688" w:type="dxa"/>
          </w:tcPr>
          <w:p>
            <w:pPr>
              <w:pStyle w:val="TableParagraph"/>
              <w:spacing w:line="273" w:lineRule="exact"/>
              <w:ind w:left="108"/>
              <w:rPr>
                <w:sz w:val="24"/>
              </w:rPr>
            </w:pPr>
            <w:r>
              <w:rPr>
                <w:spacing w:val="-2"/>
                <w:sz w:val="24"/>
              </w:rPr>
              <w:t>Жарка</w:t>
            </w:r>
          </w:p>
        </w:tc>
      </w:tr>
    </w:tbl>
    <w:p>
      <w:pPr>
        <w:pStyle w:val="BodyText"/>
        <w:spacing w:before="6"/>
        <w:ind w:left="1261" w:right="571"/>
      </w:pPr>
      <w:r>
        <w:rPr/>
        <w:t>Примечание:</w:t>
      </w:r>
      <w:r>
        <w:rPr>
          <w:spacing w:val="-3"/>
        </w:rPr>
        <w:t> </w:t>
      </w:r>
      <w:r>
        <w:rPr/>
        <w:t>умеренное</w:t>
      </w:r>
      <w:r>
        <w:rPr>
          <w:spacing w:val="-4"/>
        </w:rPr>
        <w:t> </w:t>
      </w:r>
      <w:r>
        <w:rPr/>
        <w:t>употребление</w:t>
      </w:r>
      <w:r>
        <w:rPr>
          <w:spacing w:val="-4"/>
        </w:rPr>
        <w:t> </w:t>
      </w:r>
      <w:r>
        <w:rPr/>
        <w:t>алкоголя</w:t>
      </w:r>
      <w:r>
        <w:rPr>
          <w:spacing w:val="-3"/>
        </w:rPr>
        <w:t> </w:t>
      </w:r>
      <w:r>
        <w:rPr/>
        <w:t>(не</w:t>
      </w:r>
      <w:r>
        <w:rPr>
          <w:spacing w:val="-4"/>
        </w:rPr>
        <w:t> </w:t>
      </w:r>
      <w:r>
        <w:rPr/>
        <w:t>более</w:t>
      </w:r>
      <w:r>
        <w:rPr>
          <w:spacing w:val="-4"/>
        </w:rPr>
        <w:t> </w:t>
      </w:r>
      <w:r>
        <w:rPr/>
        <w:t>50</w:t>
      </w:r>
      <w:r>
        <w:rPr>
          <w:spacing w:val="-3"/>
        </w:rPr>
        <w:t> </w:t>
      </w:r>
      <w:r>
        <w:rPr/>
        <w:t>мг</w:t>
      </w:r>
      <w:r>
        <w:rPr>
          <w:spacing w:val="-4"/>
        </w:rPr>
        <w:t> </w:t>
      </w:r>
      <w:r>
        <w:rPr/>
        <w:t>в</w:t>
      </w:r>
      <w:r>
        <w:rPr>
          <w:spacing w:val="-4"/>
        </w:rPr>
        <w:t> </w:t>
      </w:r>
      <w:r>
        <w:rPr/>
        <w:t>день</w:t>
      </w:r>
      <w:r>
        <w:rPr>
          <w:spacing w:val="-3"/>
        </w:rPr>
        <w:t> </w:t>
      </w:r>
      <w:r>
        <w:rPr/>
        <w:t>крепких</w:t>
      </w:r>
      <w:r>
        <w:rPr>
          <w:spacing w:val="-6"/>
        </w:rPr>
        <w:t> </w:t>
      </w:r>
      <w:r>
        <w:rPr/>
        <w:t>напитков, 200 мг</w:t>
      </w:r>
      <w:r>
        <w:rPr>
          <w:spacing w:val="-1"/>
        </w:rPr>
        <w:t> </w:t>
      </w:r>
      <w:r>
        <w:rPr/>
        <w:t>красного или белого вина</w:t>
      </w:r>
      <w:r>
        <w:rPr>
          <w:spacing w:val="-1"/>
        </w:rPr>
        <w:t> </w:t>
      </w:r>
      <w:r>
        <w:rPr/>
        <w:t>и не</w:t>
      </w:r>
      <w:r>
        <w:rPr>
          <w:spacing w:val="-1"/>
        </w:rPr>
        <w:t> </w:t>
      </w:r>
      <w:r>
        <w:rPr/>
        <w:t>более</w:t>
      </w:r>
      <w:r>
        <w:rPr>
          <w:spacing w:val="-1"/>
        </w:rPr>
        <w:t> </w:t>
      </w:r>
      <w:r>
        <w:rPr/>
        <w:t>350 мл пива</w:t>
      </w:r>
      <w:r>
        <w:rPr>
          <w:spacing w:val="-1"/>
        </w:rPr>
        <w:t> </w:t>
      </w:r>
      <w:r>
        <w:rPr/>
        <w:t>во время приема</w:t>
      </w:r>
      <w:r>
        <w:rPr>
          <w:spacing w:val="-1"/>
        </w:rPr>
        <w:t> </w:t>
      </w:r>
      <w:r>
        <w:rPr/>
        <w:t>пищи)</w:t>
      </w:r>
      <w:r>
        <w:rPr>
          <w:spacing w:val="-1"/>
        </w:rPr>
        <w:t> </w:t>
      </w:r>
      <w:r>
        <w:rPr/>
        <w:t>является приемлемым, при условии, что уровень ТГ не повышен, отсутствует гипертоническая болезнь и/или печеночная недостаточность.</w:t>
      </w:r>
    </w:p>
    <w:p>
      <w:pPr>
        <w:spacing w:after="0"/>
        <w:sectPr>
          <w:pgSz w:w="11910" w:h="16840"/>
          <w:pgMar w:header="0" w:footer="710" w:top="1040" w:bottom="900" w:left="440" w:right="280"/>
        </w:sectPr>
      </w:pPr>
    </w:p>
    <w:p>
      <w:pPr>
        <w:pStyle w:val="Heading3"/>
        <w:tabs>
          <w:tab w:pos="2864" w:val="left" w:leader="none"/>
          <w:tab w:pos="3363" w:val="left" w:leader="none"/>
          <w:tab w:pos="3829" w:val="left" w:leader="none"/>
          <w:tab w:pos="4441" w:val="left" w:leader="none"/>
          <w:tab w:pos="5511" w:val="left" w:leader="none"/>
          <w:tab w:pos="6579" w:val="left" w:leader="none"/>
          <w:tab w:pos="8108" w:val="left" w:leader="none"/>
          <w:tab w:pos="8470" w:val="left" w:leader="none"/>
          <w:tab w:pos="9425" w:val="left" w:leader="none"/>
        </w:tabs>
        <w:spacing w:line="278" w:lineRule="auto" w:before="69"/>
        <w:ind w:right="567"/>
      </w:pPr>
      <w:r>
        <w:rPr>
          <w:spacing w:val="-2"/>
        </w:rPr>
        <w:t>Приложение</w:t>
      </w:r>
      <w:r>
        <w:rPr/>
        <w:tab/>
      </w:r>
      <w:r>
        <w:rPr>
          <w:spacing w:val="-6"/>
        </w:rPr>
        <w:t>Г1</w:t>
      </w:r>
      <w:r>
        <w:rPr/>
        <w:tab/>
      </w:r>
      <w:r>
        <w:rPr>
          <w:spacing w:val="-10"/>
        </w:rPr>
        <w:t>—</w:t>
      </w:r>
      <w:r>
        <w:rPr/>
        <w:tab/>
      </w:r>
      <w:r>
        <w:rPr>
          <w:spacing w:val="-4"/>
        </w:rPr>
        <w:t>ГN.</w:t>
      </w:r>
      <w:r>
        <w:rPr/>
        <w:tab/>
      </w:r>
      <w:r>
        <w:rPr>
          <w:spacing w:val="-4"/>
        </w:rPr>
        <w:t>Шкалы</w:t>
      </w:r>
      <w:r>
        <w:rPr/>
        <w:tab/>
      </w:r>
      <w:r>
        <w:rPr>
          <w:spacing w:val="-2"/>
        </w:rPr>
        <w:t>оценки,</w:t>
      </w:r>
      <w:r>
        <w:rPr/>
        <w:tab/>
      </w:r>
      <w:r>
        <w:rPr>
          <w:spacing w:val="-2"/>
        </w:rPr>
        <w:t>вопросники</w:t>
      </w:r>
      <w:r>
        <w:rPr/>
        <w:tab/>
      </w:r>
      <w:r>
        <w:rPr>
          <w:spacing w:val="-10"/>
        </w:rPr>
        <w:t>и</w:t>
      </w:r>
      <w:r>
        <w:rPr/>
        <w:tab/>
      </w:r>
      <w:r>
        <w:rPr>
          <w:spacing w:val="-2"/>
        </w:rPr>
        <w:t>другие</w:t>
      </w:r>
      <w:r>
        <w:rPr/>
        <w:tab/>
      </w:r>
      <w:r>
        <w:rPr>
          <w:spacing w:val="-2"/>
        </w:rPr>
        <w:t>оценочные </w:t>
      </w:r>
      <w:r>
        <w:rPr/>
        <w:t>инструменты состояния пациента, приведенные в клинических рекомендациях</w:t>
      </w:r>
    </w:p>
    <w:p>
      <w:pPr>
        <w:pStyle w:val="BodyText"/>
        <w:ind w:left="0"/>
        <w:rPr>
          <w:b/>
          <w:sz w:val="26"/>
        </w:rPr>
      </w:pPr>
    </w:p>
    <w:p>
      <w:pPr>
        <w:pStyle w:val="BodyText"/>
        <w:ind w:left="0"/>
        <w:rPr>
          <w:b/>
          <w:sz w:val="36"/>
        </w:rPr>
      </w:pPr>
    </w:p>
    <w:p>
      <w:pPr>
        <w:spacing w:line="360" w:lineRule="auto" w:before="1"/>
        <w:ind w:left="1261" w:right="0" w:firstLine="0"/>
        <w:jc w:val="left"/>
        <w:rPr>
          <w:b/>
          <w:sz w:val="24"/>
        </w:rPr>
      </w:pPr>
      <w:r>
        <w:rPr>
          <w:b/>
          <w:sz w:val="24"/>
          <w:u w:val="thick"/>
        </w:rPr>
        <w:t>Приложение</w:t>
      </w:r>
      <w:r>
        <w:rPr>
          <w:b/>
          <w:spacing w:val="40"/>
          <w:sz w:val="24"/>
          <w:u w:val="thick"/>
        </w:rPr>
        <w:t> </w:t>
      </w:r>
      <w:r>
        <w:rPr>
          <w:b/>
          <w:sz w:val="24"/>
          <w:u w:val="thick"/>
        </w:rPr>
        <w:t>Г1.</w:t>
      </w:r>
      <w:r>
        <w:rPr>
          <w:b/>
          <w:spacing w:val="40"/>
          <w:sz w:val="24"/>
          <w:u w:val="thick"/>
        </w:rPr>
        <w:t> </w:t>
      </w:r>
      <w:r>
        <w:rPr>
          <w:b/>
          <w:sz w:val="24"/>
          <w:u w:val="thick"/>
        </w:rPr>
        <w:t>Голландские</w:t>
      </w:r>
      <w:r>
        <w:rPr>
          <w:b/>
          <w:spacing w:val="40"/>
          <w:sz w:val="24"/>
          <w:u w:val="thick"/>
        </w:rPr>
        <w:t> </w:t>
      </w:r>
      <w:r>
        <w:rPr>
          <w:b/>
          <w:sz w:val="24"/>
          <w:u w:val="thick"/>
        </w:rPr>
        <w:t>диагностические</w:t>
      </w:r>
      <w:r>
        <w:rPr>
          <w:b/>
          <w:spacing w:val="40"/>
          <w:sz w:val="24"/>
          <w:u w:val="thick"/>
        </w:rPr>
        <w:t> </w:t>
      </w:r>
      <w:r>
        <w:rPr>
          <w:b/>
          <w:sz w:val="24"/>
          <w:u w:val="thick"/>
        </w:rPr>
        <w:t>критерии</w:t>
      </w:r>
      <w:r>
        <w:rPr>
          <w:b/>
          <w:spacing w:val="40"/>
          <w:sz w:val="24"/>
          <w:u w:val="thick"/>
        </w:rPr>
        <w:t> </w:t>
      </w:r>
      <w:r>
        <w:rPr>
          <w:b/>
          <w:sz w:val="24"/>
          <w:u w:val="thick"/>
        </w:rPr>
        <w:t>гетерозиготной</w:t>
      </w:r>
      <w:r>
        <w:rPr>
          <w:b/>
          <w:spacing w:val="40"/>
          <w:sz w:val="24"/>
          <w:u w:val="thick"/>
        </w:rPr>
        <w:t> </w:t>
      </w:r>
      <w:r>
        <w:rPr>
          <w:b/>
          <w:sz w:val="24"/>
          <w:u w:val="thick"/>
        </w:rPr>
        <w:t>семейной</w:t>
      </w:r>
      <w:r>
        <w:rPr>
          <w:b/>
          <w:sz w:val="24"/>
        </w:rPr>
        <w:t> </w:t>
      </w:r>
      <w:r>
        <w:rPr>
          <w:b/>
          <w:spacing w:val="-2"/>
          <w:sz w:val="24"/>
          <w:u w:val="thick"/>
        </w:rPr>
        <w:t>гиперхолестеринемии</w:t>
      </w:r>
    </w:p>
    <w:p>
      <w:pPr>
        <w:spacing w:line="360" w:lineRule="auto" w:before="0"/>
        <w:ind w:left="1261" w:right="0" w:firstLine="0"/>
        <w:jc w:val="left"/>
        <w:rPr>
          <w:sz w:val="24"/>
        </w:rPr>
      </w:pPr>
      <w:r>
        <w:rPr>
          <w:b/>
          <w:sz w:val="24"/>
          <w:u w:val="thick"/>
        </w:rPr>
        <w:t>Название</w:t>
      </w:r>
      <w:r>
        <w:rPr>
          <w:b/>
          <w:spacing w:val="40"/>
          <w:sz w:val="24"/>
          <w:u w:val="thick"/>
        </w:rPr>
        <w:t> </w:t>
      </w:r>
      <w:r>
        <w:rPr>
          <w:b/>
          <w:sz w:val="24"/>
          <w:u w:val="thick"/>
        </w:rPr>
        <w:t>на</w:t>
      </w:r>
      <w:r>
        <w:rPr>
          <w:b/>
          <w:spacing w:val="40"/>
          <w:sz w:val="24"/>
          <w:u w:val="thick"/>
        </w:rPr>
        <w:t> </w:t>
      </w:r>
      <w:r>
        <w:rPr>
          <w:b/>
          <w:sz w:val="24"/>
          <w:u w:val="thick"/>
        </w:rPr>
        <w:t>русском</w:t>
      </w:r>
      <w:r>
        <w:rPr>
          <w:b/>
          <w:spacing w:val="40"/>
          <w:sz w:val="24"/>
          <w:u w:val="thick"/>
        </w:rPr>
        <w:t> </w:t>
      </w:r>
      <w:r>
        <w:rPr>
          <w:b/>
          <w:sz w:val="24"/>
          <w:u w:val="thick"/>
        </w:rPr>
        <w:t>языке:</w:t>
      </w:r>
      <w:r>
        <w:rPr>
          <w:b/>
          <w:spacing w:val="40"/>
          <w:sz w:val="24"/>
        </w:rPr>
        <w:t> </w:t>
      </w:r>
      <w:r>
        <w:rPr>
          <w:sz w:val="24"/>
        </w:rPr>
        <w:t>Голландские</w:t>
      </w:r>
      <w:r>
        <w:rPr>
          <w:spacing w:val="40"/>
          <w:sz w:val="24"/>
        </w:rPr>
        <w:t> </w:t>
      </w:r>
      <w:r>
        <w:rPr>
          <w:sz w:val="24"/>
        </w:rPr>
        <w:t>диагностические</w:t>
      </w:r>
      <w:r>
        <w:rPr>
          <w:spacing w:val="40"/>
          <w:sz w:val="24"/>
        </w:rPr>
        <w:t> </w:t>
      </w:r>
      <w:r>
        <w:rPr>
          <w:sz w:val="24"/>
        </w:rPr>
        <w:t>критерии</w:t>
      </w:r>
      <w:r>
        <w:rPr>
          <w:spacing w:val="40"/>
          <w:sz w:val="24"/>
        </w:rPr>
        <w:t> </w:t>
      </w:r>
      <w:r>
        <w:rPr>
          <w:sz w:val="24"/>
        </w:rPr>
        <w:t>гетерозиготной семейной гиперхолестеринемии</w:t>
      </w:r>
    </w:p>
    <w:p>
      <w:pPr>
        <w:spacing w:line="360" w:lineRule="auto" w:before="0"/>
        <w:ind w:left="1261" w:right="1440" w:firstLine="0"/>
        <w:jc w:val="left"/>
        <w:rPr>
          <w:sz w:val="24"/>
        </w:rPr>
      </w:pPr>
      <w:r>
        <w:rPr>
          <w:b/>
          <w:sz w:val="24"/>
          <w:u w:val="thick"/>
        </w:rPr>
        <w:t>Оригинальное название (если есть):</w:t>
      </w:r>
      <w:r>
        <w:rPr>
          <w:b/>
          <w:sz w:val="24"/>
        </w:rPr>
        <w:t> </w:t>
      </w:r>
      <w:r>
        <w:rPr>
          <w:sz w:val="24"/>
        </w:rPr>
        <w:t>Dutch Lipid Clinic Network criteria </w:t>
      </w:r>
      <w:r>
        <w:rPr>
          <w:b/>
          <w:sz w:val="24"/>
          <w:u w:val="thick"/>
        </w:rPr>
        <w:t>Источник</w:t>
      </w:r>
      <w:r>
        <w:rPr>
          <w:b/>
          <w:spacing w:val="-5"/>
          <w:sz w:val="24"/>
          <w:u w:val="thick"/>
        </w:rPr>
        <w:t> </w:t>
      </w:r>
      <w:r>
        <w:rPr>
          <w:b/>
          <w:sz w:val="24"/>
          <w:u w:val="thick"/>
        </w:rPr>
        <w:t>(официальный</w:t>
      </w:r>
      <w:r>
        <w:rPr>
          <w:b/>
          <w:spacing w:val="-5"/>
          <w:sz w:val="24"/>
          <w:u w:val="thick"/>
        </w:rPr>
        <w:t> </w:t>
      </w:r>
      <w:r>
        <w:rPr>
          <w:b/>
          <w:sz w:val="24"/>
          <w:u w:val="thick"/>
        </w:rPr>
        <w:t>сайт</w:t>
      </w:r>
      <w:r>
        <w:rPr>
          <w:b/>
          <w:spacing w:val="-5"/>
          <w:sz w:val="24"/>
          <w:u w:val="thick"/>
        </w:rPr>
        <w:t> </w:t>
      </w:r>
      <w:r>
        <w:rPr>
          <w:b/>
          <w:sz w:val="24"/>
          <w:u w:val="thick"/>
        </w:rPr>
        <w:t>разработчиков,</w:t>
      </w:r>
      <w:r>
        <w:rPr>
          <w:b/>
          <w:spacing w:val="-5"/>
          <w:sz w:val="24"/>
          <w:u w:val="thick"/>
        </w:rPr>
        <w:t> </w:t>
      </w:r>
      <w:r>
        <w:rPr>
          <w:b/>
          <w:sz w:val="24"/>
          <w:u w:val="thick"/>
        </w:rPr>
        <w:t>публикация</w:t>
      </w:r>
      <w:r>
        <w:rPr>
          <w:b/>
          <w:spacing w:val="-5"/>
          <w:sz w:val="24"/>
          <w:u w:val="thick"/>
        </w:rPr>
        <w:t> </w:t>
      </w:r>
      <w:r>
        <w:rPr>
          <w:b/>
          <w:sz w:val="24"/>
          <w:u w:val="thick"/>
        </w:rPr>
        <w:t>с</w:t>
      </w:r>
      <w:r>
        <w:rPr>
          <w:b/>
          <w:spacing w:val="-5"/>
          <w:sz w:val="24"/>
          <w:u w:val="thick"/>
        </w:rPr>
        <w:t> </w:t>
      </w:r>
      <w:r>
        <w:rPr>
          <w:b/>
          <w:sz w:val="24"/>
          <w:u w:val="thick"/>
        </w:rPr>
        <w:t>валидацией):</w:t>
      </w:r>
      <w:r>
        <w:rPr>
          <w:b/>
          <w:spacing w:val="-5"/>
          <w:sz w:val="24"/>
        </w:rPr>
        <w:t> </w:t>
      </w:r>
      <w:r>
        <w:rPr>
          <w:sz w:val="24"/>
        </w:rPr>
        <w:t>[</w:t>
      </w:r>
      <w:hyperlink w:history="true" w:anchor="_bookmark55">
        <w:r>
          <w:rPr>
            <w:sz w:val="24"/>
          </w:rPr>
          <w:t>9</w:t>
        </w:r>
      </w:hyperlink>
      <w:r>
        <w:rPr>
          <w:sz w:val="24"/>
        </w:rPr>
        <w:t>] </w:t>
      </w:r>
      <w:r>
        <w:rPr>
          <w:b/>
          <w:sz w:val="24"/>
          <w:u w:val="thick"/>
        </w:rPr>
        <w:t>Тип (подчеркнуть):</w:t>
      </w:r>
      <w:r>
        <w:rPr>
          <w:b/>
          <w:sz w:val="24"/>
        </w:rPr>
        <w:t> </w:t>
      </w:r>
      <w:r>
        <w:rPr>
          <w:sz w:val="24"/>
        </w:rPr>
        <w:t>шкала оценки</w:t>
      </w:r>
    </w:p>
    <w:p>
      <w:pPr>
        <w:pStyle w:val="BodyText"/>
        <w:tabs>
          <w:tab w:pos="3025" w:val="left" w:leader="none"/>
          <w:tab w:pos="4568" w:val="left" w:leader="none"/>
          <w:tab w:pos="6371" w:val="left" w:leader="none"/>
          <w:tab w:pos="7669" w:val="left" w:leader="none"/>
          <w:tab w:pos="9642" w:val="left" w:leader="none"/>
        </w:tabs>
        <w:spacing w:line="360" w:lineRule="auto"/>
        <w:ind w:left="1261" w:right="568"/>
      </w:pPr>
      <w:r>
        <w:rPr>
          <w:b/>
          <w:spacing w:val="-2"/>
          <w:u w:val="thick"/>
        </w:rPr>
        <w:t>Назначение:</w:t>
      </w:r>
      <w:r>
        <w:rPr>
          <w:b/>
        </w:rPr>
        <w:tab/>
      </w:r>
      <w:r>
        <w:rPr>
          <w:spacing w:val="-2"/>
        </w:rPr>
        <w:t>постановка</w:t>
      </w:r>
      <w:r>
        <w:rPr/>
        <w:tab/>
      </w:r>
      <w:r>
        <w:rPr>
          <w:spacing w:val="-2"/>
        </w:rPr>
        <w:t>клинического</w:t>
      </w:r>
      <w:r>
        <w:rPr/>
        <w:tab/>
      </w:r>
      <w:r>
        <w:rPr>
          <w:spacing w:val="-2"/>
        </w:rPr>
        <w:t>диагноза</w:t>
      </w:r>
      <w:r>
        <w:rPr/>
        <w:tab/>
      </w:r>
      <w:r>
        <w:rPr>
          <w:spacing w:val="-2"/>
        </w:rPr>
        <w:t>гетерозиготной</w:t>
      </w:r>
      <w:r>
        <w:rPr/>
        <w:tab/>
      </w:r>
      <w:r>
        <w:rPr>
          <w:spacing w:val="-2"/>
        </w:rPr>
        <w:t>семейной гиперхолестеринемии</w:t>
      </w:r>
    </w:p>
    <w:p>
      <w:pPr>
        <w:pStyle w:val="Heading3"/>
      </w:pPr>
      <w:r>
        <w:rPr>
          <w:u w:val="thick"/>
        </w:rPr>
        <w:t>Содержание</w:t>
      </w:r>
      <w:r>
        <w:rPr>
          <w:spacing w:val="-5"/>
          <w:u w:val="thick"/>
        </w:rPr>
        <w:t> </w:t>
      </w:r>
      <w:r>
        <w:rPr>
          <w:spacing w:val="-2"/>
          <w:u w:val="thick"/>
        </w:rPr>
        <w:t>(шаблон):</w:t>
      </w:r>
    </w:p>
    <w:p>
      <w:pPr>
        <w:pStyle w:val="BodyText"/>
        <w:ind w:left="0"/>
        <w:rPr>
          <w:b/>
          <w:sz w:val="20"/>
        </w:rPr>
      </w:pPr>
    </w:p>
    <w:p>
      <w:pPr>
        <w:pStyle w:val="BodyText"/>
        <w:spacing w:before="11"/>
        <w:ind w:left="0"/>
        <w:rPr>
          <w:b/>
          <w:sz w:val="27"/>
        </w:r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06"/>
        <w:gridCol w:w="1287"/>
      </w:tblGrid>
      <w:tr>
        <w:trPr>
          <w:trHeight w:val="414" w:hRule="atLeast"/>
        </w:trPr>
        <w:tc>
          <w:tcPr>
            <w:tcW w:w="7906" w:type="dxa"/>
          </w:tcPr>
          <w:p>
            <w:pPr>
              <w:pStyle w:val="TableParagraph"/>
              <w:spacing w:line="275" w:lineRule="exact"/>
              <w:rPr>
                <w:b/>
                <w:sz w:val="24"/>
              </w:rPr>
            </w:pPr>
            <w:r>
              <w:rPr>
                <w:b/>
                <w:spacing w:val="-2"/>
                <w:sz w:val="24"/>
              </w:rPr>
              <w:t>Критерий</w:t>
            </w:r>
          </w:p>
        </w:tc>
        <w:tc>
          <w:tcPr>
            <w:tcW w:w="1287" w:type="dxa"/>
          </w:tcPr>
          <w:p>
            <w:pPr>
              <w:pStyle w:val="TableParagraph"/>
              <w:spacing w:line="275" w:lineRule="exact"/>
              <w:rPr>
                <w:b/>
                <w:sz w:val="24"/>
              </w:rPr>
            </w:pPr>
            <w:r>
              <w:rPr>
                <w:b/>
                <w:spacing w:val="-2"/>
                <w:sz w:val="24"/>
              </w:rPr>
              <w:t>Баллы</w:t>
            </w:r>
          </w:p>
        </w:tc>
      </w:tr>
      <w:tr>
        <w:trPr>
          <w:trHeight w:val="414" w:hRule="atLeast"/>
        </w:trPr>
        <w:tc>
          <w:tcPr>
            <w:tcW w:w="9193" w:type="dxa"/>
            <w:gridSpan w:val="2"/>
          </w:tcPr>
          <w:p>
            <w:pPr>
              <w:pStyle w:val="TableParagraph"/>
              <w:spacing w:line="275" w:lineRule="exact"/>
              <w:rPr>
                <w:sz w:val="24"/>
              </w:rPr>
            </w:pPr>
            <w:r>
              <w:rPr>
                <w:sz w:val="24"/>
              </w:rPr>
              <w:t>1.</w:t>
            </w:r>
            <w:r>
              <w:rPr>
                <w:spacing w:val="-2"/>
                <w:sz w:val="24"/>
              </w:rPr>
              <w:t> </w:t>
            </w:r>
            <w:r>
              <w:rPr>
                <w:sz w:val="24"/>
              </w:rPr>
              <w:t>Наследственный</w:t>
            </w:r>
            <w:r>
              <w:rPr>
                <w:spacing w:val="-1"/>
                <w:sz w:val="24"/>
              </w:rPr>
              <w:t> </w:t>
            </w:r>
            <w:r>
              <w:rPr>
                <w:spacing w:val="-2"/>
                <w:sz w:val="24"/>
              </w:rPr>
              <w:t>анамнез</w:t>
            </w:r>
          </w:p>
        </w:tc>
      </w:tr>
      <w:tr>
        <w:trPr>
          <w:trHeight w:val="827" w:hRule="atLeast"/>
        </w:trPr>
        <w:tc>
          <w:tcPr>
            <w:tcW w:w="7906" w:type="dxa"/>
          </w:tcPr>
          <w:p>
            <w:pPr>
              <w:pStyle w:val="TableParagraph"/>
              <w:spacing w:line="275" w:lineRule="exact"/>
              <w:rPr>
                <w:sz w:val="24"/>
              </w:rPr>
            </w:pPr>
            <w:r>
              <w:rPr>
                <w:sz w:val="24"/>
              </w:rPr>
              <w:t>Раннее</w:t>
            </w:r>
            <w:r>
              <w:rPr>
                <w:spacing w:val="12"/>
                <w:sz w:val="24"/>
              </w:rPr>
              <w:t> </w:t>
            </w:r>
            <w:r>
              <w:rPr>
                <w:sz w:val="24"/>
              </w:rPr>
              <w:t>(у</w:t>
            </w:r>
            <w:r>
              <w:rPr>
                <w:spacing w:val="14"/>
                <w:sz w:val="24"/>
              </w:rPr>
              <w:t> </w:t>
            </w:r>
            <w:r>
              <w:rPr>
                <w:sz w:val="24"/>
              </w:rPr>
              <w:t>мужчин</w:t>
            </w:r>
            <w:r>
              <w:rPr>
                <w:spacing w:val="15"/>
                <w:sz w:val="24"/>
              </w:rPr>
              <w:t> </w:t>
            </w:r>
            <w:r>
              <w:rPr>
                <w:sz w:val="24"/>
              </w:rPr>
              <w:t>&lt;55</w:t>
            </w:r>
            <w:r>
              <w:rPr>
                <w:spacing w:val="16"/>
                <w:sz w:val="24"/>
              </w:rPr>
              <w:t> </w:t>
            </w:r>
            <w:r>
              <w:rPr>
                <w:sz w:val="24"/>
              </w:rPr>
              <w:t>лет;</w:t>
            </w:r>
            <w:r>
              <w:rPr>
                <w:spacing w:val="13"/>
                <w:sz w:val="24"/>
              </w:rPr>
              <w:t> </w:t>
            </w:r>
            <w:r>
              <w:rPr>
                <w:sz w:val="24"/>
              </w:rPr>
              <w:t>у</w:t>
            </w:r>
            <w:r>
              <w:rPr>
                <w:spacing w:val="14"/>
                <w:sz w:val="24"/>
              </w:rPr>
              <w:t> </w:t>
            </w:r>
            <w:r>
              <w:rPr>
                <w:sz w:val="24"/>
              </w:rPr>
              <w:t>женщин</w:t>
            </w:r>
            <w:r>
              <w:rPr>
                <w:spacing w:val="15"/>
                <w:sz w:val="24"/>
              </w:rPr>
              <w:t> </w:t>
            </w:r>
            <w:r>
              <w:rPr>
                <w:sz w:val="24"/>
              </w:rPr>
              <w:t>&lt;60</w:t>
            </w:r>
            <w:r>
              <w:rPr>
                <w:spacing w:val="14"/>
                <w:sz w:val="24"/>
              </w:rPr>
              <w:t> </w:t>
            </w:r>
            <w:r>
              <w:rPr>
                <w:sz w:val="24"/>
              </w:rPr>
              <w:t>лет)</w:t>
            </w:r>
            <w:r>
              <w:rPr>
                <w:spacing w:val="15"/>
                <w:sz w:val="24"/>
              </w:rPr>
              <w:t> </w:t>
            </w:r>
            <w:r>
              <w:rPr>
                <w:sz w:val="24"/>
              </w:rPr>
              <w:t>развитие</w:t>
            </w:r>
            <w:r>
              <w:rPr>
                <w:spacing w:val="13"/>
                <w:sz w:val="24"/>
              </w:rPr>
              <w:t> </w:t>
            </w:r>
            <w:r>
              <w:rPr>
                <w:sz w:val="24"/>
              </w:rPr>
              <w:t>ССЗ</w:t>
            </w:r>
            <w:r>
              <w:rPr>
                <w:spacing w:val="14"/>
                <w:sz w:val="24"/>
              </w:rPr>
              <w:t> </w:t>
            </w:r>
            <w:r>
              <w:rPr>
                <w:sz w:val="24"/>
              </w:rPr>
              <w:t>или</w:t>
            </w:r>
            <w:r>
              <w:rPr>
                <w:spacing w:val="15"/>
                <w:sz w:val="24"/>
              </w:rPr>
              <w:t> </w:t>
            </w:r>
            <w:r>
              <w:rPr>
                <w:spacing w:val="-2"/>
                <w:sz w:val="24"/>
              </w:rPr>
              <w:t>уровень</w:t>
            </w:r>
          </w:p>
          <w:p>
            <w:pPr>
              <w:pStyle w:val="TableParagraph"/>
              <w:spacing w:before="137"/>
              <w:rPr>
                <w:sz w:val="24"/>
              </w:rPr>
            </w:pPr>
            <w:r>
              <w:rPr>
                <w:sz w:val="24"/>
              </w:rPr>
              <w:t>ХС</w:t>
            </w:r>
            <w:r>
              <w:rPr>
                <w:spacing w:val="-4"/>
                <w:sz w:val="24"/>
              </w:rPr>
              <w:t> </w:t>
            </w:r>
            <w:r>
              <w:rPr>
                <w:sz w:val="24"/>
              </w:rPr>
              <w:t>ЛНП</w:t>
            </w:r>
            <w:r>
              <w:rPr>
                <w:spacing w:val="-3"/>
                <w:sz w:val="24"/>
              </w:rPr>
              <w:t> </w:t>
            </w:r>
            <w:r>
              <w:rPr>
                <w:sz w:val="24"/>
              </w:rPr>
              <w:t>выше</w:t>
            </w:r>
            <w:r>
              <w:rPr>
                <w:spacing w:val="-2"/>
                <w:sz w:val="24"/>
              </w:rPr>
              <w:t> </w:t>
            </w:r>
            <w:r>
              <w:rPr>
                <w:sz w:val="24"/>
              </w:rPr>
              <w:t>95-й</w:t>
            </w:r>
            <w:r>
              <w:rPr>
                <w:spacing w:val="-1"/>
                <w:sz w:val="24"/>
              </w:rPr>
              <w:t> </w:t>
            </w:r>
            <w:r>
              <w:rPr>
                <w:sz w:val="24"/>
              </w:rPr>
              <w:t>процентили у</w:t>
            </w:r>
            <w:r>
              <w:rPr>
                <w:spacing w:val="-2"/>
                <w:sz w:val="24"/>
              </w:rPr>
              <w:t> </w:t>
            </w:r>
            <w:r>
              <w:rPr>
                <w:sz w:val="24"/>
              </w:rPr>
              <w:t>ближайшего</w:t>
            </w:r>
            <w:r>
              <w:rPr>
                <w:spacing w:val="-2"/>
                <w:sz w:val="24"/>
              </w:rPr>
              <w:t> родственника</w:t>
            </w:r>
          </w:p>
        </w:tc>
        <w:tc>
          <w:tcPr>
            <w:tcW w:w="1287" w:type="dxa"/>
          </w:tcPr>
          <w:p>
            <w:pPr>
              <w:pStyle w:val="TableParagraph"/>
              <w:spacing w:line="275" w:lineRule="exact"/>
              <w:rPr>
                <w:sz w:val="24"/>
              </w:rPr>
            </w:pPr>
            <w:r>
              <w:rPr>
                <w:sz w:val="24"/>
              </w:rPr>
              <w:t>1</w:t>
            </w:r>
          </w:p>
        </w:tc>
      </w:tr>
      <w:tr>
        <w:trPr>
          <w:trHeight w:val="827" w:hRule="atLeast"/>
        </w:trPr>
        <w:tc>
          <w:tcPr>
            <w:tcW w:w="7906" w:type="dxa"/>
          </w:tcPr>
          <w:p>
            <w:pPr>
              <w:pStyle w:val="TableParagraph"/>
              <w:spacing w:line="275" w:lineRule="exact"/>
              <w:rPr>
                <w:sz w:val="24"/>
              </w:rPr>
            </w:pPr>
            <w:r>
              <w:rPr>
                <w:sz w:val="24"/>
              </w:rPr>
              <w:t>Наличие</w:t>
            </w:r>
            <w:r>
              <w:rPr>
                <w:spacing w:val="19"/>
                <w:sz w:val="24"/>
              </w:rPr>
              <w:t> </w:t>
            </w:r>
            <w:r>
              <w:rPr>
                <w:sz w:val="24"/>
              </w:rPr>
              <w:t>сухожильных</w:t>
            </w:r>
            <w:r>
              <w:rPr>
                <w:spacing w:val="20"/>
                <w:sz w:val="24"/>
              </w:rPr>
              <w:t> </w:t>
            </w:r>
            <w:r>
              <w:rPr>
                <w:sz w:val="24"/>
              </w:rPr>
              <w:t>ксантом</w:t>
            </w:r>
            <w:r>
              <w:rPr>
                <w:spacing w:val="19"/>
                <w:sz w:val="24"/>
              </w:rPr>
              <w:t> </w:t>
            </w:r>
            <w:r>
              <w:rPr>
                <w:sz w:val="24"/>
              </w:rPr>
              <w:t>у</w:t>
            </w:r>
            <w:r>
              <w:rPr>
                <w:spacing w:val="21"/>
                <w:sz w:val="24"/>
              </w:rPr>
              <w:t> </w:t>
            </w:r>
            <w:r>
              <w:rPr>
                <w:sz w:val="24"/>
              </w:rPr>
              <w:t>ближайшего</w:t>
            </w:r>
            <w:r>
              <w:rPr>
                <w:spacing w:val="20"/>
                <w:sz w:val="24"/>
              </w:rPr>
              <w:t> </w:t>
            </w:r>
            <w:r>
              <w:rPr>
                <w:sz w:val="24"/>
              </w:rPr>
              <w:t>родственника</w:t>
            </w:r>
            <w:r>
              <w:rPr>
                <w:spacing w:val="19"/>
                <w:sz w:val="24"/>
              </w:rPr>
              <w:t> </w:t>
            </w:r>
            <w:r>
              <w:rPr>
                <w:sz w:val="24"/>
              </w:rPr>
              <w:t>или</w:t>
            </w:r>
            <w:r>
              <w:rPr>
                <w:spacing w:val="22"/>
                <w:sz w:val="24"/>
              </w:rPr>
              <w:t> </w:t>
            </w:r>
            <w:r>
              <w:rPr>
                <w:spacing w:val="-2"/>
                <w:sz w:val="24"/>
              </w:rPr>
              <w:t>уровень</w:t>
            </w:r>
          </w:p>
          <w:p>
            <w:pPr>
              <w:pStyle w:val="TableParagraph"/>
              <w:spacing w:before="137"/>
              <w:rPr>
                <w:sz w:val="24"/>
              </w:rPr>
            </w:pPr>
            <w:r>
              <w:rPr>
                <w:sz w:val="24"/>
              </w:rPr>
              <w:t>ХС</w:t>
            </w:r>
            <w:r>
              <w:rPr>
                <w:spacing w:val="-2"/>
                <w:sz w:val="24"/>
              </w:rPr>
              <w:t> </w:t>
            </w:r>
            <w:r>
              <w:rPr>
                <w:sz w:val="24"/>
              </w:rPr>
              <w:t>ЛНП</w:t>
            </w:r>
            <w:r>
              <w:rPr>
                <w:spacing w:val="-2"/>
                <w:sz w:val="24"/>
              </w:rPr>
              <w:t> </w:t>
            </w:r>
            <w:r>
              <w:rPr>
                <w:sz w:val="24"/>
              </w:rPr>
              <w:t>выше</w:t>
            </w:r>
            <w:r>
              <w:rPr>
                <w:spacing w:val="-3"/>
                <w:sz w:val="24"/>
              </w:rPr>
              <w:t> </w:t>
            </w:r>
            <w:r>
              <w:rPr>
                <w:sz w:val="24"/>
              </w:rPr>
              <w:t>95-й процентили</w:t>
            </w:r>
            <w:r>
              <w:rPr>
                <w:spacing w:val="-1"/>
                <w:sz w:val="24"/>
              </w:rPr>
              <w:t> </w:t>
            </w:r>
            <w:r>
              <w:rPr>
                <w:sz w:val="24"/>
              </w:rPr>
              <w:t>у</w:t>
            </w:r>
            <w:r>
              <w:rPr>
                <w:spacing w:val="-1"/>
                <w:sz w:val="24"/>
              </w:rPr>
              <w:t> </w:t>
            </w:r>
            <w:r>
              <w:rPr>
                <w:sz w:val="24"/>
              </w:rPr>
              <w:t>детей</w:t>
            </w:r>
            <w:r>
              <w:rPr>
                <w:spacing w:val="-1"/>
                <w:sz w:val="24"/>
              </w:rPr>
              <w:t> </w:t>
            </w:r>
            <w:r>
              <w:rPr>
                <w:sz w:val="24"/>
              </w:rPr>
              <w:t>младше</w:t>
            </w:r>
            <w:r>
              <w:rPr>
                <w:spacing w:val="-2"/>
                <w:sz w:val="24"/>
              </w:rPr>
              <w:t> </w:t>
            </w:r>
            <w:r>
              <w:rPr>
                <w:sz w:val="24"/>
              </w:rPr>
              <w:t>18</w:t>
            </w:r>
            <w:r>
              <w:rPr>
                <w:spacing w:val="-1"/>
                <w:sz w:val="24"/>
              </w:rPr>
              <w:t> </w:t>
            </w:r>
            <w:r>
              <w:rPr>
                <w:spacing w:val="-5"/>
                <w:sz w:val="24"/>
              </w:rPr>
              <w:t>лет</w:t>
            </w:r>
          </w:p>
        </w:tc>
        <w:tc>
          <w:tcPr>
            <w:tcW w:w="1287" w:type="dxa"/>
          </w:tcPr>
          <w:p>
            <w:pPr>
              <w:pStyle w:val="TableParagraph"/>
              <w:spacing w:line="275" w:lineRule="exact"/>
              <w:rPr>
                <w:sz w:val="24"/>
              </w:rPr>
            </w:pPr>
            <w:r>
              <w:rPr>
                <w:sz w:val="24"/>
              </w:rPr>
              <w:t>2</w:t>
            </w:r>
          </w:p>
        </w:tc>
      </w:tr>
      <w:tr>
        <w:trPr>
          <w:trHeight w:val="412" w:hRule="atLeast"/>
        </w:trPr>
        <w:tc>
          <w:tcPr>
            <w:tcW w:w="7906" w:type="dxa"/>
          </w:tcPr>
          <w:p>
            <w:pPr>
              <w:pStyle w:val="TableParagraph"/>
              <w:spacing w:line="275" w:lineRule="exact"/>
              <w:rPr>
                <w:sz w:val="24"/>
              </w:rPr>
            </w:pPr>
            <w:r>
              <w:rPr>
                <w:sz w:val="24"/>
              </w:rPr>
              <w:t>2.</w:t>
            </w:r>
            <w:r>
              <w:rPr>
                <w:spacing w:val="-2"/>
                <w:sz w:val="24"/>
              </w:rPr>
              <w:t> </w:t>
            </w:r>
            <w:r>
              <w:rPr>
                <w:sz w:val="24"/>
              </w:rPr>
              <w:t>Персональный </w:t>
            </w:r>
            <w:r>
              <w:rPr>
                <w:spacing w:val="-2"/>
                <w:sz w:val="24"/>
              </w:rPr>
              <w:t>анамнез</w:t>
            </w:r>
          </w:p>
        </w:tc>
        <w:tc>
          <w:tcPr>
            <w:tcW w:w="1287" w:type="dxa"/>
          </w:tcPr>
          <w:p>
            <w:pPr>
              <w:pStyle w:val="TableParagraph"/>
              <w:ind w:left="0"/>
              <w:rPr>
                <w:sz w:val="24"/>
              </w:rPr>
            </w:pPr>
          </w:p>
        </w:tc>
      </w:tr>
      <w:tr>
        <w:trPr>
          <w:trHeight w:val="414" w:hRule="atLeast"/>
        </w:trPr>
        <w:tc>
          <w:tcPr>
            <w:tcW w:w="7906" w:type="dxa"/>
          </w:tcPr>
          <w:p>
            <w:pPr>
              <w:pStyle w:val="TableParagraph"/>
              <w:spacing w:before="1"/>
              <w:rPr>
                <w:sz w:val="24"/>
              </w:rPr>
            </w:pPr>
            <w:r>
              <w:rPr>
                <w:sz w:val="24"/>
              </w:rPr>
              <w:t>Раннее</w:t>
            </w:r>
            <w:r>
              <w:rPr>
                <w:spacing w:val="-2"/>
                <w:sz w:val="24"/>
              </w:rPr>
              <w:t> </w:t>
            </w:r>
            <w:r>
              <w:rPr>
                <w:sz w:val="24"/>
              </w:rPr>
              <w:t>развитие</w:t>
            </w:r>
            <w:r>
              <w:rPr>
                <w:spacing w:val="-2"/>
                <w:sz w:val="24"/>
              </w:rPr>
              <w:t> </w:t>
            </w:r>
            <w:r>
              <w:rPr>
                <w:sz w:val="24"/>
              </w:rPr>
              <w:t>ССЗ</w:t>
            </w:r>
            <w:r>
              <w:rPr>
                <w:spacing w:val="-2"/>
                <w:sz w:val="24"/>
              </w:rPr>
              <w:t> </w:t>
            </w:r>
            <w:r>
              <w:rPr>
                <w:sz w:val="24"/>
              </w:rPr>
              <w:t>(у мужчин &lt;55</w:t>
            </w:r>
            <w:r>
              <w:rPr>
                <w:spacing w:val="-1"/>
                <w:sz w:val="24"/>
              </w:rPr>
              <w:t> </w:t>
            </w:r>
            <w:r>
              <w:rPr>
                <w:sz w:val="24"/>
              </w:rPr>
              <w:t>лет; у</w:t>
            </w:r>
            <w:r>
              <w:rPr>
                <w:spacing w:val="-1"/>
                <w:sz w:val="24"/>
              </w:rPr>
              <w:t> </w:t>
            </w:r>
            <w:r>
              <w:rPr>
                <w:sz w:val="24"/>
              </w:rPr>
              <w:t>женщин &lt;60 </w:t>
            </w:r>
            <w:r>
              <w:rPr>
                <w:spacing w:val="-4"/>
                <w:sz w:val="24"/>
              </w:rPr>
              <w:t>лет)</w:t>
            </w:r>
          </w:p>
        </w:tc>
        <w:tc>
          <w:tcPr>
            <w:tcW w:w="1287" w:type="dxa"/>
          </w:tcPr>
          <w:p>
            <w:pPr>
              <w:pStyle w:val="TableParagraph"/>
              <w:spacing w:before="1"/>
              <w:rPr>
                <w:sz w:val="24"/>
              </w:rPr>
            </w:pPr>
            <w:r>
              <w:rPr>
                <w:sz w:val="24"/>
              </w:rPr>
              <w:t>2</w:t>
            </w:r>
          </w:p>
        </w:tc>
      </w:tr>
      <w:tr>
        <w:trPr>
          <w:trHeight w:val="1242" w:hRule="atLeast"/>
        </w:trPr>
        <w:tc>
          <w:tcPr>
            <w:tcW w:w="7906" w:type="dxa"/>
          </w:tcPr>
          <w:p>
            <w:pPr>
              <w:pStyle w:val="TableParagraph"/>
              <w:tabs>
                <w:tab w:pos="1715" w:val="left" w:leader="none"/>
                <w:tab w:pos="3515" w:val="left" w:leader="none"/>
                <w:tab w:pos="6684" w:val="left" w:leader="none"/>
              </w:tabs>
              <w:spacing w:line="275" w:lineRule="exact"/>
              <w:rPr>
                <w:sz w:val="24"/>
              </w:rPr>
            </w:pPr>
            <w:r>
              <w:rPr>
                <w:spacing w:val="-2"/>
                <w:sz w:val="24"/>
              </w:rPr>
              <w:t>Раннее</w:t>
            </w:r>
            <w:r>
              <w:rPr>
                <w:sz w:val="24"/>
              </w:rPr>
              <w:tab/>
            </w:r>
            <w:r>
              <w:rPr>
                <w:spacing w:val="-2"/>
                <w:sz w:val="24"/>
              </w:rPr>
              <w:t>развитие</w:t>
            </w:r>
            <w:r>
              <w:rPr>
                <w:sz w:val="24"/>
              </w:rPr>
              <w:tab/>
            </w:r>
            <w:r>
              <w:rPr>
                <w:spacing w:val="-2"/>
                <w:sz w:val="24"/>
              </w:rPr>
              <w:t>атеросклеротического</w:t>
            </w:r>
            <w:r>
              <w:rPr>
                <w:sz w:val="24"/>
              </w:rPr>
              <w:tab/>
            </w:r>
            <w:r>
              <w:rPr>
                <w:spacing w:val="-2"/>
                <w:sz w:val="24"/>
              </w:rPr>
              <w:t>поражения</w:t>
            </w:r>
          </w:p>
          <w:p>
            <w:pPr>
              <w:pStyle w:val="TableParagraph"/>
              <w:spacing w:line="410" w:lineRule="atLeast" w:before="5"/>
              <w:rPr>
                <w:sz w:val="24"/>
              </w:rPr>
            </w:pPr>
            <w:r>
              <w:rPr>
                <w:sz w:val="24"/>
              </w:rPr>
              <w:t>церебральных/периферических артерий (у мужчин &lt;55 лет; у женщин &lt;60 </w:t>
            </w:r>
            <w:r>
              <w:rPr>
                <w:spacing w:val="-4"/>
                <w:sz w:val="24"/>
              </w:rPr>
              <w:t>лет)</w:t>
            </w:r>
          </w:p>
        </w:tc>
        <w:tc>
          <w:tcPr>
            <w:tcW w:w="1287" w:type="dxa"/>
          </w:tcPr>
          <w:p>
            <w:pPr>
              <w:pStyle w:val="TableParagraph"/>
              <w:spacing w:line="275" w:lineRule="exact"/>
              <w:rPr>
                <w:sz w:val="24"/>
              </w:rPr>
            </w:pPr>
            <w:r>
              <w:rPr>
                <w:sz w:val="24"/>
              </w:rPr>
              <w:t>1</w:t>
            </w:r>
          </w:p>
        </w:tc>
      </w:tr>
      <w:tr>
        <w:trPr>
          <w:trHeight w:val="412" w:hRule="atLeast"/>
        </w:trPr>
        <w:tc>
          <w:tcPr>
            <w:tcW w:w="9193" w:type="dxa"/>
            <w:gridSpan w:val="2"/>
          </w:tcPr>
          <w:p>
            <w:pPr>
              <w:pStyle w:val="TableParagraph"/>
              <w:spacing w:line="275" w:lineRule="exact"/>
              <w:rPr>
                <w:sz w:val="24"/>
              </w:rPr>
            </w:pPr>
            <w:r>
              <w:rPr>
                <w:sz w:val="24"/>
              </w:rPr>
              <w:t>3. Физикальное </w:t>
            </w:r>
            <w:r>
              <w:rPr>
                <w:spacing w:val="-2"/>
                <w:sz w:val="24"/>
              </w:rPr>
              <w:t>обследование*</w:t>
            </w:r>
          </w:p>
        </w:tc>
      </w:tr>
      <w:tr>
        <w:trPr>
          <w:trHeight w:val="414" w:hRule="atLeast"/>
        </w:trPr>
        <w:tc>
          <w:tcPr>
            <w:tcW w:w="7906" w:type="dxa"/>
          </w:tcPr>
          <w:p>
            <w:pPr>
              <w:pStyle w:val="TableParagraph"/>
              <w:spacing w:before="1"/>
              <w:rPr>
                <w:sz w:val="24"/>
              </w:rPr>
            </w:pPr>
            <w:r>
              <w:rPr>
                <w:sz w:val="24"/>
              </w:rPr>
              <w:t>Сухожильные</w:t>
            </w:r>
            <w:r>
              <w:rPr>
                <w:spacing w:val="-3"/>
                <w:sz w:val="24"/>
              </w:rPr>
              <w:t> </w:t>
            </w:r>
            <w:r>
              <w:rPr>
                <w:spacing w:val="-2"/>
                <w:sz w:val="24"/>
              </w:rPr>
              <w:t>ксантомы</w:t>
            </w:r>
          </w:p>
        </w:tc>
        <w:tc>
          <w:tcPr>
            <w:tcW w:w="1287" w:type="dxa"/>
          </w:tcPr>
          <w:p>
            <w:pPr>
              <w:pStyle w:val="TableParagraph"/>
              <w:spacing w:before="1"/>
              <w:rPr>
                <w:sz w:val="24"/>
              </w:rPr>
            </w:pPr>
            <w:r>
              <w:rPr>
                <w:sz w:val="24"/>
              </w:rPr>
              <w:t>6</w:t>
            </w:r>
          </w:p>
        </w:tc>
      </w:tr>
      <w:tr>
        <w:trPr>
          <w:trHeight w:val="414" w:hRule="atLeast"/>
        </w:trPr>
        <w:tc>
          <w:tcPr>
            <w:tcW w:w="7906" w:type="dxa"/>
          </w:tcPr>
          <w:p>
            <w:pPr>
              <w:pStyle w:val="TableParagraph"/>
              <w:spacing w:line="275" w:lineRule="exact"/>
              <w:rPr>
                <w:sz w:val="24"/>
              </w:rPr>
            </w:pPr>
            <w:r>
              <w:rPr>
                <w:sz w:val="24"/>
              </w:rPr>
              <w:t>Липидная</w:t>
            </w:r>
            <w:r>
              <w:rPr>
                <w:spacing w:val="-3"/>
                <w:sz w:val="24"/>
              </w:rPr>
              <w:t> </w:t>
            </w:r>
            <w:r>
              <w:rPr>
                <w:sz w:val="24"/>
              </w:rPr>
              <w:t>дуга</w:t>
            </w:r>
            <w:r>
              <w:rPr>
                <w:spacing w:val="-2"/>
                <w:sz w:val="24"/>
              </w:rPr>
              <w:t> </w:t>
            </w:r>
            <w:r>
              <w:rPr>
                <w:sz w:val="24"/>
              </w:rPr>
              <w:t>роговицы</w:t>
            </w:r>
            <w:r>
              <w:rPr>
                <w:spacing w:val="-2"/>
                <w:sz w:val="24"/>
              </w:rPr>
              <w:t> </w:t>
            </w:r>
            <w:r>
              <w:rPr>
                <w:sz w:val="24"/>
              </w:rPr>
              <w:t>&lt;45 </w:t>
            </w:r>
            <w:r>
              <w:rPr>
                <w:spacing w:val="-5"/>
                <w:sz w:val="24"/>
              </w:rPr>
              <w:t>лет</w:t>
            </w:r>
          </w:p>
        </w:tc>
        <w:tc>
          <w:tcPr>
            <w:tcW w:w="1287" w:type="dxa"/>
          </w:tcPr>
          <w:p>
            <w:pPr>
              <w:pStyle w:val="TableParagraph"/>
              <w:spacing w:line="275" w:lineRule="exact"/>
              <w:rPr>
                <w:sz w:val="24"/>
              </w:rPr>
            </w:pPr>
            <w:r>
              <w:rPr>
                <w:sz w:val="24"/>
              </w:rPr>
              <w:t>4</w:t>
            </w:r>
          </w:p>
        </w:tc>
      </w:tr>
      <w:tr>
        <w:trPr>
          <w:trHeight w:val="412" w:hRule="atLeast"/>
        </w:trPr>
        <w:tc>
          <w:tcPr>
            <w:tcW w:w="9193" w:type="dxa"/>
            <w:gridSpan w:val="2"/>
          </w:tcPr>
          <w:p>
            <w:pPr>
              <w:pStyle w:val="TableParagraph"/>
              <w:spacing w:line="275" w:lineRule="exact"/>
              <w:rPr>
                <w:sz w:val="24"/>
              </w:rPr>
            </w:pPr>
            <w:r>
              <w:rPr>
                <w:sz w:val="24"/>
              </w:rPr>
              <w:t>4.</w:t>
            </w:r>
            <w:r>
              <w:rPr>
                <w:spacing w:val="-1"/>
                <w:sz w:val="24"/>
              </w:rPr>
              <w:t> </w:t>
            </w:r>
            <w:r>
              <w:rPr>
                <w:sz w:val="24"/>
              </w:rPr>
              <w:t>Уровень</w:t>
            </w:r>
            <w:r>
              <w:rPr>
                <w:spacing w:val="-1"/>
                <w:sz w:val="24"/>
              </w:rPr>
              <w:t> </w:t>
            </w:r>
            <w:r>
              <w:rPr>
                <w:sz w:val="24"/>
              </w:rPr>
              <w:t>ХС </w:t>
            </w:r>
            <w:r>
              <w:rPr>
                <w:spacing w:val="-5"/>
                <w:sz w:val="24"/>
              </w:rPr>
              <w:t>ЛНП</w:t>
            </w:r>
          </w:p>
        </w:tc>
      </w:tr>
      <w:tr>
        <w:trPr>
          <w:trHeight w:val="414" w:hRule="atLeast"/>
        </w:trPr>
        <w:tc>
          <w:tcPr>
            <w:tcW w:w="7906" w:type="dxa"/>
          </w:tcPr>
          <w:p>
            <w:pPr>
              <w:pStyle w:val="TableParagraph"/>
              <w:spacing w:line="275" w:lineRule="exact"/>
              <w:rPr>
                <w:sz w:val="24"/>
              </w:rPr>
            </w:pPr>
            <w:r>
              <w:rPr>
                <w:sz w:val="24"/>
              </w:rPr>
              <w:t>&gt;</w:t>
            </w:r>
            <w:r>
              <w:rPr>
                <w:spacing w:val="-1"/>
                <w:sz w:val="24"/>
              </w:rPr>
              <w:t> </w:t>
            </w:r>
            <w:r>
              <w:rPr>
                <w:sz w:val="24"/>
              </w:rPr>
              <w:t>8,5 </w:t>
            </w:r>
            <w:r>
              <w:rPr>
                <w:spacing w:val="-2"/>
                <w:sz w:val="24"/>
              </w:rPr>
              <w:t>ммоль/л</w:t>
            </w:r>
          </w:p>
        </w:tc>
        <w:tc>
          <w:tcPr>
            <w:tcW w:w="1287" w:type="dxa"/>
          </w:tcPr>
          <w:p>
            <w:pPr>
              <w:pStyle w:val="TableParagraph"/>
              <w:spacing w:line="275" w:lineRule="exact"/>
              <w:rPr>
                <w:sz w:val="24"/>
              </w:rPr>
            </w:pPr>
            <w:r>
              <w:rPr>
                <w:sz w:val="24"/>
              </w:rPr>
              <w:t>8</w:t>
            </w:r>
          </w:p>
        </w:tc>
      </w:tr>
      <w:tr>
        <w:trPr>
          <w:trHeight w:val="414" w:hRule="atLeast"/>
        </w:trPr>
        <w:tc>
          <w:tcPr>
            <w:tcW w:w="7906" w:type="dxa"/>
          </w:tcPr>
          <w:p>
            <w:pPr>
              <w:pStyle w:val="TableParagraph"/>
              <w:spacing w:line="275" w:lineRule="exact"/>
              <w:rPr>
                <w:sz w:val="24"/>
              </w:rPr>
            </w:pPr>
            <w:r>
              <w:rPr>
                <w:sz w:val="24"/>
              </w:rPr>
              <w:t>6,5–8,4 </w:t>
            </w:r>
            <w:r>
              <w:rPr>
                <w:spacing w:val="-2"/>
                <w:sz w:val="24"/>
              </w:rPr>
              <w:t>ммоль/л</w:t>
            </w:r>
          </w:p>
        </w:tc>
        <w:tc>
          <w:tcPr>
            <w:tcW w:w="1287" w:type="dxa"/>
          </w:tcPr>
          <w:p>
            <w:pPr>
              <w:pStyle w:val="TableParagraph"/>
              <w:spacing w:line="275" w:lineRule="exact"/>
              <w:rPr>
                <w:sz w:val="24"/>
              </w:rPr>
            </w:pPr>
            <w:r>
              <w:rPr>
                <w:sz w:val="24"/>
              </w:rPr>
              <w:t>5</w:t>
            </w:r>
          </w:p>
        </w:tc>
      </w:tr>
      <w:tr>
        <w:trPr>
          <w:trHeight w:val="412" w:hRule="atLeast"/>
        </w:trPr>
        <w:tc>
          <w:tcPr>
            <w:tcW w:w="7906" w:type="dxa"/>
          </w:tcPr>
          <w:p>
            <w:pPr>
              <w:pStyle w:val="TableParagraph"/>
              <w:spacing w:line="275" w:lineRule="exact"/>
              <w:rPr>
                <w:sz w:val="24"/>
              </w:rPr>
            </w:pPr>
            <w:r>
              <w:rPr>
                <w:sz w:val="24"/>
              </w:rPr>
              <w:t>4,9–6,4 </w:t>
            </w:r>
            <w:r>
              <w:rPr>
                <w:spacing w:val="-2"/>
                <w:sz w:val="24"/>
              </w:rPr>
              <w:t>ммоль/л</w:t>
            </w:r>
          </w:p>
        </w:tc>
        <w:tc>
          <w:tcPr>
            <w:tcW w:w="1287" w:type="dxa"/>
          </w:tcPr>
          <w:p>
            <w:pPr>
              <w:pStyle w:val="TableParagraph"/>
              <w:spacing w:line="275" w:lineRule="exact"/>
              <w:rPr>
                <w:sz w:val="24"/>
              </w:rPr>
            </w:pPr>
            <w:r>
              <w:rPr>
                <w:sz w:val="24"/>
              </w:rPr>
              <w:t>3</w:t>
            </w:r>
          </w:p>
        </w:tc>
      </w:tr>
      <w:tr>
        <w:trPr>
          <w:trHeight w:val="414" w:hRule="atLeast"/>
        </w:trPr>
        <w:tc>
          <w:tcPr>
            <w:tcW w:w="7906" w:type="dxa"/>
          </w:tcPr>
          <w:p>
            <w:pPr>
              <w:pStyle w:val="TableParagraph"/>
              <w:spacing w:line="275" w:lineRule="exact"/>
              <w:rPr>
                <w:sz w:val="24"/>
              </w:rPr>
            </w:pPr>
            <w:r>
              <w:rPr>
                <w:sz w:val="24"/>
              </w:rPr>
              <w:t>4,0–4,8 </w:t>
            </w:r>
            <w:r>
              <w:rPr>
                <w:spacing w:val="-2"/>
                <w:sz w:val="24"/>
              </w:rPr>
              <w:t>ммоль/л</w:t>
            </w:r>
          </w:p>
        </w:tc>
        <w:tc>
          <w:tcPr>
            <w:tcW w:w="1287" w:type="dxa"/>
          </w:tcPr>
          <w:p>
            <w:pPr>
              <w:pStyle w:val="TableParagraph"/>
              <w:spacing w:line="275" w:lineRule="exact"/>
              <w:rPr>
                <w:sz w:val="24"/>
              </w:rPr>
            </w:pPr>
            <w:r>
              <w:rPr>
                <w:sz w:val="24"/>
              </w:rPr>
              <w:t>1</w:t>
            </w:r>
          </w:p>
        </w:tc>
      </w:tr>
    </w:tbl>
    <w:p>
      <w:pPr>
        <w:spacing w:after="0" w:line="275" w:lineRule="exact"/>
        <w:rPr>
          <w:sz w:val="24"/>
        </w:rPr>
        <w:sectPr>
          <w:pgSz w:w="11910" w:h="16840"/>
          <w:pgMar w:header="0" w:footer="710" w:top="1320" w:bottom="1320" w:left="440" w:right="280"/>
        </w:sectPr>
      </w:pPr>
    </w:p>
    <w:tbl>
      <w:tblPr>
        <w:tblW w:w="0" w:type="auto"/>
        <w:jc w:val="left"/>
        <w:tblInd w:w="11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7906"/>
        <w:gridCol w:w="1287"/>
      </w:tblGrid>
      <w:tr>
        <w:trPr>
          <w:trHeight w:val="414" w:hRule="atLeast"/>
        </w:trPr>
        <w:tc>
          <w:tcPr>
            <w:tcW w:w="9193" w:type="dxa"/>
            <w:gridSpan w:val="2"/>
          </w:tcPr>
          <w:p>
            <w:pPr>
              <w:pStyle w:val="TableParagraph"/>
              <w:spacing w:before="1"/>
              <w:rPr>
                <w:sz w:val="24"/>
              </w:rPr>
            </w:pPr>
            <w:r>
              <w:rPr>
                <w:sz w:val="24"/>
              </w:rPr>
              <w:t>5. Анализ</w:t>
            </w:r>
            <w:r>
              <w:rPr>
                <w:spacing w:val="1"/>
                <w:sz w:val="24"/>
              </w:rPr>
              <w:t> </w:t>
            </w:r>
            <w:r>
              <w:rPr>
                <w:spacing w:val="-5"/>
                <w:sz w:val="24"/>
              </w:rPr>
              <w:t>ДНК</w:t>
            </w:r>
          </w:p>
        </w:tc>
      </w:tr>
      <w:tr>
        <w:trPr>
          <w:trHeight w:val="414" w:hRule="atLeast"/>
        </w:trPr>
        <w:tc>
          <w:tcPr>
            <w:tcW w:w="7906" w:type="dxa"/>
          </w:tcPr>
          <w:p>
            <w:pPr>
              <w:pStyle w:val="TableParagraph"/>
              <w:spacing w:line="275" w:lineRule="exact"/>
              <w:rPr>
                <w:i/>
                <w:sz w:val="24"/>
              </w:rPr>
            </w:pPr>
            <w:r>
              <w:rPr>
                <w:sz w:val="24"/>
              </w:rPr>
              <w:t>Функциональная</w:t>
            </w:r>
            <w:r>
              <w:rPr>
                <w:spacing w:val="-4"/>
                <w:sz w:val="24"/>
              </w:rPr>
              <w:t> </w:t>
            </w:r>
            <w:r>
              <w:rPr>
                <w:sz w:val="24"/>
              </w:rPr>
              <w:t>мутация</w:t>
            </w:r>
            <w:r>
              <w:rPr>
                <w:spacing w:val="-3"/>
                <w:sz w:val="24"/>
              </w:rPr>
              <w:t> </w:t>
            </w:r>
            <w:r>
              <w:rPr>
                <w:sz w:val="24"/>
              </w:rPr>
              <w:t>генов</w:t>
            </w:r>
            <w:r>
              <w:rPr>
                <w:spacing w:val="-2"/>
                <w:sz w:val="24"/>
              </w:rPr>
              <w:t> </w:t>
            </w:r>
            <w:r>
              <w:rPr>
                <w:i/>
                <w:sz w:val="24"/>
              </w:rPr>
              <w:t>LDLR,</w:t>
            </w:r>
            <w:r>
              <w:rPr>
                <w:i/>
                <w:spacing w:val="-2"/>
                <w:sz w:val="24"/>
              </w:rPr>
              <w:t> </w:t>
            </w:r>
            <w:r>
              <w:rPr>
                <w:i/>
                <w:sz w:val="24"/>
              </w:rPr>
              <w:t>APOB</w:t>
            </w:r>
            <w:r>
              <w:rPr>
                <w:i/>
                <w:spacing w:val="-3"/>
                <w:sz w:val="24"/>
              </w:rPr>
              <w:t> </w:t>
            </w:r>
            <w:r>
              <w:rPr>
                <w:sz w:val="24"/>
              </w:rPr>
              <w:t>или</w:t>
            </w:r>
            <w:r>
              <w:rPr>
                <w:spacing w:val="-1"/>
                <w:sz w:val="24"/>
              </w:rPr>
              <w:t> </w:t>
            </w:r>
            <w:r>
              <w:rPr>
                <w:i/>
                <w:spacing w:val="-2"/>
                <w:sz w:val="24"/>
              </w:rPr>
              <w:t>PCSK9</w:t>
            </w:r>
          </w:p>
        </w:tc>
        <w:tc>
          <w:tcPr>
            <w:tcW w:w="1287" w:type="dxa"/>
          </w:tcPr>
          <w:p>
            <w:pPr>
              <w:pStyle w:val="TableParagraph"/>
              <w:spacing w:line="275" w:lineRule="exact"/>
              <w:rPr>
                <w:sz w:val="24"/>
              </w:rPr>
            </w:pPr>
            <w:r>
              <w:rPr>
                <w:sz w:val="24"/>
              </w:rPr>
              <w:t>8</w:t>
            </w:r>
          </w:p>
        </w:tc>
      </w:tr>
      <w:tr>
        <w:trPr>
          <w:trHeight w:val="1655" w:hRule="atLeast"/>
        </w:trPr>
        <w:tc>
          <w:tcPr>
            <w:tcW w:w="7906" w:type="dxa"/>
          </w:tcPr>
          <w:p>
            <w:pPr>
              <w:pStyle w:val="TableParagraph"/>
              <w:ind w:left="0"/>
              <w:rPr>
                <w:sz w:val="22"/>
              </w:rPr>
            </w:pPr>
          </w:p>
        </w:tc>
        <w:tc>
          <w:tcPr>
            <w:tcW w:w="1287" w:type="dxa"/>
          </w:tcPr>
          <w:p>
            <w:pPr>
              <w:pStyle w:val="TableParagraph"/>
              <w:ind w:left="0"/>
              <w:rPr>
                <w:sz w:val="22"/>
              </w:rPr>
            </w:pPr>
          </w:p>
        </w:tc>
      </w:tr>
    </w:tbl>
    <w:p>
      <w:pPr>
        <w:pStyle w:val="BodyText"/>
        <w:spacing w:line="360" w:lineRule="auto" w:before="15"/>
        <w:ind w:left="1261" w:right="567"/>
        <w:jc w:val="both"/>
      </w:pPr>
      <w:r>
        <w:rPr>
          <w:b/>
        </w:rPr>
        <w:t>* </w:t>
      </w:r>
      <w:r>
        <w:rPr/>
        <w:t>исключают друг друга (т. е. максимум 6 баллов). ССЗ — сердечно-сосудистое заболевание, ХС ЛНП — холестерин липопротеидов низкой плотности, СГХС —</w:t>
      </w:r>
      <w:r>
        <w:rPr>
          <w:spacing w:val="40"/>
        </w:rPr>
        <w:t> </w:t>
      </w:r>
      <w:r>
        <w:rPr/>
        <w:t>семейная гиперхолестеринемия.</w:t>
      </w:r>
    </w:p>
    <w:p>
      <w:pPr>
        <w:pStyle w:val="BodyText"/>
        <w:spacing w:line="360" w:lineRule="auto" w:before="1"/>
        <w:ind w:left="1261" w:right="569"/>
        <w:jc w:val="both"/>
      </w:pPr>
      <w:r>
        <w:rPr>
          <w:b/>
          <w:u w:val="thick"/>
        </w:rPr>
        <w:t>Ключ (интерпретация):</w:t>
      </w:r>
      <w:r>
        <w:rPr>
          <w:b/>
        </w:rPr>
        <w:t> </w:t>
      </w:r>
      <w:r>
        <w:rPr/>
        <w:t>Диагноз ставится на основании суммы баллов: «определенная» СГХС</w:t>
      </w:r>
      <w:r>
        <w:rPr>
          <w:spacing w:val="48"/>
          <w:w w:val="150"/>
        </w:rPr>
        <w:t> </w:t>
      </w:r>
      <w:r>
        <w:rPr/>
        <w:t>—</w:t>
      </w:r>
      <w:r>
        <w:rPr>
          <w:spacing w:val="50"/>
          <w:w w:val="150"/>
        </w:rPr>
        <w:t> </w:t>
      </w:r>
      <w:r>
        <w:rPr/>
        <w:t>&gt;8</w:t>
      </w:r>
      <w:r>
        <w:rPr>
          <w:spacing w:val="50"/>
          <w:w w:val="150"/>
        </w:rPr>
        <w:t> </w:t>
      </w:r>
      <w:r>
        <w:rPr/>
        <w:t>баллов,</w:t>
      </w:r>
      <w:r>
        <w:rPr>
          <w:spacing w:val="50"/>
          <w:w w:val="150"/>
        </w:rPr>
        <w:t> </w:t>
      </w:r>
      <w:r>
        <w:rPr/>
        <w:t>«предположительная»</w:t>
      </w:r>
      <w:r>
        <w:rPr>
          <w:spacing w:val="78"/>
        </w:rPr>
        <w:t> </w:t>
      </w:r>
      <w:r>
        <w:rPr/>
        <w:t>ИЛИ</w:t>
      </w:r>
      <w:r>
        <w:rPr>
          <w:spacing w:val="50"/>
          <w:w w:val="150"/>
        </w:rPr>
        <w:t> </w:t>
      </w:r>
      <w:r>
        <w:rPr/>
        <w:t>«вероятная»</w:t>
      </w:r>
      <w:r>
        <w:rPr>
          <w:spacing w:val="50"/>
          <w:w w:val="150"/>
        </w:rPr>
        <w:t> </w:t>
      </w:r>
      <w:r>
        <w:rPr/>
        <w:t>СГХС</w:t>
      </w:r>
      <w:r>
        <w:rPr>
          <w:spacing w:val="51"/>
          <w:w w:val="150"/>
        </w:rPr>
        <w:t> </w:t>
      </w:r>
      <w:r>
        <w:rPr/>
        <w:t>—</w:t>
      </w:r>
      <w:r>
        <w:rPr>
          <w:spacing w:val="50"/>
          <w:w w:val="150"/>
        </w:rPr>
        <w:t> </w:t>
      </w:r>
      <w:r>
        <w:rPr/>
        <w:t>6–8</w:t>
      </w:r>
      <w:r>
        <w:rPr>
          <w:spacing w:val="80"/>
        </w:rPr>
        <w:t> </w:t>
      </w:r>
      <w:r>
        <w:rPr>
          <w:spacing w:val="-2"/>
        </w:rPr>
        <w:t>баллов,</w:t>
      </w:r>
    </w:p>
    <w:p>
      <w:pPr>
        <w:pStyle w:val="BodyText"/>
        <w:ind w:left="1261"/>
        <w:jc w:val="both"/>
      </w:pPr>
      <w:r>
        <w:rPr/>
        <w:t>«возможная»</w:t>
      </w:r>
      <w:r>
        <w:rPr>
          <w:spacing w:val="-3"/>
        </w:rPr>
        <w:t> </w:t>
      </w:r>
      <w:r>
        <w:rPr/>
        <w:t>СГХС</w:t>
      </w:r>
      <w:r>
        <w:rPr>
          <w:spacing w:val="-1"/>
        </w:rPr>
        <w:t> </w:t>
      </w:r>
      <w:r>
        <w:rPr/>
        <w:t>—</w:t>
      </w:r>
      <w:r>
        <w:rPr>
          <w:spacing w:val="-3"/>
        </w:rPr>
        <w:t> </w:t>
      </w:r>
      <w:r>
        <w:rPr/>
        <w:t>3–5</w:t>
      </w:r>
      <w:r>
        <w:rPr>
          <w:spacing w:val="-1"/>
        </w:rPr>
        <w:t> </w:t>
      </w:r>
      <w:r>
        <w:rPr/>
        <w:t>баллов,</w:t>
      </w:r>
      <w:r>
        <w:rPr>
          <w:spacing w:val="-1"/>
        </w:rPr>
        <w:t> </w:t>
      </w:r>
      <w:r>
        <w:rPr/>
        <w:t>«маловероятная» СГХС</w:t>
      </w:r>
      <w:r>
        <w:rPr>
          <w:spacing w:val="-1"/>
        </w:rPr>
        <w:t> </w:t>
      </w:r>
      <w:r>
        <w:rPr/>
        <w:t>—</w:t>
      </w:r>
      <w:r>
        <w:rPr>
          <w:spacing w:val="-1"/>
        </w:rPr>
        <w:t> </w:t>
      </w:r>
      <w:r>
        <w:rPr/>
        <w:t>0–2 </w:t>
      </w:r>
      <w:r>
        <w:rPr>
          <w:spacing w:val="-2"/>
        </w:rPr>
        <w:t>баллов.</w:t>
      </w:r>
    </w:p>
    <w:p>
      <w:pPr>
        <w:pStyle w:val="BodyText"/>
        <w:ind w:left="0"/>
        <w:rPr>
          <w:sz w:val="26"/>
        </w:rPr>
      </w:pPr>
    </w:p>
    <w:p>
      <w:pPr>
        <w:pStyle w:val="BodyText"/>
        <w:ind w:left="0"/>
        <w:rPr>
          <w:sz w:val="31"/>
        </w:rPr>
      </w:pPr>
    </w:p>
    <w:p>
      <w:pPr>
        <w:pStyle w:val="Heading3"/>
        <w:spacing w:line="276" w:lineRule="auto"/>
      </w:pPr>
      <w:r>
        <w:rPr/>
        <w:t>Таблица</w:t>
      </w:r>
      <w:r>
        <w:rPr>
          <w:spacing w:val="-3"/>
        </w:rPr>
        <w:t> </w:t>
      </w:r>
      <w:r>
        <w:rPr/>
        <w:t>Г2.</w:t>
      </w:r>
      <w:r>
        <w:rPr>
          <w:spacing w:val="-3"/>
        </w:rPr>
        <w:t> </w:t>
      </w:r>
      <w:r>
        <w:rPr/>
        <w:t>Шкала</w:t>
      </w:r>
      <w:r>
        <w:rPr>
          <w:spacing w:val="-3"/>
        </w:rPr>
        <w:t> </w:t>
      </w:r>
      <w:r>
        <w:rPr/>
        <w:t>SCORE2</w:t>
      </w:r>
      <w:r>
        <w:rPr>
          <w:spacing w:val="-3"/>
        </w:rPr>
        <w:t> </w:t>
      </w:r>
      <w:r>
        <w:rPr/>
        <w:t>расчета</w:t>
      </w:r>
      <w:r>
        <w:rPr>
          <w:spacing w:val="-3"/>
        </w:rPr>
        <w:t> </w:t>
      </w:r>
      <w:r>
        <w:rPr/>
        <w:t>нефатальных</w:t>
      </w:r>
      <w:r>
        <w:rPr>
          <w:spacing w:val="-3"/>
        </w:rPr>
        <w:t> </w:t>
      </w:r>
      <w:r>
        <w:rPr/>
        <w:t>СС</w:t>
      </w:r>
      <w:r>
        <w:rPr>
          <w:spacing w:val="-4"/>
        </w:rPr>
        <w:t> </w:t>
      </w:r>
      <w:r>
        <w:rPr/>
        <w:t>осложнений</w:t>
      </w:r>
      <w:r>
        <w:rPr>
          <w:spacing w:val="-3"/>
        </w:rPr>
        <w:t> </w:t>
      </w:r>
      <w:r>
        <w:rPr/>
        <w:t>для</w:t>
      </w:r>
      <w:r>
        <w:rPr>
          <w:spacing w:val="-4"/>
        </w:rPr>
        <w:t> </w:t>
      </w:r>
      <w:r>
        <w:rPr/>
        <w:t>стран</w:t>
      </w:r>
      <w:r>
        <w:rPr>
          <w:spacing w:val="-3"/>
        </w:rPr>
        <w:t> </w:t>
      </w:r>
      <w:r>
        <w:rPr/>
        <w:t>очень высокого риска.</w:t>
      </w:r>
    </w:p>
    <w:p>
      <w:pPr>
        <w:spacing w:before="198"/>
        <w:ind w:left="1261" w:right="0" w:firstLine="0"/>
        <w:jc w:val="left"/>
        <w:rPr>
          <w:sz w:val="24"/>
        </w:rPr>
      </w:pPr>
      <w:r>
        <w:rPr>
          <w:b/>
          <w:sz w:val="24"/>
          <w:u w:val="thick"/>
        </w:rPr>
        <w:t>Название</w:t>
      </w:r>
      <w:r>
        <w:rPr>
          <w:b/>
          <w:spacing w:val="-5"/>
          <w:sz w:val="24"/>
          <w:u w:val="thick"/>
        </w:rPr>
        <w:t> </w:t>
      </w:r>
      <w:r>
        <w:rPr>
          <w:b/>
          <w:sz w:val="24"/>
          <w:u w:val="thick"/>
        </w:rPr>
        <w:t>на</w:t>
      </w:r>
      <w:r>
        <w:rPr>
          <w:b/>
          <w:spacing w:val="-1"/>
          <w:sz w:val="24"/>
          <w:u w:val="thick"/>
        </w:rPr>
        <w:t> </w:t>
      </w:r>
      <w:r>
        <w:rPr>
          <w:b/>
          <w:sz w:val="24"/>
          <w:u w:val="thick"/>
        </w:rPr>
        <w:t>русском</w:t>
      </w:r>
      <w:r>
        <w:rPr>
          <w:b/>
          <w:spacing w:val="-5"/>
          <w:sz w:val="24"/>
          <w:u w:val="thick"/>
        </w:rPr>
        <w:t> </w:t>
      </w:r>
      <w:r>
        <w:rPr>
          <w:b/>
          <w:sz w:val="24"/>
          <w:u w:val="thick"/>
        </w:rPr>
        <w:t>языке:</w:t>
      </w:r>
      <w:r>
        <w:rPr>
          <w:b/>
          <w:spacing w:val="-7"/>
          <w:sz w:val="24"/>
        </w:rPr>
        <w:t> </w:t>
      </w:r>
      <w:r>
        <w:rPr>
          <w:sz w:val="24"/>
        </w:rPr>
        <w:t>Шкала</w:t>
      </w:r>
      <w:r>
        <w:rPr>
          <w:spacing w:val="-2"/>
          <w:sz w:val="24"/>
        </w:rPr>
        <w:t> SCORE2</w:t>
      </w:r>
    </w:p>
    <w:p>
      <w:pPr>
        <w:tabs>
          <w:tab w:pos="2612" w:val="left" w:leader="none"/>
          <w:tab w:pos="4508" w:val="left" w:leader="none"/>
          <w:tab w:pos="5259" w:val="left" w:leader="none"/>
          <w:tab w:pos="7211" w:val="left" w:leader="none"/>
          <w:tab w:pos="8795" w:val="left" w:leader="none"/>
          <w:tab w:pos="9169" w:val="left" w:leader="none"/>
        </w:tabs>
        <w:spacing w:line="360" w:lineRule="auto" w:before="139"/>
        <w:ind w:left="1261" w:right="567" w:firstLine="0"/>
        <w:jc w:val="left"/>
        <w:rPr>
          <w:sz w:val="24"/>
        </w:rPr>
      </w:pPr>
      <w:r>
        <w:rPr>
          <w:b/>
          <w:sz w:val="24"/>
          <w:u w:val="thick"/>
        </w:rPr>
        <w:t>Оригинальное название (если есть):</w:t>
      </w:r>
      <w:r>
        <w:rPr>
          <w:b/>
          <w:sz w:val="24"/>
        </w:rPr>
        <w:t> </w:t>
      </w:r>
      <w:r>
        <w:rPr>
          <w:sz w:val="24"/>
        </w:rPr>
        <w:t>Systematic COronary Risk Evaluation model </w:t>
      </w:r>
      <w:r>
        <w:rPr>
          <w:b/>
          <w:spacing w:val="-2"/>
          <w:sz w:val="24"/>
          <w:u w:val="thick"/>
        </w:rPr>
        <w:t>Источник</w:t>
      </w:r>
      <w:r>
        <w:rPr>
          <w:b/>
          <w:sz w:val="24"/>
          <w:u w:val="thick"/>
        </w:rPr>
        <w:tab/>
      </w:r>
      <w:r>
        <w:rPr>
          <w:b/>
          <w:spacing w:val="-2"/>
          <w:sz w:val="24"/>
          <w:u w:val="thick"/>
        </w:rPr>
        <w:t>(официальный</w:t>
      </w:r>
      <w:r>
        <w:rPr>
          <w:b/>
          <w:sz w:val="24"/>
          <w:u w:val="thick"/>
        </w:rPr>
        <w:tab/>
      </w:r>
      <w:r>
        <w:rPr>
          <w:b/>
          <w:spacing w:val="-4"/>
          <w:sz w:val="24"/>
          <w:u w:val="thick"/>
        </w:rPr>
        <w:t>сайт</w:t>
      </w:r>
      <w:r>
        <w:rPr>
          <w:b/>
          <w:sz w:val="24"/>
          <w:u w:val="thick"/>
        </w:rPr>
        <w:tab/>
      </w:r>
      <w:r>
        <w:rPr>
          <w:b/>
          <w:spacing w:val="-2"/>
          <w:sz w:val="24"/>
          <w:u w:val="thick"/>
        </w:rPr>
        <w:t>разработчиков,</w:t>
      </w:r>
      <w:r>
        <w:rPr>
          <w:b/>
          <w:sz w:val="24"/>
          <w:u w:val="thick"/>
        </w:rPr>
        <w:tab/>
      </w:r>
      <w:r>
        <w:rPr>
          <w:b/>
          <w:spacing w:val="-2"/>
          <w:sz w:val="24"/>
          <w:u w:val="thick"/>
        </w:rPr>
        <w:t>публикация</w:t>
      </w:r>
      <w:r>
        <w:rPr>
          <w:b/>
          <w:sz w:val="24"/>
          <w:u w:val="thick"/>
        </w:rPr>
        <w:tab/>
      </w:r>
      <w:r>
        <w:rPr>
          <w:b/>
          <w:spacing w:val="-10"/>
          <w:sz w:val="24"/>
          <w:u w:val="thick"/>
        </w:rPr>
        <w:t>с</w:t>
      </w:r>
      <w:r>
        <w:rPr>
          <w:b/>
          <w:sz w:val="24"/>
          <w:u w:val="thick"/>
        </w:rPr>
        <w:tab/>
      </w:r>
      <w:r>
        <w:rPr>
          <w:b/>
          <w:spacing w:val="-2"/>
          <w:sz w:val="24"/>
          <w:u w:val="thick"/>
        </w:rPr>
        <w:t>валидацией):</w:t>
      </w:r>
      <w:r>
        <w:rPr>
          <w:b/>
          <w:spacing w:val="-2"/>
          <w:sz w:val="24"/>
        </w:rPr>
        <w:t> </w:t>
      </w:r>
      <w:r>
        <w:rPr>
          <w:b/>
          <w:sz w:val="24"/>
        </w:rPr>
        <w:t>escardio.org. </w:t>
      </w:r>
      <w:r>
        <w:rPr>
          <w:sz w:val="24"/>
        </w:rPr>
        <w:t>[</w:t>
      </w:r>
      <w:hyperlink w:history="true" w:anchor="_bookmark284">
        <w:r>
          <w:rPr>
            <w:sz w:val="24"/>
          </w:rPr>
          <w:t>244</w:t>
        </w:r>
      </w:hyperlink>
      <w:r>
        <w:rPr>
          <w:sz w:val="24"/>
        </w:rPr>
        <w:t>]</w:t>
      </w:r>
    </w:p>
    <w:p>
      <w:pPr>
        <w:spacing w:line="275" w:lineRule="exact" w:before="0"/>
        <w:ind w:left="1261" w:right="0" w:firstLine="0"/>
        <w:jc w:val="left"/>
        <w:rPr>
          <w:sz w:val="24"/>
        </w:rPr>
      </w:pPr>
      <w:r>
        <w:rPr>
          <w:b/>
          <w:sz w:val="24"/>
          <w:u w:val="thick"/>
        </w:rPr>
        <w:t>Тип</w:t>
      </w:r>
      <w:r>
        <w:rPr>
          <w:b/>
          <w:spacing w:val="-3"/>
          <w:sz w:val="24"/>
          <w:u w:val="thick"/>
        </w:rPr>
        <w:t> </w:t>
      </w:r>
      <w:r>
        <w:rPr>
          <w:b/>
          <w:sz w:val="24"/>
          <w:u w:val="thick"/>
        </w:rPr>
        <w:t>(подчеркнуть):</w:t>
      </w:r>
      <w:r>
        <w:rPr>
          <w:b/>
          <w:spacing w:val="-4"/>
          <w:sz w:val="24"/>
        </w:rPr>
        <w:t> </w:t>
      </w:r>
      <w:r>
        <w:rPr>
          <w:sz w:val="24"/>
        </w:rPr>
        <w:t>шкала</w:t>
      </w:r>
      <w:r>
        <w:rPr>
          <w:spacing w:val="-3"/>
          <w:sz w:val="24"/>
        </w:rPr>
        <w:t> </w:t>
      </w:r>
      <w:r>
        <w:rPr>
          <w:spacing w:val="-2"/>
          <w:sz w:val="24"/>
        </w:rPr>
        <w:t>оценки</w:t>
      </w:r>
    </w:p>
    <w:p>
      <w:pPr>
        <w:pStyle w:val="BodyText"/>
        <w:ind w:left="1261"/>
      </w:pPr>
      <w:r>
        <w:rPr>
          <w:b/>
          <w:u w:val="thick"/>
        </w:rPr>
        <w:t>Назначение:</w:t>
      </w:r>
      <w:r>
        <w:rPr>
          <w:b/>
          <w:spacing w:val="-10"/>
        </w:rPr>
        <w:t> </w:t>
      </w:r>
      <w:r>
        <w:rPr/>
        <w:t>расчет</w:t>
      </w:r>
      <w:r>
        <w:rPr>
          <w:spacing w:val="-3"/>
        </w:rPr>
        <w:t> </w:t>
      </w:r>
      <w:r>
        <w:rPr/>
        <w:t>риска</w:t>
      </w:r>
      <w:r>
        <w:rPr>
          <w:spacing w:val="-3"/>
        </w:rPr>
        <w:t> </w:t>
      </w:r>
      <w:r>
        <w:rPr/>
        <w:t>нефатальных</w:t>
      </w:r>
      <w:r>
        <w:rPr>
          <w:spacing w:val="-3"/>
        </w:rPr>
        <w:t> </w:t>
      </w:r>
      <w:r>
        <w:rPr/>
        <w:t>сердечно-сосудистых</w:t>
      </w:r>
      <w:r>
        <w:rPr>
          <w:spacing w:val="-2"/>
        </w:rPr>
        <w:t> осложнений</w:t>
      </w:r>
    </w:p>
    <w:p>
      <w:pPr>
        <w:spacing w:before="140"/>
        <w:ind w:left="1261" w:right="0" w:firstLine="0"/>
        <w:jc w:val="left"/>
        <w:rPr>
          <w:b/>
          <w:sz w:val="24"/>
        </w:rPr>
      </w:pPr>
      <w:r>
        <w:rPr>
          <w:b/>
          <w:sz w:val="24"/>
          <w:u w:val="thick"/>
        </w:rPr>
        <w:t>Содержание</w:t>
      </w:r>
      <w:r>
        <w:rPr>
          <w:b/>
          <w:spacing w:val="-4"/>
          <w:sz w:val="24"/>
          <w:u w:val="thick"/>
        </w:rPr>
        <w:t> </w:t>
      </w:r>
      <w:r>
        <w:rPr>
          <w:b/>
          <w:sz w:val="24"/>
          <w:u w:val="thick"/>
        </w:rPr>
        <w:t>(шаблон)</w:t>
      </w:r>
      <w:r>
        <w:rPr>
          <w:b/>
          <w:spacing w:val="-1"/>
          <w:sz w:val="24"/>
          <w:u w:val="thick"/>
        </w:rPr>
        <w:t> </w:t>
      </w:r>
      <w:r>
        <w:rPr>
          <w:b/>
          <w:sz w:val="24"/>
          <w:u w:val="thick"/>
        </w:rPr>
        <w:t>и</w:t>
      </w:r>
      <w:r>
        <w:rPr>
          <w:b/>
          <w:spacing w:val="-2"/>
          <w:sz w:val="24"/>
          <w:u w:val="thick"/>
        </w:rPr>
        <w:t> интерпретация:</w:t>
      </w:r>
    </w:p>
    <w:p>
      <w:pPr>
        <w:spacing w:after="0"/>
        <w:jc w:val="left"/>
        <w:rPr>
          <w:sz w:val="24"/>
        </w:rPr>
        <w:sectPr>
          <w:type w:val="continuous"/>
          <w:pgSz w:w="11910" w:h="16840"/>
          <w:pgMar w:header="0" w:footer="710" w:top="1100" w:bottom="900" w:left="440" w:right="280"/>
        </w:sectPr>
      </w:pPr>
    </w:p>
    <w:p>
      <w:pPr>
        <w:spacing w:before="73"/>
        <w:ind w:left="1261" w:right="0" w:firstLine="0"/>
        <w:jc w:val="left"/>
        <w:rPr>
          <w:b/>
          <w:sz w:val="24"/>
        </w:rPr>
      </w:pPr>
      <w:r>
        <w:rPr>
          <w:b/>
          <w:sz w:val="24"/>
        </w:rPr>
        <w:t>SCORE2</w:t>
      </w:r>
      <w:r>
        <w:rPr>
          <w:b/>
          <w:spacing w:val="-5"/>
          <w:sz w:val="24"/>
        </w:rPr>
        <w:t> </w:t>
      </w:r>
      <w:r>
        <w:rPr>
          <w:b/>
          <w:sz w:val="24"/>
        </w:rPr>
        <w:t>для</w:t>
      </w:r>
      <w:r>
        <w:rPr>
          <w:b/>
          <w:spacing w:val="-3"/>
          <w:sz w:val="24"/>
        </w:rPr>
        <w:t> </w:t>
      </w:r>
      <w:r>
        <w:rPr>
          <w:b/>
          <w:sz w:val="24"/>
        </w:rPr>
        <w:t>пожилых</w:t>
      </w:r>
      <w:r>
        <w:rPr>
          <w:b/>
          <w:spacing w:val="-2"/>
          <w:sz w:val="24"/>
        </w:rPr>
        <w:t> </w:t>
      </w:r>
      <w:r>
        <w:rPr>
          <w:b/>
          <w:sz w:val="24"/>
        </w:rPr>
        <w:t>лиц</w:t>
      </w:r>
      <w:r>
        <w:rPr>
          <w:b/>
          <w:spacing w:val="-2"/>
          <w:sz w:val="24"/>
        </w:rPr>
        <w:t> </w:t>
      </w:r>
      <w:r>
        <w:rPr>
          <w:b/>
          <w:sz w:val="24"/>
        </w:rPr>
        <w:t>70–89</w:t>
      </w:r>
      <w:r>
        <w:rPr>
          <w:b/>
          <w:spacing w:val="-2"/>
          <w:sz w:val="24"/>
        </w:rPr>
        <w:t> </w:t>
      </w:r>
      <w:r>
        <w:rPr>
          <w:b/>
          <w:sz w:val="24"/>
        </w:rPr>
        <w:t>лет</w:t>
      </w:r>
      <w:r>
        <w:rPr>
          <w:b/>
          <w:spacing w:val="-3"/>
          <w:sz w:val="24"/>
        </w:rPr>
        <w:t> </w:t>
      </w:r>
      <w:r>
        <w:rPr>
          <w:b/>
          <w:sz w:val="24"/>
        </w:rPr>
        <w:t>в</w:t>
      </w:r>
      <w:r>
        <w:rPr>
          <w:b/>
          <w:spacing w:val="-3"/>
          <w:sz w:val="24"/>
        </w:rPr>
        <w:t> </w:t>
      </w:r>
      <w:r>
        <w:rPr>
          <w:b/>
          <w:sz w:val="24"/>
        </w:rPr>
        <w:t>популяции</w:t>
      </w:r>
      <w:r>
        <w:rPr>
          <w:b/>
          <w:spacing w:val="-2"/>
          <w:sz w:val="24"/>
        </w:rPr>
        <w:t> </w:t>
      </w:r>
      <w:r>
        <w:rPr>
          <w:b/>
          <w:sz w:val="24"/>
        </w:rPr>
        <w:t>очень</w:t>
      </w:r>
      <w:r>
        <w:rPr>
          <w:b/>
          <w:spacing w:val="-2"/>
          <w:sz w:val="24"/>
        </w:rPr>
        <w:t> </w:t>
      </w:r>
      <w:r>
        <w:rPr>
          <w:b/>
          <w:sz w:val="24"/>
        </w:rPr>
        <w:t>высокого</w:t>
      </w:r>
      <w:r>
        <w:rPr>
          <w:b/>
          <w:spacing w:val="-2"/>
          <w:sz w:val="24"/>
        </w:rPr>
        <w:t> риска</w:t>
      </w:r>
    </w:p>
    <w:p>
      <w:pPr>
        <w:pStyle w:val="BodyText"/>
        <w:spacing w:before="1"/>
        <w:ind w:left="0"/>
        <w:rPr>
          <w:b/>
          <w:sz w:val="19"/>
        </w:rPr>
      </w:pPr>
      <w:r>
        <w:rPr/>
        <w:drawing>
          <wp:anchor distT="0" distB="0" distL="0" distR="0" allowOverlap="1" layoutInCell="1" locked="0" behindDoc="0" simplePos="0" relativeHeight="7">
            <wp:simplePos x="0" y="0"/>
            <wp:positionH relativeFrom="page">
              <wp:posOffset>1080135</wp:posOffset>
            </wp:positionH>
            <wp:positionV relativeFrom="paragraph">
              <wp:posOffset>154936</wp:posOffset>
            </wp:positionV>
            <wp:extent cx="6301932" cy="3252216"/>
            <wp:effectExtent l="0" t="0" r="0" b="0"/>
            <wp:wrapTopAndBottom/>
            <wp:docPr id="5" name="image3.png"/>
            <wp:cNvGraphicFramePr>
              <a:graphicFrameLocks noChangeAspect="1"/>
            </wp:cNvGraphicFramePr>
            <a:graphic>
              <a:graphicData uri="http://schemas.openxmlformats.org/drawingml/2006/picture">
                <pic:pic>
                  <pic:nvPicPr>
                    <pic:cNvPr id="6" name="image3.png"/>
                    <pic:cNvPicPr/>
                  </pic:nvPicPr>
                  <pic:blipFill>
                    <a:blip r:embed="rId12" cstate="print"/>
                    <a:stretch>
                      <a:fillRect/>
                    </a:stretch>
                  </pic:blipFill>
                  <pic:spPr>
                    <a:xfrm>
                      <a:off x="0" y="0"/>
                      <a:ext cx="6301932" cy="3252216"/>
                    </a:xfrm>
                    <a:prstGeom prst="rect">
                      <a:avLst/>
                    </a:prstGeom>
                  </pic:spPr>
                </pic:pic>
              </a:graphicData>
            </a:graphic>
          </wp:anchor>
        </w:drawing>
      </w:r>
    </w:p>
    <w:p>
      <w:pPr>
        <w:spacing w:before="188"/>
        <w:ind w:left="1261" w:right="0" w:firstLine="0"/>
        <w:jc w:val="left"/>
        <w:rPr>
          <w:b/>
          <w:sz w:val="24"/>
        </w:rPr>
      </w:pPr>
      <w:r>
        <w:rPr>
          <w:b/>
          <w:sz w:val="24"/>
        </w:rPr>
        <w:t>SCORE2</w:t>
      </w:r>
      <w:r>
        <w:rPr>
          <w:b/>
          <w:spacing w:val="-2"/>
          <w:sz w:val="24"/>
        </w:rPr>
        <w:t> </w:t>
      </w:r>
      <w:r>
        <w:rPr>
          <w:b/>
          <w:sz w:val="24"/>
        </w:rPr>
        <w:t>для</w:t>
      </w:r>
      <w:r>
        <w:rPr>
          <w:b/>
          <w:spacing w:val="-3"/>
          <w:sz w:val="24"/>
        </w:rPr>
        <w:t> </w:t>
      </w:r>
      <w:r>
        <w:rPr>
          <w:b/>
          <w:sz w:val="24"/>
        </w:rPr>
        <w:t>лиц</w:t>
      </w:r>
      <w:r>
        <w:rPr>
          <w:b/>
          <w:spacing w:val="-2"/>
          <w:sz w:val="24"/>
        </w:rPr>
        <w:t> </w:t>
      </w:r>
      <w:r>
        <w:rPr>
          <w:b/>
          <w:sz w:val="24"/>
        </w:rPr>
        <w:t>40–69</w:t>
      </w:r>
      <w:r>
        <w:rPr>
          <w:b/>
          <w:spacing w:val="-2"/>
          <w:sz w:val="24"/>
        </w:rPr>
        <w:t> </w:t>
      </w:r>
      <w:r>
        <w:rPr>
          <w:b/>
          <w:sz w:val="24"/>
        </w:rPr>
        <w:t>лет</w:t>
      </w:r>
      <w:r>
        <w:rPr>
          <w:b/>
          <w:spacing w:val="-2"/>
          <w:sz w:val="24"/>
        </w:rPr>
        <w:t> </w:t>
      </w:r>
      <w:r>
        <w:rPr>
          <w:b/>
          <w:sz w:val="24"/>
        </w:rPr>
        <w:t>в</w:t>
      </w:r>
      <w:r>
        <w:rPr>
          <w:b/>
          <w:spacing w:val="-3"/>
          <w:sz w:val="24"/>
        </w:rPr>
        <w:t> </w:t>
      </w:r>
      <w:r>
        <w:rPr>
          <w:b/>
          <w:sz w:val="24"/>
        </w:rPr>
        <w:t>популяции</w:t>
      </w:r>
      <w:r>
        <w:rPr>
          <w:b/>
          <w:spacing w:val="-2"/>
          <w:sz w:val="24"/>
        </w:rPr>
        <w:t> </w:t>
      </w:r>
      <w:r>
        <w:rPr>
          <w:b/>
          <w:sz w:val="24"/>
        </w:rPr>
        <w:t>очень</w:t>
      </w:r>
      <w:r>
        <w:rPr>
          <w:b/>
          <w:spacing w:val="-2"/>
          <w:sz w:val="24"/>
        </w:rPr>
        <w:t> </w:t>
      </w:r>
      <w:r>
        <w:rPr>
          <w:b/>
          <w:sz w:val="24"/>
        </w:rPr>
        <w:t>высокого</w:t>
      </w:r>
      <w:r>
        <w:rPr>
          <w:b/>
          <w:spacing w:val="-1"/>
          <w:sz w:val="24"/>
        </w:rPr>
        <w:t> </w:t>
      </w:r>
      <w:r>
        <w:rPr>
          <w:b/>
          <w:spacing w:val="-2"/>
          <w:sz w:val="24"/>
        </w:rPr>
        <w:t>риска</w:t>
      </w:r>
    </w:p>
    <w:p>
      <w:pPr>
        <w:pStyle w:val="BodyText"/>
        <w:spacing w:before="1"/>
        <w:ind w:left="0"/>
        <w:rPr>
          <w:b/>
          <w:sz w:val="19"/>
        </w:rPr>
      </w:pPr>
      <w:r>
        <w:rPr/>
        <w:drawing>
          <wp:anchor distT="0" distB="0" distL="0" distR="0" allowOverlap="1" layoutInCell="1" locked="0" behindDoc="0" simplePos="0" relativeHeight="8">
            <wp:simplePos x="0" y="0"/>
            <wp:positionH relativeFrom="page">
              <wp:posOffset>1080136</wp:posOffset>
            </wp:positionH>
            <wp:positionV relativeFrom="paragraph">
              <wp:posOffset>154846</wp:posOffset>
            </wp:positionV>
            <wp:extent cx="5850982" cy="3399472"/>
            <wp:effectExtent l="0" t="0" r="0" b="0"/>
            <wp:wrapTopAndBottom/>
            <wp:docPr id="7" name="image4.png"/>
            <wp:cNvGraphicFramePr>
              <a:graphicFrameLocks noChangeAspect="1"/>
            </wp:cNvGraphicFramePr>
            <a:graphic>
              <a:graphicData uri="http://schemas.openxmlformats.org/drawingml/2006/picture">
                <pic:pic>
                  <pic:nvPicPr>
                    <pic:cNvPr id="8" name="image4.png"/>
                    <pic:cNvPicPr/>
                  </pic:nvPicPr>
                  <pic:blipFill>
                    <a:blip r:embed="rId13" cstate="print"/>
                    <a:stretch>
                      <a:fillRect/>
                    </a:stretch>
                  </pic:blipFill>
                  <pic:spPr>
                    <a:xfrm>
                      <a:off x="0" y="0"/>
                      <a:ext cx="5850982" cy="3399472"/>
                    </a:xfrm>
                    <a:prstGeom prst="rect">
                      <a:avLst/>
                    </a:prstGeom>
                  </pic:spPr>
                </pic:pic>
              </a:graphicData>
            </a:graphic>
          </wp:anchor>
        </w:drawing>
      </w:r>
    </w:p>
    <w:p>
      <w:pPr>
        <w:pStyle w:val="BodyText"/>
        <w:spacing w:before="1"/>
        <w:ind w:left="0"/>
        <w:rPr>
          <w:b/>
          <w:sz w:val="26"/>
        </w:rPr>
      </w:pPr>
    </w:p>
    <w:p>
      <w:pPr>
        <w:spacing w:before="0"/>
        <w:ind w:left="1261" w:right="0" w:firstLine="0"/>
        <w:jc w:val="left"/>
        <w:rPr>
          <w:sz w:val="24"/>
        </w:rPr>
      </w:pPr>
      <w:r>
        <w:rPr>
          <w:b/>
          <w:sz w:val="24"/>
        </w:rPr>
        <w:t>Пояснения:</w:t>
      </w:r>
      <w:r>
        <w:rPr>
          <w:b/>
          <w:spacing w:val="-5"/>
          <w:sz w:val="24"/>
        </w:rPr>
        <w:t> </w:t>
      </w:r>
      <w:r>
        <w:rPr>
          <w:sz w:val="24"/>
        </w:rPr>
        <w:t>ХС</w:t>
      </w:r>
      <w:r>
        <w:rPr>
          <w:spacing w:val="-4"/>
          <w:sz w:val="24"/>
        </w:rPr>
        <w:t> </w:t>
      </w:r>
      <w:r>
        <w:rPr>
          <w:sz w:val="24"/>
        </w:rPr>
        <w:t>не</w:t>
      </w:r>
      <w:r>
        <w:rPr>
          <w:spacing w:val="-4"/>
          <w:sz w:val="24"/>
        </w:rPr>
        <w:t> </w:t>
      </w:r>
      <w:r>
        <w:rPr>
          <w:sz w:val="24"/>
        </w:rPr>
        <w:t>ЛВП=ОХС-</w:t>
      </w:r>
      <w:r>
        <w:rPr>
          <w:spacing w:val="-5"/>
          <w:sz w:val="24"/>
        </w:rPr>
        <w:t>ЛВП</w:t>
      </w:r>
    </w:p>
    <w:p>
      <w:pPr>
        <w:spacing w:after="0"/>
        <w:jc w:val="left"/>
        <w:rPr>
          <w:sz w:val="24"/>
        </w:rPr>
        <w:sectPr>
          <w:pgSz w:w="11910" w:h="16840"/>
          <w:pgMar w:header="0" w:footer="710" w:top="1040" w:bottom="900" w:left="440" w:right="280"/>
        </w:sectPr>
      </w:pPr>
    </w:p>
    <w:p>
      <w:pPr>
        <w:pStyle w:val="Heading3"/>
        <w:spacing w:before="73"/>
      </w:pPr>
      <w:r>
        <w:rPr/>
        <w:t>Таблица</w:t>
      </w:r>
      <w:r>
        <w:rPr>
          <w:spacing w:val="-5"/>
        </w:rPr>
        <w:t> </w:t>
      </w:r>
      <w:r>
        <w:rPr/>
        <w:t>Г3.</w:t>
      </w:r>
      <w:r>
        <w:rPr>
          <w:spacing w:val="-2"/>
        </w:rPr>
        <w:t> </w:t>
      </w:r>
      <w:r>
        <w:rPr/>
        <w:t>Шкала</w:t>
      </w:r>
      <w:r>
        <w:rPr>
          <w:spacing w:val="-3"/>
        </w:rPr>
        <w:t> </w:t>
      </w:r>
      <w:r>
        <w:rPr/>
        <w:t>глобальной</w:t>
      </w:r>
      <w:r>
        <w:rPr>
          <w:spacing w:val="-2"/>
        </w:rPr>
        <w:t> </w:t>
      </w:r>
      <w:r>
        <w:rPr/>
        <w:t>оценки</w:t>
      </w:r>
      <w:r>
        <w:rPr>
          <w:spacing w:val="-3"/>
        </w:rPr>
        <w:t> </w:t>
      </w:r>
      <w:r>
        <w:rPr/>
        <w:t>10-летнего</w:t>
      </w:r>
      <w:r>
        <w:rPr>
          <w:spacing w:val="-2"/>
        </w:rPr>
        <w:t> </w:t>
      </w:r>
      <w:r>
        <w:rPr/>
        <w:t>сердечно-сосудистого</w:t>
      </w:r>
      <w:r>
        <w:rPr>
          <w:spacing w:val="-3"/>
        </w:rPr>
        <w:t> </w:t>
      </w:r>
      <w:r>
        <w:rPr>
          <w:spacing w:val="-2"/>
        </w:rPr>
        <w:t>риска</w:t>
      </w:r>
    </w:p>
    <w:p>
      <w:pPr>
        <w:pStyle w:val="BodyText"/>
        <w:spacing w:before="1"/>
        <w:ind w:left="0"/>
        <w:rPr>
          <w:b/>
          <w:sz w:val="21"/>
        </w:rPr>
      </w:pPr>
    </w:p>
    <w:p>
      <w:pPr>
        <w:tabs>
          <w:tab w:pos="2514" w:val="left" w:leader="none"/>
          <w:tab w:pos="2989" w:val="left" w:leader="none"/>
          <w:tab w:pos="4090" w:val="left" w:leader="none"/>
          <w:tab w:pos="5067" w:val="left" w:leader="none"/>
          <w:tab w:pos="5967" w:val="left" w:leader="none"/>
          <w:tab w:pos="7355" w:val="left" w:leader="none"/>
          <w:tab w:pos="8293" w:val="left" w:leader="none"/>
          <w:tab w:pos="9604" w:val="left" w:leader="none"/>
        </w:tabs>
        <w:spacing w:line="360" w:lineRule="auto" w:before="0"/>
        <w:ind w:left="1261" w:right="569" w:firstLine="0"/>
        <w:jc w:val="left"/>
        <w:rPr>
          <w:sz w:val="24"/>
        </w:rPr>
      </w:pPr>
      <w:r>
        <w:rPr>
          <w:b/>
          <w:spacing w:val="-2"/>
          <w:sz w:val="24"/>
          <w:u w:val="thick"/>
        </w:rPr>
        <w:t>Название</w:t>
      </w:r>
      <w:r>
        <w:rPr>
          <w:b/>
          <w:sz w:val="24"/>
          <w:u w:val="thick"/>
        </w:rPr>
        <w:tab/>
      </w:r>
      <w:r>
        <w:rPr>
          <w:b/>
          <w:spacing w:val="-6"/>
          <w:sz w:val="24"/>
          <w:u w:val="thick"/>
        </w:rPr>
        <w:t>на</w:t>
      </w:r>
      <w:r>
        <w:rPr>
          <w:b/>
          <w:sz w:val="24"/>
          <w:u w:val="thick"/>
        </w:rPr>
        <w:tab/>
      </w:r>
      <w:r>
        <w:rPr>
          <w:b/>
          <w:spacing w:val="-2"/>
          <w:sz w:val="24"/>
          <w:u w:val="thick"/>
        </w:rPr>
        <w:t>русском</w:t>
      </w:r>
      <w:r>
        <w:rPr>
          <w:b/>
          <w:sz w:val="24"/>
          <w:u w:val="thick"/>
        </w:rPr>
        <w:tab/>
      </w:r>
      <w:r>
        <w:rPr>
          <w:b/>
          <w:spacing w:val="-2"/>
          <w:sz w:val="24"/>
          <w:u w:val="thick"/>
        </w:rPr>
        <w:t>языке:</w:t>
      </w:r>
      <w:r>
        <w:rPr>
          <w:b/>
          <w:sz w:val="24"/>
        </w:rPr>
        <w:tab/>
      </w:r>
      <w:r>
        <w:rPr>
          <w:spacing w:val="-4"/>
          <w:sz w:val="24"/>
        </w:rPr>
        <w:t>Шкала</w:t>
      </w:r>
      <w:r>
        <w:rPr>
          <w:sz w:val="24"/>
        </w:rPr>
        <w:tab/>
      </w:r>
      <w:r>
        <w:rPr>
          <w:spacing w:val="-2"/>
          <w:sz w:val="24"/>
        </w:rPr>
        <w:t>глобальной</w:t>
      </w:r>
      <w:r>
        <w:rPr>
          <w:sz w:val="24"/>
        </w:rPr>
        <w:tab/>
      </w:r>
      <w:r>
        <w:rPr>
          <w:spacing w:val="-2"/>
          <w:sz w:val="24"/>
        </w:rPr>
        <w:t>оценки</w:t>
      </w:r>
      <w:r>
        <w:rPr>
          <w:sz w:val="24"/>
        </w:rPr>
        <w:tab/>
      </w:r>
      <w:r>
        <w:rPr>
          <w:spacing w:val="-2"/>
          <w:sz w:val="24"/>
        </w:rPr>
        <w:t>10-летнего</w:t>
      </w:r>
      <w:r>
        <w:rPr>
          <w:sz w:val="24"/>
        </w:rPr>
        <w:tab/>
      </w:r>
      <w:r>
        <w:rPr>
          <w:spacing w:val="-2"/>
          <w:sz w:val="24"/>
        </w:rPr>
        <w:t>сердечно- </w:t>
      </w:r>
      <w:r>
        <w:rPr>
          <w:sz w:val="24"/>
        </w:rPr>
        <w:t>сосудистого риска</w:t>
      </w:r>
    </w:p>
    <w:p>
      <w:pPr>
        <w:pStyle w:val="Heading3"/>
        <w:rPr>
          <w:b w:val="0"/>
        </w:rPr>
      </w:pPr>
      <w:r>
        <w:rPr>
          <w:u w:val="thick"/>
        </w:rPr>
        <w:t>Оригинальное</w:t>
      </w:r>
      <w:r>
        <w:rPr>
          <w:spacing w:val="-7"/>
          <w:u w:val="thick"/>
        </w:rPr>
        <w:t> </w:t>
      </w:r>
      <w:r>
        <w:rPr>
          <w:u w:val="thick"/>
        </w:rPr>
        <w:t>название</w:t>
      </w:r>
      <w:r>
        <w:rPr>
          <w:spacing w:val="-4"/>
          <w:u w:val="thick"/>
        </w:rPr>
        <w:t> </w:t>
      </w:r>
      <w:r>
        <w:rPr>
          <w:u w:val="thick"/>
        </w:rPr>
        <w:t>(если</w:t>
      </w:r>
      <w:r>
        <w:rPr>
          <w:spacing w:val="-4"/>
          <w:u w:val="thick"/>
        </w:rPr>
        <w:t> </w:t>
      </w:r>
      <w:r>
        <w:rPr>
          <w:u w:val="thick"/>
        </w:rPr>
        <w:t>есть):</w:t>
      </w:r>
      <w:r>
        <w:rPr>
          <w:spacing w:val="-4"/>
        </w:rPr>
        <w:t> </w:t>
      </w:r>
      <w:r>
        <w:rPr>
          <w:b w:val="0"/>
          <w:spacing w:val="-5"/>
        </w:rPr>
        <w:t>нет</w:t>
      </w:r>
    </w:p>
    <w:p>
      <w:pPr>
        <w:tabs>
          <w:tab w:pos="2612" w:val="left" w:leader="none"/>
          <w:tab w:pos="4508" w:val="left" w:leader="none"/>
          <w:tab w:pos="5259" w:val="left" w:leader="none"/>
          <w:tab w:pos="7211" w:val="left" w:leader="none"/>
          <w:tab w:pos="8795" w:val="left" w:leader="none"/>
          <w:tab w:pos="9169" w:val="left" w:leader="none"/>
        </w:tabs>
        <w:spacing w:before="139"/>
        <w:ind w:left="1261" w:right="0" w:firstLine="0"/>
        <w:jc w:val="left"/>
        <w:rPr>
          <w:b/>
          <w:sz w:val="24"/>
        </w:rPr>
      </w:pPr>
      <w:r>
        <w:rPr>
          <w:b/>
          <w:spacing w:val="-2"/>
          <w:sz w:val="24"/>
          <w:u w:val="thick"/>
        </w:rPr>
        <w:t>Источник</w:t>
      </w:r>
      <w:r>
        <w:rPr>
          <w:b/>
          <w:sz w:val="24"/>
          <w:u w:val="thick"/>
        </w:rPr>
        <w:tab/>
      </w:r>
      <w:r>
        <w:rPr>
          <w:b/>
          <w:spacing w:val="-2"/>
          <w:sz w:val="24"/>
          <w:u w:val="thick"/>
        </w:rPr>
        <w:t>(официальный</w:t>
      </w:r>
      <w:r>
        <w:rPr>
          <w:b/>
          <w:sz w:val="24"/>
          <w:u w:val="thick"/>
        </w:rPr>
        <w:tab/>
      </w:r>
      <w:r>
        <w:rPr>
          <w:b/>
          <w:spacing w:val="-4"/>
          <w:sz w:val="24"/>
          <w:u w:val="thick"/>
        </w:rPr>
        <w:t>сайт</w:t>
      </w:r>
      <w:r>
        <w:rPr>
          <w:b/>
          <w:sz w:val="24"/>
          <w:u w:val="thick"/>
        </w:rPr>
        <w:tab/>
      </w:r>
      <w:r>
        <w:rPr>
          <w:b/>
          <w:spacing w:val="-2"/>
          <w:sz w:val="24"/>
          <w:u w:val="thick"/>
        </w:rPr>
        <w:t>разработчиков,</w:t>
      </w:r>
      <w:r>
        <w:rPr>
          <w:b/>
          <w:sz w:val="24"/>
          <w:u w:val="thick"/>
        </w:rPr>
        <w:tab/>
      </w:r>
      <w:r>
        <w:rPr>
          <w:b/>
          <w:spacing w:val="-2"/>
          <w:sz w:val="24"/>
          <w:u w:val="thick"/>
        </w:rPr>
        <w:t>публикация</w:t>
      </w:r>
      <w:r>
        <w:rPr>
          <w:b/>
          <w:sz w:val="24"/>
          <w:u w:val="thick"/>
        </w:rPr>
        <w:tab/>
      </w:r>
      <w:r>
        <w:rPr>
          <w:b/>
          <w:spacing w:val="-10"/>
          <w:sz w:val="24"/>
          <w:u w:val="thick"/>
        </w:rPr>
        <w:t>с</w:t>
      </w:r>
      <w:r>
        <w:rPr>
          <w:b/>
          <w:sz w:val="24"/>
          <w:u w:val="thick"/>
        </w:rPr>
        <w:tab/>
      </w:r>
      <w:r>
        <w:rPr>
          <w:b/>
          <w:spacing w:val="-2"/>
          <w:sz w:val="24"/>
          <w:u w:val="thick"/>
        </w:rPr>
        <w:t>валидацией):</w:t>
      </w:r>
    </w:p>
    <w:p>
      <w:pPr>
        <w:spacing w:before="137"/>
        <w:ind w:left="1261" w:right="0" w:firstLine="0"/>
        <w:jc w:val="left"/>
        <w:rPr>
          <w:sz w:val="24"/>
        </w:rPr>
      </w:pPr>
      <w:r>
        <w:rPr>
          <w:b/>
          <w:sz w:val="24"/>
        </w:rPr>
        <w:t>escardio.org.</w:t>
      </w:r>
      <w:r>
        <w:rPr>
          <w:b/>
          <w:spacing w:val="-4"/>
          <w:sz w:val="24"/>
        </w:rPr>
        <w:t> </w:t>
      </w:r>
      <w:r>
        <w:rPr>
          <w:spacing w:val="-4"/>
          <w:sz w:val="24"/>
        </w:rPr>
        <w:t>[</w:t>
      </w:r>
      <w:hyperlink w:history="true" w:anchor="_bookmark284">
        <w:r>
          <w:rPr>
            <w:spacing w:val="-4"/>
            <w:sz w:val="24"/>
          </w:rPr>
          <w:t>244</w:t>
        </w:r>
      </w:hyperlink>
      <w:r>
        <w:rPr>
          <w:spacing w:val="-4"/>
          <w:sz w:val="24"/>
        </w:rPr>
        <w:t>]</w:t>
      </w:r>
    </w:p>
    <w:p>
      <w:pPr>
        <w:spacing w:before="137"/>
        <w:ind w:left="1261" w:right="0" w:firstLine="0"/>
        <w:jc w:val="left"/>
        <w:rPr>
          <w:sz w:val="24"/>
        </w:rPr>
      </w:pPr>
      <w:r>
        <w:rPr>
          <w:b/>
          <w:sz w:val="24"/>
          <w:u w:val="thick"/>
        </w:rPr>
        <w:t>Тип</w:t>
      </w:r>
      <w:r>
        <w:rPr>
          <w:b/>
          <w:spacing w:val="-3"/>
          <w:sz w:val="24"/>
          <w:u w:val="thick"/>
        </w:rPr>
        <w:t> </w:t>
      </w:r>
      <w:r>
        <w:rPr>
          <w:b/>
          <w:sz w:val="24"/>
          <w:u w:val="thick"/>
        </w:rPr>
        <w:t>(подчеркнуть):</w:t>
      </w:r>
      <w:r>
        <w:rPr>
          <w:b/>
          <w:spacing w:val="-4"/>
          <w:sz w:val="24"/>
        </w:rPr>
        <w:t> </w:t>
      </w:r>
      <w:r>
        <w:rPr>
          <w:sz w:val="24"/>
        </w:rPr>
        <w:t>шкала</w:t>
      </w:r>
      <w:r>
        <w:rPr>
          <w:spacing w:val="-3"/>
          <w:sz w:val="24"/>
        </w:rPr>
        <w:t> </w:t>
      </w:r>
      <w:r>
        <w:rPr>
          <w:spacing w:val="-2"/>
          <w:sz w:val="24"/>
        </w:rPr>
        <w:t>оценки</w:t>
      </w:r>
    </w:p>
    <w:p>
      <w:pPr>
        <w:spacing w:before="139"/>
        <w:ind w:left="1261" w:right="0" w:firstLine="0"/>
        <w:jc w:val="left"/>
        <w:rPr>
          <w:sz w:val="24"/>
        </w:rPr>
      </w:pPr>
      <w:r>
        <w:rPr>
          <w:b/>
          <w:sz w:val="24"/>
          <w:u w:val="thick"/>
        </w:rPr>
        <w:t>Назначение:</w:t>
      </w:r>
      <w:r>
        <w:rPr>
          <w:b/>
          <w:spacing w:val="-10"/>
          <w:sz w:val="24"/>
        </w:rPr>
        <w:t> </w:t>
      </w:r>
      <w:r>
        <w:rPr>
          <w:sz w:val="24"/>
        </w:rPr>
        <w:t>оценка</w:t>
      </w:r>
      <w:r>
        <w:rPr>
          <w:spacing w:val="-3"/>
          <w:sz w:val="24"/>
        </w:rPr>
        <w:t> </w:t>
      </w:r>
      <w:r>
        <w:rPr>
          <w:sz w:val="24"/>
        </w:rPr>
        <w:t>10-летнего</w:t>
      </w:r>
      <w:r>
        <w:rPr>
          <w:spacing w:val="-3"/>
          <w:sz w:val="24"/>
        </w:rPr>
        <w:t> </w:t>
      </w:r>
      <w:r>
        <w:rPr>
          <w:sz w:val="24"/>
        </w:rPr>
        <w:t>сердечно-сосудистого</w:t>
      </w:r>
      <w:r>
        <w:rPr>
          <w:spacing w:val="-2"/>
          <w:sz w:val="24"/>
        </w:rPr>
        <w:t> риска</w:t>
      </w:r>
    </w:p>
    <w:p>
      <w:pPr>
        <w:pStyle w:val="Heading3"/>
        <w:spacing w:before="137"/>
      </w:pPr>
      <w:r>
        <w:rPr>
          <w:u w:val="thick"/>
        </w:rPr>
        <w:t>Содержание</w:t>
      </w:r>
      <w:r>
        <w:rPr>
          <w:spacing w:val="-4"/>
          <w:u w:val="thick"/>
        </w:rPr>
        <w:t> </w:t>
      </w:r>
      <w:r>
        <w:rPr>
          <w:u w:val="thick"/>
        </w:rPr>
        <w:t>(шаблон)</w:t>
      </w:r>
      <w:r>
        <w:rPr>
          <w:spacing w:val="-1"/>
          <w:u w:val="thick"/>
        </w:rPr>
        <w:t> </w:t>
      </w:r>
      <w:r>
        <w:rPr>
          <w:u w:val="thick"/>
        </w:rPr>
        <w:t>и</w:t>
      </w:r>
      <w:r>
        <w:rPr>
          <w:spacing w:val="-2"/>
          <w:u w:val="thick"/>
        </w:rPr>
        <w:t> интерпретация:</w:t>
      </w:r>
    </w:p>
    <w:p>
      <w:pPr>
        <w:pStyle w:val="BodyText"/>
        <w:ind w:left="0"/>
        <w:rPr>
          <w:b/>
          <w:sz w:val="20"/>
        </w:rPr>
      </w:pPr>
    </w:p>
    <w:p>
      <w:pPr>
        <w:pStyle w:val="BodyText"/>
        <w:spacing w:before="1"/>
        <w:ind w:left="0"/>
        <w:rPr>
          <w:b/>
          <w:sz w:val="28"/>
        </w:rPr>
      </w:pPr>
    </w:p>
    <w:tbl>
      <w:tblPr>
        <w:tblW w:w="0" w:type="auto"/>
        <w:jc w:val="left"/>
        <w:tblInd w:w="1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7371"/>
      </w:tblGrid>
      <w:tr>
        <w:trPr>
          <w:trHeight w:val="4698" w:hRule="atLeast"/>
        </w:trPr>
        <w:tc>
          <w:tcPr>
            <w:tcW w:w="2129" w:type="dxa"/>
            <w:tcBorders>
              <w:bottom w:val="single" w:sz="8" w:space="0" w:color="FF0000"/>
            </w:tcBorders>
            <w:shd w:val="clear" w:color="auto" w:fill="C00000"/>
          </w:tcPr>
          <w:p>
            <w:pPr>
              <w:pStyle w:val="TableParagraph"/>
              <w:ind w:left="0"/>
              <w:rPr>
                <w:b/>
                <w:sz w:val="26"/>
              </w:rPr>
            </w:pPr>
          </w:p>
          <w:p>
            <w:pPr>
              <w:pStyle w:val="TableParagraph"/>
              <w:ind w:left="0"/>
              <w:rPr>
                <w:b/>
                <w:sz w:val="26"/>
              </w:rPr>
            </w:pPr>
          </w:p>
          <w:p>
            <w:pPr>
              <w:pStyle w:val="TableParagraph"/>
              <w:ind w:left="0"/>
              <w:rPr>
                <w:b/>
                <w:sz w:val="26"/>
              </w:rPr>
            </w:pPr>
          </w:p>
          <w:p>
            <w:pPr>
              <w:pStyle w:val="TableParagraph"/>
              <w:ind w:left="0"/>
              <w:rPr>
                <w:b/>
                <w:sz w:val="26"/>
              </w:rPr>
            </w:pPr>
          </w:p>
          <w:p>
            <w:pPr>
              <w:pStyle w:val="TableParagraph"/>
              <w:ind w:left="0"/>
              <w:rPr>
                <w:b/>
                <w:sz w:val="26"/>
              </w:rPr>
            </w:pPr>
          </w:p>
          <w:p>
            <w:pPr>
              <w:pStyle w:val="TableParagraph"/>
              <w:ind w:left="0"/>
              <w:rPr>
                <w:b/>
                <w:sz w:val="26"/>
              </w:rPr>
            </w:pPr>
          </w:p>
          <w:p>
            <w:pPr>
              <w:pStyle w:val="TableParagraph"/>
              <w:spacing w:before="3"/>
              <w:ind w:left="0"/>
              <w:rPr>
                <w:b/>
                <w:sz w:val="30"/>
              </w:rPr>
            </w:pPr>
          </w:p>
          <w:p>
            <w:pPr>
              <w:pStyle w:val="TableParagraph"/>
              <w:ind w:left="143"/>
              <w:rPr>
                <w:sz w:val="24"/>
              </w:rPr>
            </w:pPr>
            <w:r>
              <w:rPr>
                <w:color w:val="FFFFFF"/>
                <w:sz w:val="24"/>
              </w:rPr>
              <w:t>Очень</w:t>
            </w:r>
            <w:r>
              <w:rPr>
                <w:color w:val="FFFFFF"/>
                <w:spacing w:val="-2"/>
                <w:sz w:val="24"/>
              </w:rPr>
              <w:t> высокий</w:t>
            </w:r>
          </w:p>
        </w:tc>
        <w:tc>
          <w:tcPr>
            <w:tcW w:w="7371" w:type="dxa"/>
          </w:tcPr>
          <w:p>
            <w:pPr>
              <w:pStyle w:val="TableParagraph"/>
              <w:numPr>
                <w:ilvl w:val="0"/>
                <w:numId w:val="38"/>
              </w:numPr>
              <w:tabs>
                <w:tab w:pos="864" w:val="left" w:leader="none"/>
              </w:tabs>
              <w:spacing w:line="350" w:lineRule="auto" w:before="73" w:after="0"/>
              <w:ind w:left="863" w:right="120" w:hanging="360"/>
              <w:jc w:val="both"/>
              <w:rPr>
                <w:sz w:val="24"/>
              </w:rPr>
            </w:pPr>
            <w:r>
              <w:rPr>
                <w:sz w:val="24"/>
              </w:rPr>
              <w:t>Документированное атеросклеротическое ССЗ, клинически или по результатам обследования, включая ОКС, ИБС, ЧКВ, КШ или другие операции на артериях, инсульт/ТИА, поражения периферических артерий</w:t>
            </w:r>
          </w:p>
          <w:p>
            <w:pPr>
              <w:pStyle w:val="TableParagraph"/>
              <w:numPr>
                <w:ilvl w:val="0"/>
                <w:numId w:val="38"/>
              </w:numPr>
              <w:tabs>
                <w:tab w:pos="864" w:val="left" w:leader="none"/>
              </w:tabs>
              <w:spacing w:line="240" w:lineRule="auto" w:before="24" w:after="0"/>
              <w:ind w:left="863" w:right="0" w:hanging="361"/>
              <w:jc w:val="both"/>
              <w:rPr>
                <w:sz w:val="24"/>
              </w:rPr>
            </w:pPr>
            <w:r>
              <w:rPr>
                <w:sz w:val="24"/>
              </w:rPr>
              <w:t>атеросклеротическое</w:t>
            </w:r>
            <w:r>
              <w:rPr>
                <w:spacing w:val="45"/>
                <w:sz w:val="24"/>
              </w:rPr>
              <w:t>  </w:t>
            </w:r>
            <w:r>
              <w:rPr>
                <w:sz w:val="24"/>
              </w:rPr>
              <w:t>ССЗ</w:t>
            </w:r>
            <w:r>
              <w:rPr>
                <w:spacing w:val="44"/>
                <w:sz w:val="24"/>
              </w:rPr>
              <w:t>  </w:t>
            </w:r>
            <w:r>
              <w:rPr>
                <w:sz w:val="24"/>
              </w:rPr>
              <w:t>по</w:t>
            </w:r>
            <w:r>
              <w:rPr>
                <w:spacing w:val="45"/>
                <w:sz w:val="24"/>
              </w:rPr>
              <w:t>  </w:t>
            </w:r>
            <w:r>
              <w:rPr>
                <w:sz w:val="24"/>
              </w:rPr>
              <w:t>данным</w:t>
            </w:r>
            <w:r>
              <w:rPr>
                <w:spacing w:val="44"/>
                <w:sz w:val="24"/>
              </w:rPr>
              <w:t>  </w:t>
            </w:r>
            <w:r>
              <w:rPr>
                <w:sz w:val="24"/>
              </w:rPr>
              <w:t>обследований</w:t>
            </w:r>
            <w:r>
              <w:rPr>
                <w:spacing w:val="45"/>
                <w:sz w:val="24"/>
              </w:rPr>
              <w:t>  </w:t>
            </w:r>
            <w:r>
              <w:rPr>
                <w:spacing w:val="-10"/>
                <w:sz w:val="24"/>
              </w:rPr>
              <w:t>—</w:t>
            </w:r>
          </w:p>
          <w:p>
            <w:pPr>
              <w:pStyle w:val="TableParagraph"/>
              <w:spacing w:before="117"/>
              <w:ind w:left="863"/>
              <w:jc w:val="both"/>
              <w:rPr>
                <w:sz w:val="24"/>
              </w:rPr>
            </w:pPr>
            <w:r>
              <w:rPr>
                <w:sz w:val="24"/>
              </w:rPr>
              <w:t>значимая</w:t>
            </w:r>
            <w:r>
              <w:rPr>
                <w:spacing w:val="-2"/>
                <w:sz w:val="24"/>
              </w:rPr>
              <w:t> </w:t>
            </w:r>
            <w:r>
              <w:rPr>
                <w:sz w:val="24"/>
              </w:rPr>
              <w:t>АСБ</w:t>
            </w:r>
            <w:r>
              <w:rPr>
                <w:spacing w:val="-3"/>
                <w:sz w:val="24"/>
              </w:rPr>
              <w:t> </w:t>
            </w:r>
            <w:r>
              <w:rPr>
                <w:sz w:val="24"/>
              </w:rPr>
              <w:t>(стеноз </w:t>
            </w:r>
            <w:r>
              <w:rPr>
                <w:spacing w:val="-4"/>
                <w:sz w:val="24"/>
              </w:rPr>
              <w:t>&gt;50%)</w:t>
            </w:r>
          </w:p>
          <w:p>
            <w:pPr>
              <w:pStyle w:val="TableParagraph"/>
              <w:numPr>
                <w:ilvl w:val="0"/>
                <w:numId w:val="38"/>
              </w:numPr>
              <w:tabs>
                <w:tab w:pos="864" w:val="left" w:leader="none"/>
              </w:tabs>
              <w:spacing w:line="333" w:lineRule="auto" w:before="139" w:after="0"/>
              <w:ind w:left="863" w:right="122" w:hanging="360"/>
              <w:jc w:val="both"/>
              <w:rPr>
                <w:sz w:val="24"/>
              </w:rPr>
            </w:pPr>
            <w:r>
              <w:rPr>
                <w:sz w:val="24"/>
              </w:rPr>
              <w:t>СД + поражение органов-мишеней, ≥3 ФР, а также раннее начало СД с длительностью &gt;20 лет</w:t>
            </w:r>
          </w:p>
          <w:p>
            <w:pPr>
              <w:pStyle w:val="TableParagraph"/>
              <w:numPr>
                <w:ilvl w:val="0"/>
                <w:numId w:val="38"/>
              </w:numPr>
              <w:tabs>
                <w:tab w:pos="864" w:val="left" w:leader="none"/>
              </w:tabs>
              <w:spacing w:line="240" w:lineRule="auto" w:before="40" w:after="0"/>
              <w:ind w:left="863" w:right="0" w:hanging="361"/>
              <w:jc w:val="both"/>
              <w:rPr>
                <w:sz w:val="24"/>
              </w:rPr>
            </w:pPr>
            <w:r>
              <w:rPr>
                <w:sz w:val="24"/>
              </w:rPr>
              <w:t>ХБП</w:t>
            </w:r>
            <w:r>
              <w:rPr>
                <w:spacing w:val="-2"/>
                <w:sz w:val="24"/>
              </w:rPr>
              <w:t> </w:t>
            </w:r>
            <w:r>
              <w:rPr>
                <w:sz w:val="24"/>
              </w:rPr>
              <w:t>с</w:t>
            </w:r>
            <w:r>
              <w:rPr>
                <w:spacing w:val="-1"/>
                <w:sz w:val="24"/>
              </w:rPr>
              <w:t> </w:t>
            </w:r>
            <w:r>
              <w:rPr>
                <w:sz w:val="24"/>
              </w:rPr>
              <w:t>СКФ</w:t>
            </w:r>
            <w:r>
              <w:rPr>
                <w:spacing w:val="-2"/>
                <w:sz w:val="24"/>
              </w:rPr>
              <w:t> </w:t>
            </w:r>
            <w:r>
              <w:rPr>
                <w:sz w:val="24"/>
              </w:rPr>
              <w:t>&lt;30 мл/мин/1,73 </w:t>
            </w:r>
            <w:r>
              <w:rPr>
                <w:spacing w:val="-5"/>
                <w:sz w:val="24"/>
              </w:rPr>
              <w:t>м</w:t>
            </w:r>
            <w:r>
              <w:rPr>
                <w:spacing w:val="-5"/>
                <w:sz w:val="24"/>
                <w:vertAlign w:val="superscript"/>
              </w:rPr>
              <w:t>2</w:t>
            </w:r>
          </w:p>
          <w:p>
            <w:pPr>
              <w:pStyle w:val="TableParagraph"/>
              <w:numPr>
                <w:ilvl w:val="0"/>
                <w:numId w:val="38"/>
              </w:numPr>
              <w:tabs>
                <w:tab w:pos="864" w:val="left" w:leader="none"/>
              </w:tabs>
              <w:spacing w:line="240" w:lineRule="auto" w:before="117" w:after="0"/>
              <w:ind w:left="863" w:right="0" w:hanging="361"/>
              <w:jc w:val="both"/>
              <w:rPr>
                <w:sz w:val="24"/>
              </w:rPr>
            </w:pPr>
            <w:r>
              <w:rPr>
                <w:sz w:val="24"/>
              </w:rPr>
              <w:t>СГХС</w:t>
            </w:r>
            <w:r>
              <w:rPr>
                <w:spacing w:val="-1"/>
                <w:sz w:val="24"/>
              </w:rPr>
              <w:t> </w:t>
            </w:r>
            <w:r>
              <w:rPr>
                <w:sz w:val="24"/>
              </w:rPr>
              <w:t>в</w:t>
            </w:r>
            <w:r>
              <w:rPr>
                <w:spacing w:val="-2"/>
                <w:sz w:val="24"/>
              </w:rPr>
              <w:t> </w:t>
            </w:r>
            <w:r>
              <w:rPr>
                <w:sz w:val="24"/>
              </w:rPr>
              <w:t>сочетании с</w:t>
            </w:r>
            <w:r>
              <w:rPr>
                <w:spacing w:val="-1"/>
                <w:sz w:val="24"/>
              </w:rPr>
              <w:t> </w:t>
            </w:r>
            <w:r>
              <w:rPr>
                <w:spacing w:val="-5"/>
                <w:sz w:val="24"/>
              </w:rPr>
              <w:t>ФР</w:t>
            </w:r>
          </w:p>
          <w:p>
            <w:pPr>
              <w:pStyle w:val="TableParagraph"/>
              <w:numPr>
                <w:ilvl w:val="0"/>
                <w:numId w:val="38"/>
              </w:numPr>
              <w:tabs>
                <w:tab w:pos="864" w:val="left" w:leader="none"/>
              </w:tabs>
              <w:spacing w:line="240" w:lineRule="auto" w:before="119" w:after="0"/>
              <w:ind w:left="863" w:right="0" w:hanging="361"/>
              <w:jc w:val="both"/>
              <w:rPr>
                <w:sz w:val="24"/>
              </w:rPr>
            </w:pPr>
            <w:r>
              <w:rPr>
                <w:sz w:val="24"/>
              </w:rPr>
              <w:t>SCORE2</w:t>
            </w:r>
            <w:r>
              <w:rPr>
                <w:spacing w:val="-1"/>
                <w:sz w:val="24"/>
              </w:rPr>
              <w:t> </w:t>
            </w:r>
            <w:r>
              <w:rPr>
                <w:sz w:val="24"/>
              </w:rPr>
              <w:t>≥7,5%</w:t>
            </w:r>
            <w:r>
              <w:rPr>
                <w:spacing w:val="-2"/>
                <w:sz w:val="24"/>
              </w:rPr>
              <w:t> </w:t>
            </w:r>
            <w:r>
              <w:rPr>
                <w:sz w:val="24"/>
              </w:rPr>
              <w:t>(&lt;50 лет),</w:t>
            </w:r>
            <w:r>
              <w:rPr>
                <w:spacing w:val="-1"/>
                <w:sz w:val="24"/>
              </w:rPr>
              <w:t> </w:t>
            </w:r>
            <w:r>
              <w:rPr>
                <w:sz w:val="24"/>
              </w:rPr>
              <w:t>≥10%</w:t>
            </w:r>
            <w:r>
              <w:rPr>
                <w:spacing w:val="-2"/>
                <w:sz w:val="24"/>
              </w:rPr>
              <w:t> </w:t>
            </w:r>
            <w:r>
              <w:rPr>
                <w:sz w:val="24"/>
              </w:rPr>
              <w:t>(50–69 лет),</w:t>
            </w:r>
            <w:r>
              <w:rPr>
                <w:spacing w:val="-1"/>
                <w:sz w:val="24"/>
              </w:rPr>
              <w:t> </w:t>
            </w:r>
            <w:r>
              <w:rPr>
                <w:sz w:val="24"/>
              </w:rPr>
              <w:t>≥15%</w:t>
            </w:r>
            <w:r>
              <w:rPr>
                <w:spacing w:val="-2"/>
                <w:sz w:val="24"/>
              </w:rPr>
              <w:t> </w:t>
            </w:r>
            <w:r>
              <w:rPr>
                <w:sz w:val="24"/>
              </w:rPr>
              <w:t>(≥70 </w:t>
            </w:r>
            <w:r>
              <w:rPr>
                <w:spacing w:val="-4"/>
                <w:sz w:val="24"/>
              </w:rPr>
              <w:t>лет)</w:t>
            </w:r>
          </w:p>
        </w:tc>
      </w:tr>
      <w:tr>
        <w:trPr>
          <w:trHeight w:val="3870" w:hRule="atLeast"/>
        </w:trPr>
        <w:tc>
          <w:tcPr>
            <w:tcW w:w="2129" w:type="dxa"/>
            <w:tcBorders>
              <w:top w:val="single" w:sz="8" w:space="0" w:color="C00000"/>
              <w:bottom w:val="single" w:sz="8" w:space="0" w:color="FFFF00"/>
            </w:tcBorders>
            <w:shd w:val="clear" w:color="auto" w:fill="FF0000"/>
          </w:tcPr>
          <w:p>
            <w:pPr>
              <w:pStyle w:val="TableParagraph"/>
              <w:ind w:left="0"/>
              <w:rPr>
                <w:b/>
                <w:sz w:val="26"/>
              </w:rPr>
            </w:pPr>
          </w:p>
          <w:p>
            <w:pPr>
              <w:pStyle w:val="TableParagraph"/>
              <w:ind w:left="0"/>
              <w:rPr>
                <w:b/>
                <w:sz w:val="26"/>
              </w:rPr>
            </w:pPr>
          </w:p>
          <w:p>
            <w:pPr>
              <w:pStyle w:val="TableParagraph"/>
              <w:ind w:left="0"/>
              <w:rPr>
                <w:b/>
                <w:sz w:val="26"/>
              </w:rPr>
            </w:pPr>
          </w:p>
          <w:p>
            <w:pPr>
              <w:pStyle w:val="TableParagraph"/>
              <w:ind w:left="0"/>
              <w:rPr>
                <w:b/>
                <w:sz w:val="26"/>
              </w:rPr>
            </w:pPr>
          </w:p>
          <w:p>
            <w:pPr>
              <w:pStyle w:val="TableParagraph"/>
              <w:ind w:left="0"/>
              <w:rPr>
                <w:b/>
                <w:sz w:val="26"/>
              </w:rPr>
            </w:pPr>
          </w:p>
          <w:p>
            <w:pPr>
              <w:pStyle w:val="TableParagraph"/>
              <w:spacing w:before="232"/>
              <w:ind w:left="143"/>
              <w:rPr>
                <w:sz w:val="24"/>
              </w:rPr>
            </w:pPr>
            <w:r>
              <w:rPr>
                <w:spacing w:val="-2"/>
                <w:sz w:val="24"/>
              </w:rPr>
              <w:t>Высокий</w:t>
            </w:r>
          </w:p>
        </w:tc>
        <w:tc>
          <w:tcPr>
            <w:tcW w:w="7371" w:type="dxa"/>
          </w:tcPr>
          <w:p>
            <w:pPr>
              <w:pStyle w:val="TableParagraph"/>
              <w:numPr>
                <w:ilvl w:val="0"/>
                <w:numId w:val="39"/>
              </w:numPr>
              <w:tabs>
                <w:tab w:pos="864" w:val="left" w:leader="none"/>
              </w:tabs>
              <w:spacing w:line="240" w:lineRule="auto" w:before="70" w:after="0"/>
              <w:ind w:left="863" w:right="0" w:hanging="361"/>
              <w:jc w:val="left"/>
              <w:rPr>
                <w:sz w:val="24"/>
              </w:rPr>
            </w:pPr>
            <w:r>
              <w:rPr>
                <w:sz w:val="24"/>
              </w:rPr>
              <w:t>Значимо</w:t>
            </w:r>
            <w:r>
              <w:rPr>
                <w:spacing w:val="3"/>
                <w:sz w:val="24"/>
              </w:rPr>
              <w:t> </w:t>
            </w:r>
            <w:r>
              <w:rPr>
                <w:sz w:val="24"/>
              </w:rPr>
              <w:t>выраженный</w:t>
            </w:r>
            <w:r>
              <w:rPr>
                <w:spacing w:val="4"/>
                <w:sz w:val="24"/>
              </w:rPr>
              <w:t> </w:t>
            </w:r>
            <w:r>
              <w:rPr>
                <w:sz w:val="24"/>
              </w:rPr>
              <w:t>ФР</w:t>
            </w:r>
            <w:r>
              <w:rPr>
                <w:spacing w:val="5"/>
                <w:sz w:val="24"/>
              </w:rPr>
              <w:t> </w:t>
            </w:r>
            <w:r>
              <w:rPr>
                <w:sz w:val="24"/>
              </w:rPr>
              <w:t>—</w:t>
            </w:r>
            <w:r>
              <w:rPr>
                <w:spacing w:val="3"/>
                <w:sz w:val="24"/>
              </w:rPr>
              <w:t> </w:t>
            </w:r>
            <w:r>
              <w:rPr>
                <w:sz w:val="24"/>
              </w:rPr>
              <w:t>ОХС</w:t>
            </w:r>
            <w:r>
              <w:rPr>
                <w:spacing w:val="4"/>
                <w:sz w:val="24"/>
              </w:rPr>
              <w:t> </w:t>
            </w:r>
            <w:r>
              <w:rPr>
                <w:sz w:val="24"/>
              </w:rPr>
              <w:t>&gt;8</w:t>
            </w:r>
            <w:r>
              <w:rPr>
                <w:spacing w:val="3"/>
                <w:sz w:val="24"/>
              </w:rPr>
              <w:t> </w:t>
            </w:r>
            <w:r>
              <w:rPr>
                <w:sz w:val="24"/>
              </w:rPr>
              <w:t>ммоль/л</w:t>
            </w:r>
            <w:r>
              <w:rPr>
                <w:spacing w:val="4"/>
                <w:sz w:val="24"/>
              </w:rPr>
              <w:t> </w:t>
            </w:r>
            <w:r>
              <w:rPr>
                <w:sz w:val="24"/>
              </w:rPr>
              <w:t>и/или</w:t>
            </w:r>
            <w:r>
              <w:rPr>
                <w:spacing w:val="4"/>
                <w:sz w:val="24"/>
              </w:rPr>
              <w:t> </w:t>
            </w:r>
            <w:r>
              <w:rPr>
                <w:sz w:val="24"/>
              </w:rPr>
              <w:t>ХС</w:t>
            </w:r>
            <w:r>
              <w:rPr>
                <w:spacing w:val="5"/>
                <w:sz w:val="24"/>
              </w:rPr>
              <w:t> </w:t>
            </w:r>
            <w:r>
              <w:rPr>
                <w:spacing w:val="-5"/>
                <w:sz w:val="24"/>
              </w:rPr>
              <w:t>ЛНП</w:t>
            </w:r>
          </w:p>
          <w:p>
            <w:pPr>
              <w:pStyle w:val="TableParagraph"/>
              <w:spacing w:before="120"/>
              <w:ind w:left="863"/>
              <w:rPr>
                <w:sz w:val="24"/>
              </w:rPr>
            </w:pPr>
            <w:r>
              <w:rPr>
                <w:sz w:val="24"/>
                <w:u w:val="single"/>
              </w:rPr>
              <w:t>&gt;</w:t>
            </w:r>
            <w:r>
              <w:rPr>
                <w:sz w:val="24"/>
              </w:rPr>
              <w:t>4,9</w:t>
            </w:r>
            <w:r>
              <w:rPr>
                <w:spacing w:val="-1"/>
                <w:sz w:val="24"/>
              </w:rPr>
              <w:t> </w:t>
            </w:r>
            <w:r>
              <w:rPr>
                <w:sz w:val="24"/>
              </w:rPr>
              <w:t>ммоль/л</w:t>
            </w:r>
            <w:r>
              <w:rPr>
                <w:spacing w:val="-1"/>
                <w:sz w:val="24"/>
              </w:rPr>
              <w:t> </w:t>
            </w:r>
            <w:r>
              <w:rPr>
                <w:sz w:val="24"/>
              </w:rPr>
              <w:t>и/или</w:t>
            </w:r>
            <w:r>
              <w:rPr>
                <w:spacing w:val="-1"/>
                <w:sz w:val="24"/>
              </w:rPr>
              <w:t> </w:t>
            </w:r>
            <w:r>
              <w:rPr>
                <w:sz w:val="24"/>
              </w:rPr>
              <w:t>АД</w:t>
            </w:r>
            <w:r>
              <w:rPr>
                <w:spacing w:val="-2"/>
                <w:sz w:val="24"/>
              </w:rPr>
              <w:t> </w:t>
            </w:r>
            <w:r>
              <w:rPr>
                <w:sz w:val="24"/>
              </w:rPr>
              <w:t>≥180/110</w:t>
            </w:r>
            <w:r>
              <w:rPr>
                <w:spacing w:val="-1"/>
                <w:sz w:val="24"/>
              </w:rPr>
              <w:t> </w:t>
            </w:r>
            <w:r>
              <w:rPr>
                <w:sz w:val="24"/>
              </w:rPr>
              <w:t>мм</w:t>
            </w:r>
            <w:r>
              <w:rPr>
                <w:spacing w:val="-1"/>
                <w:sz w:val="24"/>
              </w:rPr>
              <w:t> </w:t>
            </w:r>
            <w:r>
              <w:rPr>
                <w:spacing w:val="-2"/>
                <w:sz w:val="24"/>
              </w:rPr>
              <w:t>рт.ст.</w:t>
            </w:r>
          </w:p>
          <w:p>
            <w:pPr>
              <w:pStyle w:val="TableParagraph"/>
              <w:numPr>
                <w:ilvl w:val="0"/>
                <w:numId w:val="39"/>
              </w:numPr>
              <w:tabs>
                <w:tab w:pos="864" w:val="left" w:leader="none"/>
              </w:tabs>
              <w:spacing w:line="240" w:lineRule="auto" w:before="136" w:after="0"/>
              <w:ind w:left="863" w:right="0" w:hanging="361"/>
              <w:jc w:val="left"/>
              <w:rPr>
                <w:sz w:val="24"/>
              </w:rPr>
            </w:pPr>
            <w:r>
              <w:rPr>
                <w:sz w:val="24"/>
              </w:rPr>
              <w:t>СГХС</w:t>
            </w:r>
            <w:r>
              <w:rPr>
                <w:spacing w:val="-1"/>
                <w:sz w:val="24"/>
              </w:rPr>
              <w:t> </w:t>
            </w:r>
            <w:r>
              <w:rPr>
                <w:sz w:val="24"/>
              </w:rPr>
              <w:t>без </w:t>
            </w:r>
            <w:r>
              <w:rPr>
                <w:spacing w:val="-7"/>
                <w:sz w:val="24"/>
              </w:rPr>
              <w:t>ФР</w:t>
            </w:r>
          </w:p>
          <w:p>
            <w:pPr>
              <w:pStyle w:val="TableParagraph"/>
              <w:numPr>
                <w:ilvl w:val="0"/>
                <w:numId w:val="39"/>
              </w:numPr>
              <w:tabs>
                <w:tab w:pos="864" w:val="left" w:leader="none"/>
              </w:tabs>
              <w:spacing w:line="240" w:lineRule="auto" w:before="119" w:after="0"/>
              <w:ind w:left="863" w:right="0" w:hanging="361"/>
              <w:jc w:val="left"/>
              <w:rPr>
                <w:sz w:val="24"/>
              </w:rPr>
            </w:pPr>
            <w:r>
              <w:rPr>
                <w:sz w:val="24"/>
              </w:rPr>
              <w:t>СД</w:t>
            </w:r>
            <w:r>
              <w:rPr>
                <w:spacing w:val="-4"/>
                <w:sz w:val="24"/>
              </w:rPr>
              <w:t> </w:t>
            </w:r>
            <w:r>
              <w:rPr>
                <w:sz w:val="24"/>
              </w:rPr>
              <w:t>без поражения органов-мишеней,</w:t>
            </w:r>
            <w:r>
              <w:rPr>
                <w:spacing w:val="-1"/>
                <w:sz w:val="24"/>
              </w:rPr>
              <w:t> </w:t>
            </w:r>
            <w:r>
              <w:rPr>
                <w:sz w:val="24"/>
              </w:rPr>
              <w:t>СД</w:t>
            </w:r>
            <w:r>
              <w:rPr>
                <w:spacing w:val="-2"/>
                <w:sz w:val="24"/>
              </w:rPr>
              <w:t> </w:t>
            </w:r>
            <w:r>
              <w:rPr>
                <w:sz w:val="24"/>
              </w:rPr>
              <w:t>≥10 лет</w:t>
            </w:r>
            <w:r>
              <w:rPr>
                <w:spacing w:val="-1"/>
                <w:sz w:val="24"/>
              </w:rPr>
              <w:t> </w:t>
            </w:r>
            <w:r>
              <w:rPr>
                <w:sz w:val="24"/>
              </w:rPr>
              <w:t>или с</w:t>
            </w:r>
            <w:r>
              <w:rPr>
                <w:spacing w:val="-1"/>
                <w:sz w:val="24"/>
              </w:rPr>
              <w:t> </w:t>
            </w:r>
            <w:r>
              <w:rPr>
                <w:spacing w:val="-5"/>
                <w:sz w:val="24"/>
              </w:rPr>
              <w:t>ФР</w:t>
            </w:r>
          </w:p>
          <w:p>
            <w:pPr>
              <w:pStyle w:val="TableParagraph"/>
              <w:numPr>
                <w:ilvl w:val="0"/>
                <w:numId w:val="39"/>
              </w:numPr>
              <w:tabs>
                <w:tab w:pos="864" w:val="left" w:leader="none"/>
              </w:tabs>
              <w:spacing w:line="240" w:lineRule="auto" w:before="117" w:after="0"/>
              <w:ind w:left="863" w:right="0" w:hanging="361"/>
              <w:jc w:val="left"/>
              <w:rPr>
                <w:sz w:val="24"/>
              </w:rPr>
            </w:pPr>
            <w:r>
              <w:rPr>
                <w:sz w:val="24"/>
              </w:rPr>
              <w:t>ХБП</w:t>
            </w:r>
            <w:r>
              <w:rPr>
                <w:spacing w:val="-2"/>
                <w:sz w:val="24"/>
              </w:rPr>
              <w:t> </w:t>
            </w:r>
            <w:r>
              <w:rPr>
                <w:sz w:val="24"/>
              </w:rPr>
              <w:t>с</w:t>
            </w:r>
            <w:r>
              <w:rPr>
                <w:spacing w:val="-1"/>
                <w:sz w:val="24"/>
              </w:rPr>
              <w:t> </w:t>
            </w:r>
            <w:r>
              <w:rPr>
                <w:sz w:val="24"/>
              </w:rPr>
              <w:t>СКФ</w:t>
            </w:r>
            <w:r>
              <w:rPr>
                <w:spacing w:val="-2"/>
                <w:sz w:val="24"/>
              </w:rPr>
              <w:t> </w:t>
            </w:r>
            <w:r>
              <w:rPr>
                <w:sz w:val="24"/>
              </w:rPr>
              <w:t>30-59 мл/мин/1,73 </w:t>
            </w:r>
            <w:r>
              <w:rPr>
                <w:spacing w:val="-5"/>
                <w:sz w:val="24"/>
              </w:rPr>
              <w:t>м</w:t>
            </w:r>
            <w:r>
              <w:rPr>
                <w:spacing w:val="-5"/>
                <w:sz w:val="24"/>
                <w:vertAlign w:val="superscript"/>
              </w:rPr>
              <w:t>2</w:t>
            </w:r>
          </w:p>
          <w:p>
            <w:pPr>
              <w:pStyle w:val="TableParagraph"/>
              <w:numPr>
                <w:ilvl w:val="0"/>
                <w:numId w:val="39"/>
              </w:numPr>
              <w:tabs>
                <w:tab w:pos="864" w:val="left" w:leader="none"/>
              </w:tabs>
              <w:spacing w:line="333" w:lineRule="auto" w:before="119" w:after="0"/>
              <w:ind w:left="863" w:right="121" w:hanging="360"/>
              <w:jc w:val="left"/>
              <w:rPr>
                <w:sz w:val="24"/>
              </w:rPr>
            </w:pPr>
            <w:r>
              <w:rPr>
                <w:sz w:val="24"/>
              </w:rPr>
              <w:t>Гемодинамически</w:t>
            </w:r>
            <w:r>
              <w:rPr>
                <w:spacing w:val="40"/>
                <w:sz w:val="24"/>
              </w:rPr>
              <w:t> </w:t>
            </w:r>
            <w:r>
              <w:rPr>
                <w:sz w:val="24"/>
              </w:rPr>
              <w:t>незначимый</w:t>
            </w:r>
            <w:r>
              <w:rPr>
                <w:spacing w:val="40"/>
                <w:sz w:val="24"/>
              </w:rPr>
              <w:t> </w:t>
            </w:r>
            <w:r>
              <w:rPr>
                <w:sz w:val="24"/>
              </w:rPr>
              <w:t>атеросклероз</w:t>
            </w:r>
            <w:r>
              <w:rPr>
                <w:spacing w:val="40"/>
                <w:sz w:val="24"/>
              </w:rPr>
              <w:t> </w:t>
            </w:r>
            <w:r>
              <w:rPr>
                <w:sz w:val="24"/>
              </w:rPr>
              <w:t>некоронарных артерий (стеноз(-ы) &gt;25–49%)</w:t>
            </w:r>
          </w:p>
          <w:p>
            <w:pPr>
              <w:pStyle w:val="TableParagraph"/>
              <w:numPr>
                <w:ilvl w:val="0"/>
                <w:numId w:val="39"/>
              </w:numPr>
              <w:tabs>
                <w:tab w:pos="864" w:val="left" w:leader="none"/>
              </w:tabs>
              <w:spacing w:line="240" w:lineRule="auto" w:before="41" w:after="0"/>
              <w:ind w:left="863" w:right="0" w:hanging="361"/>
              <w:jc w:val="left"/>
              <w:rPr>
                <w:sz w:val="24"/>
              </w:rPr>
            </w:pPr>
            <w:r>
              <w:rPr>
                <w:sz w:val="24"/>
              </w:rPr>
              <w:t>SCORE2</w:t>
            </w:r>
            <w:r>
              <w:rPr>
                <w:spacing w:val="9"/>
                <w:sz w:val="24"/>
              </w:rPr>
              <w:t> </w:t>
            </w:r>
            <w:r>
              <w:rPr>
                <w:sz w:val="24"/>
              </w:rPr>
              <w:t>2,5%</w:t>
            </w:r>
            <w:r>
              <w:rPr>
                <w:spacing w:val="11"/>
                <w:sz w:val="24"/>
              </w:rPr>
              <w:t> </w:t>
            </w:r>
            <w:r>
              <w:rPr>
                <w:sz w:val="24"/>
              </w:rPr>
              <w:t>—</w:t>
            </w:r>
            <w:r>
              <w:rPr>
                <w:spacing w:val="11"/>
                <w:sz w:val="24"/>
              </w:rPr>
              <w:t> </w:t>
            </w:r>
            <w:r>
              <w:rPr>
                <w:sz w:val="24"/>
              </w:rPr>
              <w:t>7,5%</w:t>
            </w:r>
            <w:r>
              <w:rPr>
                <w:spacing w:val="13"/>
                <w:sz w:val="24"/>
              </w:rPr>
              <w:t> </w:t>
            </w:r>
            <w:r>
              <w:rPr>
                <w:sz w:val="24"/>
              </w:rPr>
              <w:t>(&lt;50</w:t>
            </w:r>
            <w:r>
              <w:rPr>
                <w:spacing w:val="11"/>
                <w:sz w:val="24"/>
              </w:rPr>
              <w:t> </w:t>
            </w:r>
            <w:r>
              <w:rPr>
                <w:sz w:val="24"/>
              </w:rPr>
              <w:t>лет),</w:t>
            </w:r>
            <w:r>
              <w:rPr>
                <w:spacing w:val="12"/>
                <w:sz w:val="24"/>
              </w:rPr>
              <w:t> </w:t>
            </w:r>
            <w:r>
              <w:rPr>
                <w:sz w:val="24"/>
              </w:rPr>
              <w:t>5–10%</w:t>
            </w:r>
            <w:r>
              <w:rPr>
                <w:spacing w:val="10"/>
                <w:sz w:val="24"/>
              </w:rPr>
              <w:t> </w:t>
            </w:r>
            <w:r>
              <w:rPr>
                <w:sz w:val="24"/>
              </w:rPr>
              <w:t>(50-69</w:t>
            </w:r>
            <w:r>
              <w:rPr>
                <w:spacing w:val="12"/>
                <w:sz w:val="24"/>
              </w:rPr>
              <w:t> </w:t>
            </w:r>
            <w:r>
              <w:rPr>
                <w:sz w:val="24"/>
              </w:rPr>
              <w:t>лет),</w:t>
            </w:r>
            <w:r>
              <w:rPr>
                <w:spacing w:val="12"/>
                <w:sz w:val="24"/>
              </w:rPr>
              <w:t> </w:t>
            </w:r>
            <w:r>
              <w:rPr>
                <w:spacing w:val="-2"/>
                <w:sz w:val="24"/>
              </w:rPr>
              <w:t>7,5–15%</w:t>
            </w:r>
          </w:p>
          <w:p>
            <w:pPr>
              <w:pStyle w:val="TableParagraph"/>
              <w:spacing w:before="116"/>
              <w:ind w:left="863"/>
              <w:rPr>
                <w:sz w:val="24"/>
              </w:rPr>
            </w:pPr>
            <w:r>
              <w:rPr>
                <w:sz w:val="24"/>
              </w:rPr>
              <w:t>(≥70</w:t>
            </w:r>
            <w:r>
              <w:rPr>
                <w:spacing w:val="-1"/>
                <w:sz w:val="24"/>
              </w:rPr>
              <w:t> </w:t>
            </w:r>
            <w:r>
              <w:rPr>
                <w:spacing w:val="-4"/>
                <w:sz w:val="24"/>
              </w:rPr>
              <w:t>лет)</w:t>
            </w:r>
          </w:p>
        </w:tc>
      </w:tr>
      <w:tr>
        <w:trPr>
          <w:trHeight w:val="1386" w:hRule="atLeast"/>
        </w:trPr>
        <w:tc>
          <w:tcPr>
            <w:tcW w:w="2129" w:type="dxa"/>
            <w:tcBorders>
              <w:top w:val="single" w:sz="8" w:space="0" w:color="FF0000"/>
            </w:tcBorders>
            <w:shd w:val="clear" w:color="auto" w:fill="FFFF00"/>
          </w:tcPr>
          <w:p>
            <w:pPr>
              <w:pStyle w:val="TableParagraph"/>
              <w:ind w:left="0"/>
              <w:rPr>
                <w:b/>
                <w:sz w:val="26"/>
              </w:rPr>
            </w:pPr>
          </w:p>
          <w:p>
            <w:pPr>
              <w:pStyle w:val="TableParagraph"/>
              <w:spacing w:before="187"/>
              <w:ind w:left="143"/>
              <w:rPr>
                <w:sz w:val="24"/>
              </w:rPr>
            </w:pPr>
            <w:r>
              <w:rPr>
                <w:spacing w:val="-2"/>
                <w:sz w:val="24"/>
              </w:rPr>
              <w:t>Умеренный</w:t>
            </w:r>
          </w:p>
        </w:tc>
        <w:tc>
          <w:tcPr>
            <w:tcW w:w="7371" w:type="dxa"/>
          </w:tcPr>
          <w:p>
            <w:pPr>
              <w:pStyle w:val="TableParagraph"/>
              <w:spacing w:line="348" w:lineRule="auto" w:before="70"/>
              <w:ind w:left="863" w:right="122" w:hanging="360"/>
              <w:jc w:val="both"/>
              <w:rPr>
                <w:sz w:val="24"/>
              </w:rPr>
            </w:pPr>
            <w:r>
              <w:rPr>
                <w:rFonts w:ascii="Courier New" w:hAnsi="Courier New"/>
                <w:sz w:val="24"/>
              </w:rPr>
              <w:t>­ </w:t>
            </w:r>
            <w:r>
              <w:rPr>
                <w:sz w:val="24"/>
              </w:rPr>
              <w:t>Молодые пациенты (СД 1-го типа моложе 35 лет, СД 2-го</w:t>
            </w:r>
            <w:r>
              <w:rPr>
                <w:spacing w:val="40"/>
                <w:sz w:val="24"/>
              </w:rPr>
              <w:t> </w:t>
            </w:r>
            <w:r>
              <w:rPr>
                <w:sz w:val="24"/>
              </w:rPr>
              <w:t>типа моложе 50 лет) с длительностью СД &lt;10 лет без поражения органов-мишеней и ФР</w:t>
            </w:r>
          </w:p>
        </w:tc>
      </w:tr>
    </w:tbl>
    <w:p>
      <w:pPr>
        <w:spacing w:after="0" w:line="348" w:lineRule="auto"/>
        <w:jc w:val="both"/>
        <w:rPr>
          <w:sz w:val="24"/>
        </w:rPr>
        <w:sectPr>
          <w:pgSz w:w="11910" w:h="16840"/>
          <w:pgMar w:header="0" w:footer="710" w:top="1040" w:bottom="900" w:left="440" w:right="280"/>
        </w:sectPr>
      </w:pPr>
    </w:p>
    <w:tbl>
      <w:tblPr>
        <w:tblW w:w="0" w:type="auto"/>
        <w:jc w:val="left"/>
        <w:tblInd w:w="1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29"/>
        <w:gridCol w:w="7371"/>
      </w:tblGrid>
      <w:tr>
        <w:trPr>
          <w:trHeight w:val="728" w:hRule="atLeast"/>
        </w:trPr>
        <w:tc>
          <w:tcPr>
            <w:tcW w:w="2129" w:type="dxa"/>
            <w:tcBorders>
              <w:bottom w:val="single" w:sz="8" w:space="0" w:color="92D050"/>
            </w:tcBorders>
            <w:shd w:val="clear" w:color="auto" w:fill="FFFF00"/>
          </w:tcPr>
          <w:p>
            <w:pPr>
              <w:pStyle w:val="TableParagraph"/>
              <w:ind w:left="0"/>
              <w:rPr>
                <w:sz w:val="22"/>
              </w:rPr>
            </w:pPr>
          </w:p>
        </w:tc>
        <w:tc>
          <w:tcPr>
            <w:tcW w:w="7371" w:type="dxa"/>
          </w:tcPr>
          <w:p>
            <w:pPr>
              <w:pStyle w:val="TableParagraph"/>
              <w:spacing w:before="73"/>
              <w:ind w:left="0" w:right="386"/>
              <w:jc w:val="right"/>
              <w:rPr>
                <w:sz w:val="24"/>
              </w:rPr>
            </w:pPr>
            <w:r>
              <w:rPr>
                <w:rFonts w:ascii="Courier New" w:hAnsi="Courier New"/>
                <w:sz w:val="24"/>
              </w:rPr>
              <w:t>­</w:t>
            </w:r>
            <w:r>
              <w:rPr>
                <w:rFonts w:ascii="Courier New" w:hAnsi="Courier New"/>
                <w:spacing w:val="68"/>
                <w:sz w:val="24"/>
              </w:rPr>
              <w:t> </w:t>
            </w:r>
            <w:r>
              <w:rPr>
                <w:sz w:val="24"/>
              </w:rPr>
              <w:t>SCORE2</w:t>
            </w:r>
            <w:r>
              <w:rPr>
                <w:spacing w:val="-1"/>
                <w:sz w:val="24"/>
              </w:rPr>
              <w:t> </w:t>
            </w:r>
            <w:r>
              <w:rPr>
                <w:sz w:val="24"/>
              </w:rPr>
              <w:t>&lt;2,5%</w:t>
            </w:r>
            <w:r>
              <w:rPr>
                <w:spacing w:val="-1"/>
                <w:sz w:val="24"/>
              </w:rPr>
              <w:t> </w:t>
            </w:r>
            <w:r>
              <w:rPr>
                <w:sz w:val="24"/>
              </w:rPr>
              <w:t>(&lt;50</w:t>
            </w:r>
            <w:r>
              <w:rPr>
                <w:spacing w:val="-1"/>
                <w:sz w:val="24"/>
              </w:rPr>
              <w:t> </w:t>
            </w:r>
            <w:r>
              <w:rPr>
                <w:sz w:val="24"/>
              </w:rPr>
              <w:t>лет),</w:t>
            </w:r>
            <w:r>
              <w:rPr>
                <w:spacing w:val="-1"/>
                <w:sz w:val="24"/>
              </w:rPr>
              <w:t> </w:t>
            </w:r>
            <w:r>
              <w:rPr>
                <w:sz w:val="24"/>
              </w:rPr>
              <w:t>&lt;5%</w:t>
            </w:r>
            <w:r>
              <w:rPr>
                <w:spacing w:val="-2"/>
                <w:sz w:val="24"/>
              </w:rPr>
              <w:t> </w:t>
            </w:r>
            <w:r>
              <w:rPr>
                <w:sz w:val="24"/>
              </w:rPr>
              <w:t>(50–69 лет),</w:t>
            </w:r>
            <w:r>
              <w:rPr>
                <w:spacing w:val="1"/>
                <w:sz w:val="24"/>
              </w:rPr>
              <w:t> </w:t>
            </w:r>
            <w:r>
              <w:rPr>
                <w:sz w:val="24"/>
              </w:rPr>
              <w:t>&lt;7,5%</w:t>
            </w:r>
            <w:r>
              <w:rPr>
                <w:spacing w:val="-2"/>
                <w:sz w:val="24"/>
              </w:rPr>
              <w:t> </w:t>
            </w:r>
            <w:r>
              <w:rPr>
                <w:sz w:val="24"/>
              </w:rPr>
              <w:t>(≥70 </w:t>
            </w:r>
            <w:r>
              <w:rPr>
                <w:spacing w:val="-4"/>
                <w:sz w:val="24"/>
              </w:rPr>
              <w:t>лет)</w:t>
            </w:r>
          </w:p>
        </w:tc>
      </w:tr>
      <w:tr>
        <w:trPr>
          <w:trHeight w:val="558" w:hRule="atLeast"/>
        </w:trPr>
        <w:tc>
          <w:tcPr>
            <w:tcW w:w="2129" w:type="dxa"/>
            <w:tcBorders>
              <w:top w:val="single" w:sz="8" w:space="0" w:color="FFFF00"/>
            </w:tcBorders>
            <w:shd w:val="clear" w:color="auto" w:fill="92D050"/>
          </w:tcPr>
          <w:p>
            <w:pPr>
              <w:pStyle w:val="TableParagraph"/>
              <w:spacing w:before="73"/>
              <w:ind w:left="143"/>
              <w:rPr>
                <w:sz w:val="24"/>
              </w:rPr>
            </w:pPr>
            <w:r>
              <w:rPr>
                <w:spacing w:val="-2"/>
                <w:sz w:val="24"/>
              </w:rPr>
              <w:t>Низкий</w:t>
            </w:r>
          </w:p>
        </w:tc>
        <w:tc>
          <w:tcPr>
            <w:tcW w:w="7371" w:type="dxa"/>
          </w:tcPr>
          <w:p>
            <w:pPr>
              <w:pStyle w:val="TableParagraph"/>
              <w:spacing w:before="73"/>
              <w:ind w:left="0" w:right="386"/>
              <w:jc w:val="right"/>
              <w:rPr>
                <w:sz w:val="24"/>
              </w:rPr>
            </w:pPr>
            <w:r>
              <w:rPr>
                <w:rFonts w:ascii="Courier New" w:hAnsi="Courier New"/>
                <w:sz w:val="24"/>
              </w:rPr>
              <w:t>­</w:t>
            </w:r>
            <w:r>
              <w:rPr>
                <w:rFonts w:ascii="Courier New" w:hAnsi="Courier New"/>
                <w:spacing w:val="68"/>
                <w:sz w:val="24"/>
              </w:rPr>
              <w:t> </w:t>
            </w:r>
            <w:r>
              <w:rPr>
                <w:sz w:val="24"/>
              </w:rPr>
              <w:t>SCORE2</w:t>
            </w:r>
            <w:r>
              <w:rPr>
                <w:spacing w:val="-1"/>
                <w:sz w:val="24"/>
              </w:rPr>
              <w:t> </w:t>
            </w:r>
            <w:r>
              <w:rPr>
                <w:sz w:val="24"/>
              </w:rPr>
              <w:t>&lt;2,5%</w:t>
            </w:r>
            <w:r>
              <w:rPr>
                <w:spacing w:val="-1"/>
                <w:sz w:val="24"/>
              </w:rPr>
              <w:t> </w:t>
            </w:r>
            <w:r>
              <w:rPr>
                <w:sz w:val="24"/>
              </w:rPr>
              <w:t>(&lt;50</w:t>
            </w:r>
            <w:r>
              <w:rPr>
                <w:spacing w:val="-1"/>
                <w:sz w:val="24"/>
              </w:rPr>
              <w:t> </w:t>
            </w:r>
            <w:r>
              <w:rPr>
                <w:sz w:val="24"/>
              </w:rPr>
              <w:t>лет),</w:t>
            </w:r>
            <w:r>
              <w:rPr>
                <w:spacing w:val="-1"/>
                <w:sz w:val="24"/>
              </w:rPr>
              <w:t> </w:t>
            </w:r>
            <w:r>
              <w:rPr>
                <w:sz w:val="24"/>
              </w:rPr>
              <w:t>&lt;5%</w:t>
            </w:r>
            <w:r>
              <w:rPr>
                <w:spacing w:val="-2"/>
                <w:sz w:val="24"/>
              </w:rPr>
              <w:t> </w:t>
            </w:r>
            <w:r>
              <w:rPr>
                <w:sz w:val="24"/>
              </w:rPr>
              <w:t>(50–69 лет),</w:t>
            </w:r>
            <w:r>
              <w:rPr>
                <w:spacing w:val="1"/>
                <w:sz w:val="24"/>
              </w:rPr>
              <w:t> </w:t>
            </w:r>
            <w:r>
              <w:rPr>
                <w:sz w:val="24"/>
              </w:rPr>
              <w:t>&lt;7,5%</w:t>
            </w:r>
            <w:r>
              <w:rPr>
                <w:spacing w:val="-2"/>
                <w:sz w:val="24"/>
              </w:rPr>
              <w:t> </w:t>
            </w:r>
            <w:r>
              <w:rPr>
                <w:sz w:val="24"/>
              </w:rPr>
              <w:t>(≥70 </w:t>
            </w:r>
            <w:r>
              <w:rPr>
                <w:spacing w:val="-4"/>
                <w:sz w:val="24"/>
              </w:rPr>
              <w:t>лет)</w:t>
            </w:r>
          </w:p>
        </w:tc>
      </w:tr>
    </w:tbl>
    <w:p>
      <w:pPr>
        <w:pStyle w:val="BodyText"/>
        <w:spacing w:line="360" w:lineRule="auto" w:before="14"/>
        <w:ind w:left="1261" w:right="568"/>
        <w:jc w:val="both"/>
      </w:pPr>
      <w:r>
        <w:rPr/>
        <w:t>АГ — артериальная гипертензия, ХБП — хроническая болезнь почек, СКФ — скорость клубочковой фильтрации, ТИА — транзиторная ишемическая атака, CCЗ — сердечно- сосудистые заболевания, АСБ — атеросклеротическая бляшка, СГХС — семейная гиперхолестеринемия, ФР — фактор риска.</w:t>
      </w:r>
    </w:p>
    <w:sectPr>
      <w:type w:val="continuous"/>
      <w:pgSz w:w="11910" w:h="16840"/>
      <w:pgMar w:header="0" w:footer="710" w:top="1100" w:bottom="900" w:left="440" w:right="2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Symbol">
    <w:altName w:val="Symbol"/>
    <w:charset w:val="2"/>
    <w:family w:val="decorative"/>
    <w:pitch w:val="variable"/>
  </w:font>
  <w:font w:name="Calibri">
    <w:altName w:val="Calibri"/>
    <w:charset w:val="1"/>
    <w:family w:val="roman"/>
    <w:pitch w:val="variable"/>
  </w:font>
  <w:font w:name="Cambria">
    <w:altName w:val="Cambria"/>
    <w:charset w:val="1"/>
    <w:family w:val="roman"/>
    <w:pitch w:val="variable"/>
  </w:font>
  <w:font w:name="Wingdings">
    <w:altName w:val="Wingdings"/>
    <w:charset w:val="2"/>
    <w:family w:val="decorative"/>
    <w:pitch w:val="variable"/>
  </w:font>
  <w:font w:name="Courier New">
    <w:altName w:val="Courier New"/>
    <w:charset w:val="1"/>
    <w:family w:val="modern"/>
    <w:pitch w:val="default"/>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type id="_x0000_t202" o:spt="202" coordsize="21600,21600" path="m,l,21600r21600,l21600,xe">
          <v:stroke joinstyle="miter"/>
          <v:path gradientshapeok="t" o:connecttype="rect"/>
        </v:shapetype>
        <v:shape style="position:absolute;margin-left:539.640015pt;margin-top:795.409973pt;width:17.1pt;height:12pt;mso-position-horizontal-relative:page;mso-position-vertical-relative:page;z-index:-18177536" type="#_x0000_t202" id="docshape4" filled="false" stroked="false">
          <v:textbox inset="0,0,0,0">
            <w:txbxContent>
              <w:p>
                <w:pPr>
                  <w:spacing w:line="223" w:lineRule="exact" w:before="0"/>
                  <w:ind w:left="60" w:right="0" w:firstLine="0"/>
                  <w:jc w:val="left"/>
                  <w:rPr>
                    <w:rFonts w:ascii="Calibri"/>
                    <w:sz w:val="20"/>
                  </w:rPr>
                </w:pPr>
                <w:r>
                  <w:rPr>
                    <w:rFonts w:ascii="Calibri"/>
                    <w:spacing w:val="-5"/>
                    <w:sz w:val="20"/>
                  </w:rPr>
                  <w:fldChar w:fldCharType="begin"/>
                </w:r>
                <w:r>
                  <w:rPr>
                    <w:rFonts w:ascii="Calibri"/>
                    <w:spacing w:val="-5"/>
                    <w:sz w:val="20"/>
                  </w:rPr>
                  <w:instrText> PAGE </w:instrText>
                </w:r>
                <w:r>
                  <w:rPr>
                    <w:rFonts w:ascii="Calibri"/>
                    <w:spacing w:val="-5"/>
                    <w:sz w:val="20"/>
                  </w:rPr>
                  <w:fldChar w:fldCharType="separate"/>
                </w:r>
                <w:r>
                  <w:rPr>
                    <w:rFonts w:ascii="Calibri"/>
                    <w:spacing w:val="-5"/>
                    <w:sz w:val="20"/>
                  </w:rPr>
                  <w:t>10</w:t>
                </w:r>
                <w:r>
                  <w:rPr>
                    <w:rFonts w:ascii="Calibri"/>
                    <w:spacing w:val="-5"/>
                    <w:sz w:val="20"/>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ind w:left="0"/>
      <w:rPr>
        <w:sz w:val="20"/>
      </w:rPr>
    </w:pPr>
    <w:r>
      <w:rPr/>
      <w:pict>
        <v:shape style="position:absolute;margin-left:534.479980pt;margin-top:795.409973pt;width:22.15pt;height:12pt;mso-position-horizontal-relative:page;mso-position-vertical-relative:page;z-index:-18177024" type="#_x0000_t202" id="docshape42" filled="false" stroked="false">
          <v:textbox inset="0,0,0,0">
            <w:txbxContent>
              <w:p>
                <w:pPr>
                  <w:spacing w:line="223" w:lineRule="exact" w:before="0"/>
                  <w:ind w:left="60" w:right="0" w:firstLine="0"/>
                  <w:jc w:val="left"/>
                  <w:rPr>
                    <w:rFonts w:ascii="Calibri"/>
                    <w:sz w:val="20"/>
                  </w:rPr>
                </w:pPr>
                <w:r>
                  <w:rPr>
                    <w:rFonts w:ascii="Calibri"/>
                    <w:spacing w:val="-5"/>
                    <w:sz w:val="20"/>
                  </w:rPr>
                  <w:fldChar w:fldCharType="begin"/>
                </w:r>
                <w:r>
                  <w:rPr>
                    <w:rFonts w:ascii="Calibri"/>
                    <w:spacing w:val="-5"/>
                    <w:sz w:val="20"/>
                  </w:rPr>
                  <w:instrText> PAGE </w:instrText>
                </w:r>
                <w:r>
                  <w:rPr>
                    <w:rFonts w:ascii="Calibri"/>
                    <w:spacing w:val="-5"/>
                    <w:sz w:val="20"/>
                  </w:rPr>
                  <w:fldChar w:fldCharType="separate"/>
                </w:r>
                <w:r>
                  <w:rPr>
                    <w:rFonts w:ascii="Calibri"/>
                    <w:spacing w:val="-5"/>
                    <w:sz w:val="20"/>
                  </w:rPr>
                  <w:t>100</w:t>
                </w:r>
                <w:r>
                  <w:rPr>
                    <w:rFonts w:ascii="Calibri"/>
                    <w:spacing w:val="-5"/>
                    <w:sz w:val="20"/>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38">
    <w:multiLevelType w:val="hybridMultilevel"/>
    <w:lvl w:ilvl="0">
      <w:start w:val="0"/>
      <w:numFmt w:val="bullet"/>
      <w:lvlText w:val="­"/>
      <w:lvlJc w:val="left"/>
      <w:pPr>
        <w:ind w:left="863" w:hanging="360"/>
      </w:pPr>
      <w:rPr>
        <w:rFonts w:hint="default" w:ascii="Courier New" w:hAnsi="Courier New" w:eastAsia="Courier New" w:cs="Courier New"/>
        <w:b w:val="0"/>
        <w:bCs w:val="0"/>
        <w:i w:val="0"/>
        <w:iCs w:val="0"/>
        <w:w w:val="100"/>
        <w:sz w:val="24"/>
        <w:szCs w:val="24"/>
        <w:lang w:val="ru-RU" w:eastAsia="en-US" w:bidi="ar-SA"/>
      </w:rPr>
    </w:lvl>
    <w:lvl w:ilvl="1">
      <w:start w:val="0"/>
      <w:numFmt w:val="bullet"/>
      <w:lvlText w:val="•"/>
      <w:lvlJc w:val="left"/>
      <w:pPr>
        <w:ind w:left="1509" w:hanging="360"/>
      </w:pPr>
      <w:rPr>
        <w:rFonts w:hint="default"/>
        <w:lang w:val="ru-RU" w:eastAsia="en-US" w:bidi="ar-SA"/>
      </w:rPr>
    </w:lvl>
    <w:lvl w:ilvl="2">
      <w:start w:val="0"/>
      <w:numFmt w:val="bullet"/>
      <w:lvlText w:val="•"/>
      <w:lvlJc w:val="left"/>
      <w:pPr>
        <w:ind w:left="2158" w:hanging="360"/>
      </w:pPr>
      <w:rPr>
        <w:rFonts w:hint="default"/>
        <w:lang w:val="ru-RU" w:eastAsia="en-US" w:bidi="ar-SA"/>
      </w:rPr>
    </w:lvl>
    <w:lvl w:ilvl="3">
      <w:start w:val="0"/>
      <w:numFmt w:val="bullet"/>
      <w:lvlText w:val="•"/>
      <w:lvlJc w:val="left"/>
      <w:pPr>
        <w:ind w:left="2807" w:hanging="360"/>
      </w:pPr>
      <w:rPr>
        <w:rFonts w:hint="default"/>
        <w:lang w:val="ru-RU" w:eastAsia="en-US" w:bidi="ar-SA"/>
      </w:rPr>
    </w:lvl>
    <w:lvl w:ilvl="4">
      <w:start w:val="0"/>
      <w:numFmt w:val="bullet"/>
      <w:lvlText w:val="•"/>
      <w:lvlJc w:val="left"/>
      <w:pPr>
        <w:ind w:left="3456" w:hanging="360"/>
      </w:pPr>
      <w:rPr>
        <w:rFonts w:hint="default"/>
        <w:lang w:val="ru-RU" w:eastAsia="en-US" w:bidi="ar-SA"/>
      </w:rPr>
    </w:lvl>
    <w:lvl w:ilvl="5">
      <w:start w:val="0"/>
      <w:numFmt w:val="bullet"/>
      <w:lvlText w:val="•"/>
      <w:lvlJc w:val="left"/>
      <w:pPr>
        <w:ind w:left="4105" w:hanging="360"/>
      </w:pPr>
      <w:rPr>
        <w:rFonts w:hint="default"/>
        <w:lang w:val="ru-RU" w:eastAsia="en-US" w:bidi="ar-SA"/>
      </w:rPr>
    </w:lvl>
    <w:lvl w:ilvl="6">
      <w:start w:val="0"/>
      <w:numFmt w:val="bullet"/>
      <w:lvlText w:val="•"/>
      <w:lvlJc w:val="left"/>
      <w:pPr>
        <w:ind w:left="4754" w:hanging="360"/>
      </w:pPr>
      <w:rPr>
        <w:rFonts w:hint="default"/>
        <w:lang w:val="ru-RU" w:eastAsia="en-US" w:bidi="ar-SA"/>
      </w:rPr>
    </w:lvl>
    <w:lvl w:ilvl="7">
      <w:start w:val="0"/>
      <w:numFmt w:val="bullet"/>
      <w:lvlText w:val="•"/>
      <w:lvlJc w:val="left"/>
      <w:pPr>
        <w:ind w:left="5403" w:hanging="360"/>
      </w:pPr>
      <w:rPr>
        <w:rFonts w:hint="default"/>
        <w:lang w:val="ru-RU" w:eastAsia="en-US" w:bidi="ar-SA"/>
      </w:rPr>
    </w:lvl>
    <w:lvl w:ilvl="8">
      <w:start w:val="0"/>
      <w:numFmt w:val="bullet"/>
      <w:lvlText w:val="•"/>
      <w:lvlJc w:val="left"/>
      <w:pPr>
        <w:ind w:left="6052" w:hanging="360"/>
      </w:pPr>
      <w:rPr>
        <w:rFonts w:hint="default"/>
        <w:lang w:val="ru-RU" w:eastAsia="en-US" w:bidi="ar-SA"/>
      </w:rPr>
    </w:lvl>
  </w:abstractNum>
  <w:abstractNum w:abstractNumId="37">
    <w:multiLevelType w:val="hybridMultilevel"/>
    <w:lvl w:ilvl="0">
      <w:start w:val="0"/>
      <w:numFmt w:val="bullet"/>
      <w:lvlText w:val="­"/>
      <w:lvlJc w:val="left"/>
      <w:pPr>
        <w:ind w:left="863" w:hanging="360"/>
      </w:pPr>
      <w:rPr>
        <w:rFonts w:hint="default" w:ascii="Courier New" w:hAnsi="Courier New" w:eastAsia="Courier New" w:cs="Courier New"/>
        <w:b w:val="0"/>
        <w:bCs w:val="0"/>
        <w:i w:val="0"/>
        <w:iCs w:val="0"/>
        <w:w w:val="100"/>
        <w:sz w:val="24"/>
        <w:szCs w:val="24"/>
        <w:lang w:val="ru-RU" w:eastAsia="en-US" w:bidi="ar-SA"/>
      </w:rPr>
    </w:lvl>
    <w:lvl w:ilvl="1">
      <w:start w:val="0"/>
      <w:numFmt w:val="bullet"/>
      <w:lvlText w:val="•"/>
      <w:lvlJc w:val="left"/>
      <w:pPr>
        <w:ind w:left="1509" w:hanging="360"/>
      </w:pPr>
      <w:rPr>
        <w:rFonts w:hint="default"/>
        <w:lang w:val="ru-RU" w:eastAsia="en-US" w:bidi="ar-SA"/>
      </w:rPr>
    </w:lvl>
    <w:lvl w:ilvl="2">
      <w:start w:val="0"/>
      <w:numFmt w:val="bullet"/>
      <w:lvlText w:val="•"/>
      <w:lvlJc w:val="left"/>
      <w:pPr>
        <w:ind w:left="2158" w:hanging="360"/>
      </w:pPr>
      <w:rPr>
        <w:rFonts w:hint="default"/>
        <w:lang w:val="ru-RU" w:eastAsia="en-US" w:bidi="ar-SA"/>
      </w:rPr>
    </w:lvl>
    <w:lvl w:ilvl="3">
      <w:start w:val="0"/>
      <w:numFmt w:val="bullet"/>
      <w:lvlText w:val="•"/>
      <w:lvlJc w:val="left"/>
      <w:pPr>
        <w:ind w:left="2807" w:hanging="360"/>
      </w:pPr>
      <w:rPr>
        <w:rFonts w:hint="default"/>
        <w:lang w:val="ru-RU" w:eastAsia="en-US" w:bidi="ar-SA"/>
      </w:rPr>
    </w:lvl>
    <w:lvl w:ilvl="4">
      <w:start w:val="0"/>
      <w:numFmt w:val="bullet"/>
      <w:lvlText w:val="•"/>
      <w:lvlJc w:val="left"/>
      <w:pPr>
        <w:ind w:left="3456" w:hanging="360"/>
      </w:pPr>
      <w:rPr>
        <w:rFonts w:hint="default"/>
        <w:lang w:val="ru-RU" w:eastAsia="en-US" w:bidi="ar-SA"/>
      </w:rPr>
    </w:lvl>
    <w:lvl w:ilvl="5">
      <w:start w:val="0"/>
      <w:numFmt w:val="bullet"/>
      <w:lvlText w:val="•"/>
      <w:lvlJc w:val="left"/>
      <w:pPr>
        <w:ind w:left="4105" w:hanging="360"/>
      </w:pPr>
      <w:rPr>
        <w:rFonts w:hint="default"/>
        <w:lang w:val="ru-RU" w:eastAsia="en-US" w:bidi="ar-SA"/>
      </w:rPr>
    </w:lvl>
    <w:lvl w:ilvl="6">
      <w:start w:val="0"/>
      <w:numFmt w:val="bullet"/>
      <w:lvlText w:val="•"/>
      <w:lvlJc w:val="left"/>
      <w:pPr>
        <w:ind w:left="4754" w:hanging="360"/>
      </w:pPr>
      <w:rPr>
        <w:rFonts w:hint="default"/>
        <w:lang w:val="ru-RU" w:eastAsia="en-US" w:bidi="ar-SA"/>
      </w:rPr>
    </w:lvl>
    <w:lvl w:ilvl="7">
      <w:start w:val="0"/>
      <w:numFmt w:val="bullet"/>
      <w:lvlText w:val="•"/>
      <w:lvlJc w:val="left"/>
      <w:pPr>
        <w:ind w:left="5403" w:hanging="360"/>
      </w:pPr>
      <w:rPr>
        <w:rFonts w:hint="default"/>
        <w:lang w:val="ru-RU" w:eastAsia="en-US" w:bidi="ar-SA"/>
      </w:rPr>
    </w:lvl>
    <w:lvl w:ilvl="8">
      <w:start w:val="0"/>
      <w:numFmt w:val="bullet"/>
      <w:lvlText w:val="•"/>
      <w:lvlJc w:val="left"/>
      <w:pPr>
        <w:ind w:left="6052" w:hanging="360"/>
      </w:pPr>
      <w:rPr>
        <w:rFonts w:hint="default"/>
        <w:lang w:val="ru-RU" w:eastAsia="en-US" w:bidi="ar-SA"/>
      </w:rPr>
    </w:lvl>
  </w:abstractNum>
  <w:abstractNum w:abstractNumId="36">
    <w:multiLevelType w:val="hybridMultilevel"/>
    <w:lvl w:ilvl="0">
      <w:start w:val="0"/>
      <w:numFmt w:val="bullet"/>
      <w:lvlText w:val=""/>
      <w:lvlJc w:val="left"/>
      <w:pPr>
        <w:ind w:left="467"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891" w:hanging="360"/>
      </w:pPr>
      <w:rPr>
        <w:rFonts w:hint="default"/>
        <w:lang w:val="ru-RU" w:eastAsia="en-US" w:bidi="ar-SA"/>
      </w:rPr>
    </w:lvl>
    <w:lvl w:ilvl="2">
      <w:start w:val="0"/>
      <w:numFmt w:val="bullet"/>
      <w:lvlText w:val="•"/>
      <w:lvlJc w:val="left"/>
      <w:pPr>
        <w:ind w:left="1323" w:hanging="360"/>
      </w:pPr>
      <w:rPr>
        <w:rFonts w:hint="default"/>
        <w:lang w:val="ru-RU" w:eastAsia="en-US" w:bidi="ar-SA"/>
      </w:rPr>
    </w:lvl>
    <w:lvl w:ilvl="3">
      <w:start w:val="0"/>
      <w:numFmt w:val="bullet"/>
      <w:lvlText w:val="•"/>
      <w:lvlJc w:val="left"/>
      <w:pPr>
        <w:ind w:left="1754" w:hanging="360"/>
      </w:pPr>
      <w:rPr>
        <w:rFonts w:hint="default"/>
        <w:lang w:val="ru-RU" w:eastAsia="en-US" w:bidi="ar-SA"/>
      </w:rPr>
    </w:lvl>
    <w:lvl w:ilvl="4">
      <w:start w:val="0"/>
      <w:numFmt w:val="bullet"/>
      <w:lvlText w:val="•"/>
      <w:lvlJc w:val="left"/>
      <w:pPr>
        <w:ind w:left="2186" w:hanging="360"/>
      </w:pPr>
      <w:rPr>
        <w:rFonts w:hint="default"/>
        <w:lang w:val="ru-RU" w:eastAsia="en-US" w:bidi="ar-SA"/>
      </w:rPr>
    </w:lvl>
    <w:lvl w:ilvl="5">
      <w:start w:val="0"/>
      <w:numFmt w:val="bullet"/>
      <w:lvlText w:val="•"/>
      <w:lvlJc w:val="left"/>
      <w:pPr>
        <w:ind w:left="2618" w:hanging="360"/>
      </w:pPr>
      <w:rPr>
        <w:rFonts w:hint="default"/>
        <w:lang w:val="ru-RU" w:eastAsia="en-US" w:bidi="ar-SA"/>
      </w:rPr>
    </w:lvl>
    <w:lvl w:ilvl="6">
      <w:start w:val="0"/>
      <w:numFmt w:val="bullet"/>
      <w:lvlText w:val="•"/>
      <w:lvlJc w:val="left"/>
      <w:pPr>
        <w:ind w:left="3049" w:hanging="360"/>
      </w:pPr>
      <w:rPr>
        <w:rFonts w:hint="default"/>
        <w:lang w:val="ru-RU" w:eastAsia="en-US" w:bidi="ar-SA"/>
      </w:rPr>
    </w:lvl>
    <w:lvl w:ilvl="7">
      <w:start w:val="0"/>
      <w:numFmt w:val="bullet"/>
      <w:lvlText w:val="•"/>
      <w:lvlJc w:val="left"/>
      <w:pPr>
        <w:ind w:left="3481" w:hanging="360"/>
      </w:pPr>
      <w:rPr>
        <w:rFonts w:hint="default"/>
        <w:lang w:val="ru-RU" w:eastAsia="en-US" w:bidi="ar-SA"/>
      </w:rPr>
    </w:lvl>
    <w:lvl w:ilvl="8">
      <w:start w:val="0"/>
      <w:numFmt w:val="bullet"/>
      <w:lvlText w:val="•"/>
      <w:lvlJc w:val="left"/>
      <w:pPr>
        <w:ind w:left="3912" w:hanging="360"/>
      </w:pPr>
      <w:rPr>
        <w:rFonts w:hint="default"/>
        <w:lang w:val="ru-RU" w:eastAsia="en-US" w:bidi="ar-SA"/>
      </w:rPr>
    </w:lvl>
  </w:abstractNum>
  <w:abstractNum w:abstractNumId="35">
    <w:multiLevelType w:val="hybridMultilevel"/>
    <w:lvl w:ilvl="0">
      <w:start w:val="0"/>
      <w:numFmt w:val="bullet"/>
      <w:lvlText w:val=""/>
      <w:lvlJc w:val="left"/>
      <w:pPr>
        <w:ind w:left="467"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891" w:hanging="360"/>
      </w:pPr>
      <w:rPr>
        <w:rFonts w:hint="default"/>
        <w:lang w:val="ru-RU" w:eastAsia="en-US" w:bidi="ar-SA"/>
      </w:rPr>
    </w:lvl>
    <w:lvl w:ilvl="2">
      <w:start w:val="0"/>
      <w:numFmt w:val="bullet"/>
      <w:lvlText w:val="•"/>
      <w:lvlJc w:val="left"/>
      <w:pPr>
        <w:ind w:left="1323" w:hanging="360"/>
      </w:pPr>
      <w:rPr>
        <w:rFonts w:hint="default"/>
        <w:lang w:val="ru-RU" w:eastAsia="en-US" w:bidi="ar-SA"/>
      </w:rPr>
    </w:lvl>
    <w:lvl w:ilvl="3">
      <w:start w:val="0"/>
      <w:numFmt w:val="bullet"/>
      <w:lvlText w:val="•"/>
      <w:lvlJc w:val="left"/>
      <w:pPr>
        <w:ind w:left="1754" w:hanging="360"/>
      </w:pPr>
      <w:rPr>
        <w:rFonts w:hint="default"/>
        <w:lang w:val="ru-RU" w:eastAsia="en-US" w:bidi="ar-SA"/>
      </w:rPr>
    </w:lvl>
    <w:lvl w:ilvl="4">
      <w:start w:val="0"/>
      <w:numFmt w:val="bullet"/>
      <w:lvlText w:val="•"/>
      <w:lvlJc w:val="left"/>
      <w:pPr>
        <w:ind w:left="2186" w:hanging="360"/>
      </w:pPr>
      <w:rPr>
        <w:rFonts w:hint="default"/>
        <w:lang w:val="ru-RU" w:eastAsia="en-US" w:bidi="ar-SA"/>
      </w:rPr>
    </w:lvl>
    <w:lvl w:ilvl="5">
      <w:start w:val="0"/>
      <w:numFmt w:val="bullet"/>
      <w:lvlText w:val="•"/>
      <w:lvlJc w:val="left"/>
      <w:pPr>
        <w:ind w:left="2618" w:hanging="360"/>
      </w:pPr>
      <w:rPr>
        <w:rFonts w:hint="default"/>
        <w:lang w:val="ru-RU" w:eastAsia="en-US" w:bidi="ar-SA"/>
      </w:rPr>
    </w:lvl>
    <w:lvl w:ilvl="6">
      <w:start w:val="0"/>
      <w:numFmt w:val="bullet"/>
      <w:lvlText w:val="•"/>
      <w:lvlJc w:val="left"/>
      <w:pPr>
        <w:ind w:left="3049" w:hanging="360"/>
      </w:pPr>
      <w:rPr>
        <w:rFonts w:hint="default"/>
        <w:lang w:val="ru-RU" w:eastAsia="en-US" w:bidi="ar-SA"/>
      </w:rPr>
    </w:lvl>
    <w:lvl w:ilvl="7">
      <w:start w:val="0"/>
      <w:numFmt w:val="bullet"/>
      <w:lvlText w:val="•"/>
      <w:lvlJc w:val="left"/>
      <w:pPr>
        <w:ind w:left="3481" w:hanging="360"/>
      </w:pPr>
      <w:rPr>
        <w:rFonts w:hint="default"/>
        <w:lang w:val="ru-RU" w:eastAsia="en-US" w:bidi="ar-SA"/>
      </w:rPr>
    </w:lvl>
    <w:lvl w:ilvl="8">
      <w:start w:val="0"/>
      <w:numFmt w:val="bullet"/>
      <w:lvlText w:val="•"/>
      <w:lvlJc w:val="left"/>
      <w:pPr>
        <w:ind w:left="3912" w:hanging="360"/>
      </w:pPr>
      <w:rPr>
        <w:rFonts w:hint="default"/>
        <w:lang w:val="ru-RU" w:eastAsia="en-US" w:bidi="ar-SA"/>
      </w:rPr>
    </w:lvl>
  </w:abstractNum>
  <w:abstractNum w:abstractNumId="34">
    <w:multiLevelType w:val="hybridMultilevel"/>
    <w:lvl w:ilvl="0">
      <w:start w:val="0"/>
      <w:numFmt w:val="bullet"/>
      <w:lvlText w:val=""/>
      <w:lvlJc w:val="left"/>
      <w:pPr>
        <w:ind w:left="467"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891" w:hanging="360"/>
      </w:pPr>
      <w:rPr>
        <w:rFonts w:hint="default"/>
        <w:lang w:val="ru-RU" w:eastAsia="en-US" w:bidi="ar-SA"/>
      </w:rPr>
    </w:lvl>
    <w:lvl w:ilvl="2">
      <w:start w:val="0"/>
      <w:numFmt w:val="bullet"/>
      <w:lvlText w:val="•"/>
      <w:lvlJc w:val="left"/>
      <w:pPr>
        <w:ind w:left="1323" w:hanging="360"/>
      </w:pPr>
      <w:rPr>
        <w:rFonts w:hint="default"/>
        <w:lang w:val="ru-RU" w:eastAsia="en-US" w:bidi="ar-SA"/>
      </w:rPr>
    </w:lvl>
    <w:lvl w:ilvl="3">
      <w:start w:val="0"/>
      <w:numFmt w:val="bullet"/>
      <w:lvlText w:val="•"/>
      <w:lvlJc w:val="left"/>
      <w:pPr>
        <w:ind w:left="1754" w:hanging="360"/>
      </w:pPr>
      <w:rPr>
        <w:rFonts w:hint="default"/>
        <w:lang w:val="ru-RU" w:eastAsia="en-US" w:bidi="ar-SA"/>
      </w:rPr>
    </w:lvl>
    <w:lvl w:ilvl="4">
      <w:start w:val="0"/>
      <w:numFmt w:val="bullet"/>
      <w:lvlText w:val="•"/>
      <w:lvlJc w:val="left"/>
      <w:pPr>
        <w:ind w:left="2186" w:hanging="360"/>
      </w:pPr>
      <w:rPr>
        <w:rFonts w:hint="default"/>
        <w:lang w:val="ru-RU" w:eastAsia="en-US" w:bidi="ar-SA"/>
      </w:rPr>
    </w:lvl>
    <w:lvl w:ilvl="5">
      <w:start w:val="0"/>
      <w:numFmt w:val="bullet"/>
      <w:lvlText w:val="•"/>
      <w:lvlJc w:val="left"/>
      <w:pPr>
        <w:ind w:left="2618" w:hanging="360"/>
      </w:pPr>
      <w:rPr>
        <w:rFonts w:hint="default"/>
        <w:lang w:val="ru-RU" w:eastAsia="en-US" w:bidi="ar-SA"/>
      </w:rPr>
    </w:lvl>
    <w:lvl w:ilvl="6">
      <w:start w:val="0"/>
      <w:numFmt w:val="bullet"/>
      <w:lvlText w:val="•"/>
      <w:lvlJc w:val="left"/>
      <w:pPr>
        <w:ind w:left="3049" w:hanging="360"/>
      </w:pPr>
      <w:rPr>
        <w:rFonts w:hint="default"/>
        <w:lang w:val="ru-RU" w:eastAsia="en-US" w:bidi="ar-SA"/>
      </w:rPr>
    </w:lvl>
    <w:lvl w:ilvl="7">
      <w:start w:val="0"/>
      <w:numFmt w:val="bullet"/>
      <w:lvlText w:val="•"/>
      <w:lvlJc w:val="left"/>
      <w:pPr>
        <w:ind w:left="3481" w:hanging="360"/>
      </w:pPr>
      <w:rPr>
        <w:rFonts w:hint="default"/>
        <w:lang w:val="ru-RU" w:eastAsia="en-US" w:bidi="ar-SA"/>
      </w:rPr>
    </w:lvl>
    <w:lvl w:ilvl="8">
      <w:start w:val="0"/>
      <w:numFmt w:val="bullet"/>
      <w:lvlText w:val="•"/>
      <w:lvlJc w:val="left"/>
      <w:pPr>
        <w:ind w:left="3912" w:hanging="360"/>
      </w:pPr>
      <w:rPr>
        <w:rFonts w:hint="default"/>
        <w:lang w:val="ru-RU" w:eastAsia="en-US" w:bidi="ar-SA"/>
      </w:rPr>
    </w:lvl>
  </w:abstractNum>
  <w:abstractNum w:abstractNumId="33">
    <w:multiLevelType w:val="hybridMultilevel"/>
    <w:lvl w:ilvl="0">
      <w:start w:val="0"/>
      <w:numFmt w:val="bullet"/>
      <w:lvlText w:val=""/>
      <w:lvlJc w:val="left"/>
      <w:pPr>
        <w:ind w:left="467"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891" w:hanging="360"/>
      </w:pPr>
      <w:rPr>
        <w:rFonts w:hint="default"/>
        <w:lang w:val="ru-RU" w:eastAsia="en-US" w:bidi="ar-SA"/>
      </w:rPr>
    </w:lvl>
    <w:lvl w:ilvl="2">
      <w:start w:val="0"/>
      <w:numFmt w:val="bullet"/>
      <w:lvlText w:val="•"/>
      <w:lvlJc w:val="left"/>
      <w:pPr>
        <w:ind w:left="1323" w:hanging="360"/>
      </w:pPr>
      <w:rPr>
        <w:rFonts w:hint="default"/>
        <w:lang w:val="ru-RU" w:eastAsia="en-US" w:bidi="ar-SA"/>
      </w:rPr>
    </w:lvl>
    <w:lvl w:ilvl="3">
      <w:start w:val="0"/>
      <w:numFmt w:val="bullet"/>
      <w:lvlText w:val="•"/>
      <w:lvlJc w:val="left"/>
      <w:pPr>
        <w:ind w:left="1754" w:hanging="360"/>
      </w:pPr>
      <w:rPr>
        <w:rFonts w:hint="default"/>
        <w:lang w:val="ru-RU" w:eastAsia="en-US" w:bidi="ar-SA"/>
      </w:rPr>
    </w:lvl>
    <w:lvl w:ilvl="4">
      <w:start w:val="0"/>
      <w:numFmt w:val="bullet"/>
      <w:lvlText w:val="•"/>
      <w:lvlJc w:val="left"/>
      <w:pPr>
        <w:ind w:left="2186" w:hanging="360"/>
      </w:pPr>
      <w:rPr>
        <w:rFonts w:hint="default"/>
        <w:lang w:val="ru-RU" w:eastAsia="en-US" w:bidi="ar-SA"/>
      </w:rPr>
    </w:lvl>
    <w:lvl w:ilvl="5">
      <w:start w:val="0"/>
      <w:numFmt w:val="bullet"/>
      <w:lvlText w:val="•"/>
      <w:lvlJc w:val="left"/>
      <w:pPr>
        <w:ind w:left="2618" w:hanging="360"/>
      </w:pPr>
      <w:rPr>
        <w:rFonts w:hint="default"/>
        <w:lang w:val="ru-RU" w:eastAsia="en-US" w:bidi="ar-SA"/>
      </w:rPr>
    </w:lvl>
    <w:lvl w:ilvl="6">
      <w:start w:val="0"/>
      <w:numFmt w:val="bullet"/>
      <w:lvlText w:val="•"/>
      <w:lvlJc w:val="left"/>
      <w:pPr>
        <w:ind w:left="3049" w:hanging="360"/>
      </w:pPr>
      <w:rPr>
        <w:rFonts w:hint="default"/>
        <w:lang w:val="ru-RU" w:eastAsia="en-US" w:bidi="ar-SA"/>
      </w:rPr>
    </w:lvl>
    <w:lvl w:ilvl="7">
      <w:start w:val="0"/>
      <w:numFmt w:val="bullet"/>
      <w:lvlText w:val="•"/>
      <w:lvlJc w:val="left"/>
      <w:pPr>
        <w:ind w:left="3481" w:hanging="360"/>
      </w:pPr>
      <w:rPr>
        <w:rFonts w:hint="default"/>
        <w:lang w:val="ru-RU" w:eastAsia="en-US" w:bidi="ar-SA"/>
      </w:rPr>
    </w:lvl>
    <w:lvl w:ilvl="8">
      <w:start w:val="0"/>
      <w:numFmt w:val="bullet"/>
      <w:lvlText w:val="•"/>
      <w:lvlJc w:val="left"/>
      <w:pPr>
        <w:ind w:left="3912" w:hanging="360"/>
      </w:pPr>
      <w:rPr>
        <w:rFonts w:hint="default"/>
        <w:lang w:val="ru-RU" w:eastAsia="en-US" w:bidi="ar-SA"/>
      </w:rPr>
    </w:lvl>
  </w:abstractNum>
  <w:abstractNum w:abstractNumId="32">
    <w:multiLevelType w:val="hybridMultilevel"/>
    <w:lvl w:ilvl="0">
      <w:start w:val="0"/>
      <w:numFmt w:val="bullet"/>
      <w:lvlText w:val=""/>
      <w:lvlJc w:val="left"/>
      <w:pPr>
        <w:ind w:left="467"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891" w:hanging="360"/>
      </w:pPr>
      <w:rPr>
        <w:rFonts w:hint="default"/>
        <w:lang w:val="ru-RU" w:eastAsia="en-US" w:bidi="ar-SA"/>
      </w:rPr>
    </w:lvl>
    <w:lvl w:ilvl="2">
      <w:start w:val="0"/>
      <w:numFmt w:val="bullet"/>
      <w:lvlText w:val="•"/>
      <w:lvlJc w:val="left"/>
      <w:pPr>
        <w:ind w:left="1323" w:hanging="360"/>
      </w:pPr>
      <w:rPr>
        <w:rFonts w:hint="default"/>
        <w:lang w:val="ru-RU" w:eastAsia="en-US" w:bidi="ar-SA"/>
      </w:rPr>
    </w:lvl>
    <w:lvl w:ilvl="3">
      <w:start w:val="0"/>
      <w:numFmt w:val="bullet"/>
      <w:lvlText w:val="•"/>
      <w:lvlJc w:val="left"/>
      <w:pPr>
        <w:ind w:left="1754" w:hanging="360"/>
      </w:pPr>
      <w:rPr>
        <w:rFonts w:hint="default"/>
        <w:lang w:val="ru-RU" w:eastAsia="en-US" w:bidi="ar-SA"/>
      </w:rPr>
    </w:lvl>
    <w:lvl w:ilvl="4">
      <w:start w:val="0"/>
      <w:numFmt w:val="bullet"/>
      <w:lvlText w:val="•"/>
      <w:lvlJc w:val="left"/>
      <w:pPr>
        <w:ind w:left="2186" w:hanging="360"/>
      </w:pPr>
      <w:rPr>
        <w:rFonts w:hint="default"/>
        <w:lang w:val="ru-RU" w:eastAsia="en-US" w:bidi="ar-SA"/>
      </w:rPr>
    </w:lvl>
    <w:lvl w:ilvl="5">
      <w:start w:val="0"/>
      <w:numFmt w:val="bullet"/>
      <w:lvlText w:val="•"/>
      <w:lvlJc w:val="left"/>
      <w:pPr>
        <w:ind w:left="2618" w:hanging="360"/>
      </w:pPr>
      <w:rPr>
        <w:rFonts w:hint="default"/>
        <w:lang w:val="ru-RU" w:eastAsia="en-US" w:bidi="ar-SA"/>
      </w:rPr>
    </w:lvl>
    <w:lvl w:ilvl="6">
      <w:start w:val="0"/>
      <w:numFmt w:val="bullet"/>
      <w:lvlText w:val="•"/>
      <w:lvlJc w:val="left"/>
      <w:pPr>
        <w:ind w:left="3049" w:hanging="360"/>
      </w:pPr>
      <w:rPr>
        <w:rFonts w:hint="default"/>
        <w:lang w:val="ru-RU" w:eastAsia="en-US" w:bidi="ar-SA"/>
      </w:rPr>
    </w:lvl>
    <w:lvl w:ilvl="7">
      <w:start w:val="0"/>
      <w:numFmt w:val="bullet"/>
      <w:lvlText w:val="•"/>
      <w:lvlJc w:val="left"/>
      <w:pPr>
        <w:ind w:left="3481" w:hanging="360"/>
      </w:pPr>
      <w:rPr>
        <w:rFonts w:hint="default"/>
        <w:lang w:val="ru-RU" w:eastAsia="en-US" w:bidi="ar-SA"/>
      </w:rPr>
    </w:lvl>
    <w:lvl w:ilvl="8">
      <w:start w:val="0"/>
      <w:numFmt w:val="bullet"/>
      <w:lvlText w:val="•"/>
      <w:lvlJc w:val="left"/>
      <w:pPr>
        <w:ind w:left="3912" w:hanging="360"/>
      </w:pPr>
      <w:rPr>
        <w:rFonts w:hint="default"/>
        <w:lang w:val="ru-RU" w:eastAsia="en-US" w:bidi="ar-SA"/>
      </w:rPr>
    </w:lvl>
  </w:abstractNum>
  <w:abstractNum w:abstractNumId="31">
    <w:multiLevelType w:val="hybridMultilevel"/>
    <w:lvl w:ilvl="0">
      <w:start w:val="0"/>
      <w:numFmt w:val="bullet"/>
      <w:lvlText w:val=""/>
      <w:lvlJc w:val="left"/>
      <w:pPr>
        <w:ind w:left="467"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891" w:hanging="360"/>
      </w:pPr>
      <w:rPr>
        <w:rFonts w:hint="default"/>
        <w:lang w:val="ru-RU" w:eastAsia="en-US" w:bidi="ar-SA"/>
      </w:rPr>
    </w:lvl>
    <w:lvl w:ilvl="2">
      <w:start w:val="0"/>
      <w:numFmt w:val="bullet"/>
      <w:lvlText w:val="•"/>
      <w:lvlJc w:val="left"/>
      <w:pPr>
        <w:ind w:left="1323" w:hanging="360"/>
      </w:pPr>
      <w:rPr>
        <w:rFonts w:hint="default"/>
        <w:lang w:val="ru-RU" w:eastAsia="en-US" w:bidi="ar-SA"/>
      </w:rPr>
    </w:lvl>
    <w:lvl w:ilvl="3">
      <w:start w:val="0"/>
      <w:numFmt w:val="bullet"/>
      <w:lvlText w:val="•"/>
      <w:lvlJc w:val="left"/>
      <w:pPr>
        <w:ind w:left="1754" w:hanging="360"/>
      </w:pPr>
      <w:rPr>
        <w:rFonts w:hint="default"/>
        <w:lang w:val="ru-RU" w:eastAsia="en-US" w:bidi="ar-SA"/>
      </w:rPr>
    </w:lvl>
    <w:lvl w:ilvl="4">
      <w:start w:val="0"/>
      <w:numFmt w:val="bullet"/>
      <w:lvlText w:val="•"/>
      <w:lvlJc w:val="left"/>
      <w:pPr>
        <w:ind w:left="2186" w:hanging="360"/>
      </w:pPr>
      <w:rPr>
        <w:rFonts w:hint="default"/>
        <w:lang w:val="ru-RU" w:eastAsia="en-US" w:bidi="ar-SA"/>
      </w:rPr>
    </w:lvl>
    <w:lvl w:ilvl="5">
      <w:start w:val="0"/>
      <w:numFmt w:val="bullet"/>
      <w:lvlText w:val="•"/>
      <w:lvlJc w:val="left"/>
      <w:pPr>
        <w:ind w:left="2618" w:hanging="360"/>
      </w:pPr>
      <w:rPr>
        <w:rFonts w:hint="default"/>
        <w:lang w:val="ru-RU" w:eastAsia="en-US" w:bidi="ar-SA"/>
      </w:rPr>
    </w:lvl>
    <w:lvl w:ilvl="6">
      <w:start w:val="0"/>
      <w:numFmt w:val="bullet"/>
      <w:lvlText w:val="•"/>
      <w:lvlJc w:val="left"/>
      <w:pPr>
        <w:ind w:left="3049" w:hanging="360"/>
      </w:pPr>
      <w:rPr>
        <w:rFonts w:hint="default"/>
        <w:lang w:val="ru-RU" w:eastAsia="en-US" w:bidi="ar-SA"/>
      </w:rPr>
    </w:lvl>
    <w:lvl w:ilvl="7">
      <w:start w:val="0"/>
      <w:numFmt w:val="bullet"/>
      <w:lvlText w:val="•"/>
      <w:lvlJc w:val="left"/>
      <w:pPr>
        <w:ind w:left="3481" w:hanging="360"/>
      </w:pPr>
      <w:rPr>
        <w:rFonts w:hint="default"/>
        <w:lang w:val="ru-RU" w:eastAsia="en-US" w:bidi="ar-SA"/>
      </w:rPr>
    </w:lvl>
    <w:lvl w:ilvl="8">
      <w:start w:val="0"/>
      <w:numFmt w:val="bullet"/>
      <w:lvlText w:val="•"/>
      <w:lvlJc w:val="left"/>
      <w:pPr>
        <w:ind w:left="3912" w:hanging="360"/>
      </w:pPr>
      <w:rPr>
        <w:rFonts w:hint="default"/>
        <w:lang w:val="ru-RU" w:eastAsia="en-US" w:bidi="ar-SA"/>
      </w:rPr>
    </w:lvl>
  </w:abstractNum>
  <w:abstractNum w:abstractNumId="30">
    <w:multiLevelType w:val="hybridMultilevel"/>
    <w:lvl w:ilvl="0">
      <w:start w:val="0"/>
      <w:numFmt w:val="bullet"/>
      <w:lvlText w:val=""/>
      <w:lvlJc w:val="left"/>
      <w:pPr>
        <w:ind w:left="883" w:hanging="284"/>
      </w:pPr>
      <w:rPr>
        <w:rFonts w:hint="default" w:ascii="Symbol" w:hAnsi="Symbol" w:eastAsia="Symbol" w:cs="Symbol"/>
        <w:b w:val="0"/>
        <w:bCs w:val="0"/>
        <w:i w:val="0"/>
        <w:iCs w:val="0"/>
        <w:w w:val="100"/>
        <w:sz w:val="18"/>
        <w:szCs w:val="18"/>
        <w:lang w:val="ru-RU" w:eastAsia="en-US" w:bidi="ar-SA"/>
      </w:rPr>
    </w:lvl>
    <w:lvl w:ilvl="1">
      <w:start w:val="0"/>
      <w:numFmt w:val="bullet"/>
      <w:lvlText w:val="•"/>
      <w:lvlJc w:val="left"/>
      <w:pPr>
        <w:ind w:left="1124" w:hanging="284"/>
      </w:pPr>
      <w:rPr>
        <w:rFonts w:hint="default"/>
        <w:lang w:val="ru-RU" w:eastAsia="en-US" w:bidi="ar-SA"/>
      </w:rPr>
    </w:lvl>
    <w:lvl w:ilvl="2">
      <w:start w:val="0"/>
      <w:numFmt w:val="bullet"/>
      <w:lvlText w:val="•"/>
      <w:lvlJc w:val="left"/>
      <w:pPr>
        <w:ind w:left="1369" w:hanging="284"/>
      </w:pPr>
      <w:rPr>
        <w:rFonts w:hint="default"/>
        <w:lang w:val="ru-RU" w:eastAsia="en-US" w:bidi="ar-SA"/>
      </w:rPr>
    </w:lvl>
    <w:lvl w:ilvl="3">
      <w:start w:val="0"/>
      <w:numFmt w:val="bullet"/>
      <w:lvlText w:val="•"/>
      <w:lvlJc w:val="left"/>
      <w:pPr>
        <w:ind w:left="1614" w:hanging="284"/>
      </w:pPr>
      <w:rPr>
        <w:rFonts w:hint="default"/>
        <w:lang w:val="ru-RU" w:eastAsia="en-US" w:bidi="ar-SA"/>
      </w:rPr>
    </w:lvl>
    <w:lvl w:ilvl="4">
      <w:start w:val="0"/>
      <w:numFmt w:val="bullet"/>
      <w:lvlText w:val="•"/>
      <w:lvlJc w:val="left"/>
      <w:pPr>
        <w:ind w:left="1859" w:hanging="284"/>
      </w:pPr>
      <w:rPr>
        <w:rFonts w:hint="default"/>
        <w:lang w:val="ru-RU" w:eastAsia="en-US" w:bidi="ar-SA"/>
      </w:rPr>
    </w:lvl>
    <w:lvl w:ilvl="5">
      <w:start w:val="0"/>
      <w:numFmt w:val="bullet"/>
      <w:lvlText w:val="•"/>
      <w:lvlJc w:val="left"/>
      <w:pPr>
        <w:ind w:left="2103" w:hanging="284"/>
      </w:pPr>
      <w:rPr>
        <w:rFonts w:hint="default"/>
        <w:lang w:val="ru-RU" w:eastAsia="en-US" w:bidi="ar-SA"/>
      </w:rPr>
    </w:lvl>
    <w:lvl w:ilvl="6">
      <w:start w:val="0"/>
      <w:numFmt w:val="bullet"/>
      <w:lvlText w:val="•"/>
      <w:lvlJc w:val="left"/>
      <w:pPr>
        <w:ind w:left="2348" w:hanging="284"/>
      </w:pPr>
      <w:rPr>
        <w:rFonts w:hint="default"/>
        <w:lang w:val="ru-RU" w:eastAsia="en-US" w:bidi="ar-SA"/>
      </w:rPr>
    </w:lvl>
    <w:lvl w:ilvl="7">
      <w:start w:val="0"/>
      <w:numFmt w:val="bullet"/>
      <w:lvlText w:val="•"/>
      <w:lvlJc w:val="left"/>
      <w:pPr>
        <w:ind w:left="2593" w:hanging="284"/>
      </w:pPr>
      <w:rPr>
        <w:rFonts w:hint="default"/>
        <w:lang w:val="ru-RU" w:eastAsia="en-US" w:bidi="ar-SA"/>
      </w:rPr>
    </w:lvl>
    <w:lvl w:ilvl="8">
      <w:start w:val="0"/>
      <w:numFmt w:val="bullet"/>
      <w:lvlText w:val="•"/>
      <w:lvlJc w:val="left"/>
      <w:pPr>
        <w:ind w:left="2838" w:hanging="284"/>
      </w:pPr>
      <w:rPr>
        <w:rFonts w:hint="default"/>
        <w:lang w:val="ru-RU" w:eastAsia="en-US" w:bidi="ar-SA"/>
      </w:rPr>
    </w:lvl>
  </w:abstractNum>
  <w:abstractNum w:abstractNumId="29">
    <w:multiLevelType w:val="hybridMultilevel"/>
    <w:lvl w:ilvl="0">
      <w:start w:val="0"/>
      <w:numFmt w:val="bullet"/>
      <w:lvlText w:val=""/>
      <w:lvlJc w:val="left"/>
      <w:pPr>
        <w:ind w:left="2051" w:hanging="284"/>
      </w:pPr>
      <w:rPr>
        <w:rFonts w:hint="default" w:ascii="Symbol" w:hAnsi="Symbol" w:eastAsia="Symbol" w:cs="Symbol"/>
        <w:b w:val="0"/>
        <w:bCs w:val="0"/>
        <w:i w:val="0"/>
        <w:iCs w:val="0"/>
        <w:w w:val="100"/>
        <w:sz w:val="18"/>
        <w:szCs w:val="18"/>
        <w:lang w:val="ru-RU" w:eastAsia="en-US" w:bidi="ar-SA"/>
      </w:rPr>
    </w:lvl>
    <w:lvl w:ilvl="1">
      <w:start w:val="0"/>
      <w:numFmt w:val="bullet"/>
      <w:lvlText w:val="•"/>
      <w:lvlJc w:val="left"/>
      <w:pPr>
        <w:ind w:left="2305" w:hanging="284"/>
      </w:pPr>
      <w:rPr>
        <w:rFonts w:hint="default"/>
        <w:lang w:val="ru-RU" w:eastAsia="en-US" w:bidi="ar-SA"/>
      </w:rPr>
    </w:lvl>
    <w:lvl w:ilvl="2">
      <w:start w:val="0"/>
      <w:numFmt w:val="bullet"/>
      <w:lvlText w:val="•"/>
      <w:lvlJc w:val="left"/>
      <w:pPr>
        <w:ind w:left="2550" w:hanging="284"/>
      </w:pPr>
      <w:rPr>
        <w:rFonts w:hint="default"/>
        <w:lang w:val="ru-RU" w:eastAsia="en-US" w:bidi="ar-SA"/>
      </w:rPr>
    </w:lvl>
    <w:lvl w:ilvl="3">
      <w:start w:val="0"/>
      <w:numFmt w:val="bullet"/>
      <w:lvlText w:val="•"/>
      <w:lvlJc w:val="left"/>
      <w:pPr>
        <w:ind w:left="2795" w:hanging="284"/>
      </w:pPr>
      <w:rPr>
        <w:rFonts w:hint="default"/>
        <w:lang w:val="ru-RU" w:eastAsia="en-US" w:bidi="ar-SA"/>
      </w:rPr>
    </w:lvl>
    <w:lvl w:ilvl="4">
      <w:start w:val="0"/>
      <w:numFmt w:val="bullet"/>
      <w:lvlText w:val="•"/>
      <w:lvlJc w:val="left"/>
      <w:pPr>
        <w:ind w:left="3040" w:hanging="284"/>
      </w:pPr>
      <w:rPr>
        <w:rFonts w:hint="default"/>
        <w:lang w:val="ru-RU" w:eastAsia="en-US" w:bidi="ar-SA"/>
      </w:rPr>
    </w:lvl>
    <w:lvl w:ilvl="5">
      <w:start w:val="0"/>
      <w:numFmt w:val="bullet"/>
      <w:lvlText w:val="•"/>
      <w:lvlJc w:val="left"/>
      <w:pPr>
        <w:ind w:left="3286" w:hanging="284"/>
      </w:pPr>
      <w:rPr>
        <w:rFonts w:hint="default"/>
        <w:lang w:val="ru-RU" w:eastAsia="en-US" w:bidi="ar-SA"/>
      </w:rPr>
    </w:lvl>
    <w:lvl w:ilvl="6">
      <w:start w:val="0"/>
      <w:numFmt w:val="bullet"/>
      <w:lvlText w:val="•"/>
      <w:lvlJc w:val="left"/>
      <w:pPr>
        <w:ind w:left="3531" w:hanging="284"/>
      </w:pPr>
      <w:rPr>
        <w:rFonts w:hint="default"/>
        <w:lang w:val="ru-RU" w:eastAsia="en-US" w:bidi="ar-SA"/>
      </w:rPr>
    </w:lvl>
    <w:lvl w:ilvl="7">
      <w:start w:val="0"/>
      <w:numFmt w:val="bullet"/>
      <w:lvlText w:val="•"/>
      <w:lvlJc w:val="left"/>
      <w:pPr>
        <w:ind w:left="3776" w:hanging="284"/>
      </w:pPr>
      <w:rPr>
        <w:rFonts w:hint="default"/>
        <w:lang w:val="ru-RU" w:eastAsia="en-US" w:bidi="ar-SA"/>
      </w:rPr>
    </w:lvl>
    <w:lvl w:ilvl="8">
      <w:start w:val="0"/>
      <w:numFmt w:val="bullet"/>
      <w:lvlText w:val="•"/>
      <w:lvlJc w:val="left"/>
      <w:pPr>
        <w:ind w:left="4021" w:hanging="284"/>
      </w:pPr>
      <w:rPr>
        <w:rFonts w:hint="default"/>
        <w:lang w:val="ru-RU" w:eastAsia="en-US" w:bidi="ar-SA"/>
      </w:rPr>
    </w:lvl>
  </w:abstractNum>
  <w:abstractNum w:abstractNumId="28">
    <w:multiLevelType w:val="hybridMultilevel"/>
    <w:lvl w:ilvl="0">
      <w:start w:val="2"/>
      <w:numFmt w:val="decimal"/>
      <w:lvlText w:val="%1)"/>
      <w:lvlJc w:val="left"/>
      <w:pPr>
        <w:ind w:left="815" w:hanging="708"/>
        <w:jc w:val="left"/>
      </w:pPr>
      <w:rPr>
        <w:rFonts w:hint="default" w:ascii="Times New Roman" w:hAnsi="Times New Roman" w:eastAsia="Times New Roman" w:cs="Times New Roman"/>
        <w:b w:val="0"/>
        <w:bCs w:val="0"/>
        <w:i w:val="0"/>
        <w:iCs w:val="0"/>
        <w:w w:val="100"/>
        <w:sz w:val="24"/>
        <w:szCs w:val="24"/>
        <w:lang w:val="ru-RU" w:eastAsia="en-US" w:bidi="ar-SA"/>
      </w:rPr>
    </w:lvl>
    <w:lvl w:ilvl="1">
      <w:start w:val="0"/>
      <w:numFmt w:val="bullet"/>
      <w:lvlText w:val=""/>
      <w:lvlJc w:val="left"/>
      <w:pPr>
        <w:ind w:left="107" w:hanging="708"/>
      </w:pPr>
      <w:rPr>
        <w:rFonts w:hint="default" w:ascii="Symbol" w:hAnsi="Symbol" w:eastAsia="Symbol" w:cs="Symbol"/>
        <w:b w:val="0"/>
        <w:bCs w:val="0"/>
        <w:i w:val="0"/>
        <w:iCs w:val="0"/>
        <w:w w:val="100"/>
        <w:sz w:val="24"/>
        <w:szCs w:val="24"/>
        <w:lang w:val="ru-RU" w:eastAsia="en-US" w:bidi="ar-SA"/>
      </w:rPr>
    </w:lvl>
    <w:lvl w:ilvl="2">
      <w:start w:val="0"/>
      <w:numFmt w:val="bullet"/>
      <w:lvlText w:val="•"/>
      <w:lvlJc w:val="left"/>
      <w:pPr>
        <w:ind w:left="1705" w:hanging="708"/>
      </w:pPr>
      <w:rPr>
        <w:rFonts w:hint="default"/>
        <w:lang w:val="ru-RU" w:eastAsia="en-US" w:bidi="ar-SA"/>
      </w:rPr>
    </w:lvl>
    <w:lvl w:ilvl="3">
      <w:start w:val="0"/>
      <w:numFmt w:val="bullet"/>
      <w:lvlText w:val="•"/>
      <w:lvlJc w:val="left"/>
      <w:pPr>
        <w:ind w:left="2591" w:hanging="708"/>
      </w:pPr>
      <w:rPr>
        <w:rFonts w:hint="default"/>
        <w:lang w:val="ru-RU" w:eastAsia="en-US" w:bidi="ar-SA"/>
      </w:rPr>
    </w:lvl>
    <w:lvl w:ilvl="4">
      <w:start w:val="0"/>
      <w:numFmt w:val="bullet"/>
      <w:lvlText w:val="•"/>
      <w:lvlJc w:val="left"/>
      <w:pPr>
        <w:ind w:left="3477" w:hanging="708"/>
      </w:pPr>
      <w:rPr>
        <w:rFonts w:hint="default"/>
        <w:lang w:val="ru-RU" w:eastAsia="en-US" w:bidi="ar-SA"/>
      </w:rPr>
    </w:lvl>
    <w:lvl w:ilvl="5">
      <w:start w:val="0"/>
      <w:numFmt w:val="bullet"/>
      <w:lvlText w:val="•"/>
      <w:lvlJc w:val="left"/>
      <w:pPr>
        <w:ind w:left="4362" w:hanging="708"/>
      </w:pPr>
      <w:rPr>
        <w:rFonts w:hint="default"/>
        <w:lang w:val="ru-RU" w:eastAsia="en-US" w:bidi="ar-SA"/>
      </w:rPr>
    </w:lvl>
    <w:lvl w:ilvl="6">
      <w:start w:val="0"/>
      <w:numFmt w:val="bullet"/>
      <w:lvlText w:val="•"/>
      <w:lvlJc w:val="left"/>
      <w:pPr>
        <w:ind w:left="5248" w:hanging="708"/>
      </w:pPr>
      <w:rPr>
        <w:rFonts w:hint="default"/>
        <w:lang w:val="ru-RU" w:eastAsia="en-US" w:bidi="ar-SA"/>
      </w:rPr>
    </w:lvl>
    <w:lvl w:ilvl="7">
      <w:start w:val="0"/>
      <w:numFmt w:val="bullet"/>
      <w:lvlText w:val="•"/>
      <w:lvlJc w:val="left"/>
      <w:pPr>
        <w:ind w:left="6134" w:hanging="708"/>
      </w:pPr>
      <w:rPr>
        <w:rFonts w:hint="default"/>
        <w:lang w:val="ru-RU" w:eastAsia="en-US" w:bidi="ar-SA"/>
      </w:rPr>
    </w:lvl>
    <w:lvl w:ilvl="8">
      <w:start w:val="0"/>
      <w:numFmt w:val="bullet"/>
      <w:lvlText w:val="•"/>
      <w:lvlJc w:val="left"/>
      <w:pPr>
        <w:ind w:left="7019" w:hanging="708"/>
      </w:pPr>
      <w:rPr>
        <w:rFonts w:hint="default"/>
        <w:lang w:val="ru-RU" w:eastAsia="en-US" w:bidi="ar-SA"/>
      </w:rPr>
    </w:lvl>
  </w:abstractNum>
  <w:abstractNum w:abstractNumId="27">
    <w:multiLevelType w:val="hybridMultilevel"/>
    <w:lvl w:ilvl="0">
      <w:start w:val="0"/>
      <w:numFmt w:val="bullet"/>
      <w:lvlText w:val=""/>
      <w:lvlJc w:val="left"/>
      <w:pPr>
        <w:ind w:left="1969" w:hanging="708"/>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2882" w:hanging="708"/>
      </w:pPr>
      <w:rPr>
        <w:rFonts w:hint="default"/>
        <w:lang w:val="ru-RU" w:eastAsia="en-US" w:bidi="ar-SA"/>
      </w:rPr>
    </w:lvl>
    <w:lvl w:ilvl="2">
      <w:start w:val="0"/>
      <w:numFmt w:val="bullet"/>
      <w:lvlText w:val="•"/>
      <w:lvlJc w:val="left"/>
      <w:pPr>
        <w:ind w:left="3805" w:hanging="708"/>
      </w:pPr>
      <w:rPr>
        <w:rFonts w:hint="default"/>
        <w:lang w:val="ru-RU" w:eastAsia="en-US" w:bidi="ar-SA"/>
      </w:rPr>
    </w:lvl>
    <w:lvl w:ilvl="3">
      <w:start w:val="0"/>
      <w:numFmt w:val="bullet"/>
      <w:lvlText w:val="•"/>
      <w:lvlJc w:val="left"/>
      <w:pPr>
        <w:ind w:left="4727" w:hanging="708"/>
      </w:pPr>
      <w:rPr>
        <w:rFonts w:hint="default"/>
        <w:lang w:val="ru-RU" w:eastAsia="en-US" w:bidi="ar-SA"/>
      </w:rPr>
    </w:lvl>
    <w:lvl w:ilvl="4">
      <w:start w:val="0"/>
      <w:numFmt w:val="bullet"/>
      <w:lvlText w:val="•"/>
      <w:lvlJc w:val="left"/>
      <w:pPr>
        <w:ind w:left="5650" w:hanging="708"/>
      </w:pPr>
      <w:rPr>
        <w:rFonts w:hint="default"/>
        <w:lang w:val="ru-RU" w:eastAsia="en-US" w:bidi="ar-SA"/>
      </w:rPr>
    </w:lvl>
    <w:lvl w:ilvl="5">
      <w:start w:val="0"/>
      <w:numFmt w:val="bullet"/>
      <w:lvlText w:val="•"/>
      <w:lvlJc w:val="left"/>
      <w:pPr>
        <w:ind w:left="6573" w:hanging="708"/>
      </w:pPr>
      <w:rPr>
        <w:rFonts w:hint="default"/>
        <w:lang w:val="ru-RU" w:eastAsia="en-US" w:bidi="ar-SA"/>
      </w:rPr>
    </w:lvl>
    <w:lvl w:ilvl="6">
      <w:start w:val="0"/>
      <w:numFmt w:val="bullet"/>
      <w:lvlText w:val="•"/>
      <w:lvlJc w:val="left"/>
      <w:pPr>
        <w:ind w:left="7495" w:hanging="708"/>
      </w:pPr>
      <w:rPr>
        <w:rFonts w:hint="default"/>
        <w:lang w:val="ru-RU" w:eastAsia="en-US" w:bidi="ar-SA"/>
      </w:rPr>
    </w:lvl>
    <w:lvl w:ilvl="7">
      <w:start w:val="0"/>
      <w:numFmt w:val="bullet"/>
      <w:lvlText w:val="•"/>
      <w:lvlJc w:val="left"/>
      <w:pPr>
        <w:ind w:left="8418" w:hanging="708"/>
      </w:pPr>
      <w:rPr>
        <w:rFonts w:hint="default"/>
        <w:lang w:val="ru-RU" w:eastAsia="en-US" w:bidi="ar-SA"/>
      </w:rPr>
    </w:lvl>
    <w:lvl w:ilvl="8">
      <w:start w:val="0"/>
      <w:numFmt w:val="bullet"/>
      <w:lvlText w:val="•"/>
      <w:lvlJc w:val="left"/>
      <w:pPr>
        <w:ind w:left="9341" w:hanging="708"/>
      </w:pPr>
      <w:rPr>
        <w:rFonts w:hint="default"/>
        <w:lang w:val="ru-RU" w:eastAsia="en-US" w:bidi="ar-SA"/>
      </w:rPr>
    </w:lvl>
  </w:abstractNum>
  <w:abstractNum w:abstractNumId="26">
    <w:multiLevelType w:val="hybridMultilevel"/>
    <w:lvl w:ilvl="0">
      <w:start w:val="1"/>
      <w:numFmt w:val="decimal"/>
      <w:lvlText w:val="%1."/>
      <w:lvlJc w:val="left"/>
      <w:pPr>
        <w:ind w:left="1261" w:hanging="257"/>
        <w:jc w:val="left"/>
      </w:pPr>
      <w:rPr>
        <w:rFonts w:hint="default" w:ascii="Times New Roman" w:hAnsi="Times New Roman" w:eastAsia="Times New Roman" w:cs="Times New Roman"/>
        <w:b w:val="0"/>
        <w:bCs w:val="0"/>
        <w:i w:val="0"/>
        <w:iCs w:val="0"/>
        <w:w w:val="100"/>
        <w:sz w:val="24"/>
        <w:szCs w:val="24"/>
        <w:lang w:val="ru-RU" w:eastAsia="en-US" w:bidi="ar-SA"/>
      </w:rPr>
    </w:lvl>
    <w:lvl w:ilvl="1">
      <w:start w:val="0"/>
      <w:numFmt w:val="bullet"/>
      <w:lvlText w:val="•"/>
      <w:lvlJc w:val="left"/>
      <w:pPr>
        <w:ind w:left="2252" w:hanging="257"/>
      </w:pPr>
      <w:rPr>
        <w:rFonts w:hint="default"/>
        <w:lang w:val="ru-RU" w:eastAsia="en-US" w:bidi="ar-SA"/>
      </w:rPr>
    </w:lvl>
    <w:lvl w:ilvl="2">
      <w:start w:val="0"/>
      <w:numFmt w:val="bullet"/>
      <w:lvlText w:val="•"/>
      <w:lvlJc w:val="left"/>
      <w:pPr>
        <w:ind w:left="3245" w:hanging="257"/>
      </w:pPr>
      <w:rPr>
        <w:rFonts w:hint="default"/>
        <w:lang w:val="ru-RU" w:eastAsia="en-US" w:bidi="ar-SA"/>
      </w:rPr>
    </w:lvl>
    <w:lvl w:ilvl="3">
      <w:start w:val="0"/>
      <w:numFmt w:val="bullet"/>
      <w:lvlText w:val="•"/>
      <w:lvlJc w:val="left"/>
      <w:pPr>
        <w:ind w:left="4237" w:hanging="257"/>
      </w:pPr>
      <w:rPr>
        <w:rFonts w:hint="default"/>
        <w:lang w:val="ru-RU" w:eastAsia="en-US" w:bidi="ar-SA"/>
      </w:rPr>
    </w:lvl>
    <w:lvl w:ilvl="4">
      <w:start w:val="0"/>
      <w:numFmt w:val="bullet"/>
      <w:lvlText w:val="•"/>
      <w:lvlJc w:val="left"/>
      <w:pPr>
        <w:ind w:left="5230" w:hanging="257"/>
      </w:pPr>
      <w:rPr>
        <w:rFonts w:hint="default"/>
        <w:lang w:val="ru-RU" w:eastAsia="en-US" w:bidi="ar-SA"/>
      </w:rPr>
    </w:lvl>
    <w:lvl w:ilvl="5">
      <w:start w:val="0"/>
      <w:numFmt w:val="bullet"/>
      <w:lvlText w:val="•"/>
      <w:lvlJc w:val="left"/>
      <w:pPr>
        <w:ind w:left="6223" w:hanging="257"/>
      </w:pPr>
      <w:rPr>
        <w:rFonts w:hint="default"/>
        <w:lang w:val="ru-RU" w:eastAsia="en-US" w:bidi="ar-SA"/>
      </w:rPr>
    </w:lvl>
    <w:lvl w:ilvl="6">
      <w:start w:val="0"/>
      <w:numFmt w:val="bullet"/>
      <w:lvlText w:val="•"/>
      <w:lvlJc w:val="left"/>
      <w:pPr>
        <w:ind w:left="7215" w:hanging="257"/>
      </w:pPr>
      <w:rPr>
        <w:rFonts w:hint="default"/>
        <w:lang w:val="ru-RU" w:eastAsia="en-US" w:bidi="ar-SA"/>
      </w:rPr>
    </w:lvl>
    <w:lvl w:ilvl="7">
      <w:start w:val="0"/>
      <w:numFmt w:val="bullet"/>
      <w:lvlText w:val="•"/>
      <w:lvlJc w:val="left"/>
      <w:pPr>
        <w:ind w:left="8208" w:hanging="257"/>
      </w:pPr>
      <w:rPr>
        <w:rFonts w:hint="default"/>
        <w:lang w:val="ru-RU" w:eastAsia="en-US" w:bidi="ar-SA"/>
      </w:rPr>
    </w:lvl>
    <w:lvl w:ilvl="8">
      <w:start w:val="0"/>
      <w:numFmt w:val="bullet"/>
      <w:lvlText w:val="•"/>
      <w:lvlJc w:val="left"/>
      <w:pPr>
        <w:ind w:left="9201" w:hanging="257"/>
      </w:pPr>
      <w:rPr>
        <w:rFonts w:hint="default"/>
        <w:lang w:val="ru-RU" w:eastAsia="en-US" w:bidi="ar-SA"/>
      </w:rPr>
    </w:lvl>
  </w:abstractNum>
  <w:abstractNum w:abstractNumId="25">
    <w:multiLevelType w:val="hybridMultilevel"/>
    <w:lvl w:ilvl="0">
      <w:start w:val="1"/>
      <w:numFmt w:val="decimal"/>
      <w:lvlText w:val="%1."/>
      <w:lvlJc w:val="left"/>
      <w:pPr>
        <w:ind w:left="2209" w:hanging="240"/>
        <w:jc w:val="left"/>
      </w:pPr>
      <w:rPr>
        <w:rFonts w:hint="default" w:ascii="Times New Roman" w:hAnsi="Times New Roman" w:eastAsia="Times New Roman" w:cs="Times New Roman"/>
        <w:b w:val="0"/>
        <w:bCs w:val="0"/>
        <w:i w:val="0"/>
        <w:iCs w:val="0"/>
        <w:w w:val="100"/>
        <w:sz w:val="24"/>
        <w:szCs w:val="24"/>
        <w:lang w:val="ru-RU" w:eastAsia="en-US" w:bidi="ar-SA"/>
      </w:rPr>
    </w:lvl>
    <w:lvl w:ilvl="1">
      <w:start w:val="0"/>
      <w:numFmt w:val="bullet"/>
      <w:lvlText w:val="•"/>
      <w:lvlJc w:val="left"/>
      <w:pPr>
        <w:ind w:left="3098" w:hanging="240"/>
      </w:pPr>
      <w:rPr>
        <w:rFonts w:hint="default"/>
        <w:lang w:val="ru-RU" w:eastAsia="en-US" w:bidi="ar-SA"/>
      </w:rPr>
    </w:lvl>
    <w:lvl w:ilvl="2">
      <w:start w:val="0"/>
      <w:numFmt w:val="bullet"/>
      <w:lvlText w:val="•"/>
      <w:lvlJc w:val="left"/>
      <w:pPr>
        <w:ind w:left="3997" w:hanging="240"/>
      </w:pPr>
      <w:rPr>
        <w:rFonts w:hint="default"/>
        <w:lang w:val="ru-RU" w:eastAsia="en-US" w:bidi="ar-SA"/>
      </w:rPr>
    </w:lvl>
    <w:lvl w:ilvl="3">
      <w:start w:val="0"/>
      <w:numFmt w:val="bullet"/>
      <w:lvlText w:val="•"/>
      <w:lvlJc w:val="left"/>
      <w:pPr>
        <w:ind w:left="4895" w:hanging="240"/>
      </w:pPr>
      <w:rPr>
        <w:rFonts w:hint="default"/>
        <w:lang w:val="ru-RU" w:eastAsia="en-US" w:bidi="ar-SA"/>
      </w:rPr>
    </w:lvl>
    <w:lvl w:ilvl="4">
      <w:start w:val="0"/>
      <w:numFmt w:val="bullet"/>
      <w:lvlText w:val="•"/>
      <w:lvlJc w:val="left"/>
      <w:pPr>
        <w:ind w:left="5794" w:hanging="240"/>
      </w:pPr>
      <w:rPr>
        <w:rFonts w:hint="default"/>
        <w:lang w:val="ru-RU" w:eastAsia="en-US" w:bidi="ar-SA"/>
      </w:rPr>
    </w:lvl>
    <w:lvl w:ilvl="5">
      <w:start w:val="0"/>
      <w:numFmt w:val="bullet"/>
      <w:lvlText w:val="•"/>
      <w:lvlJc w:val="left"/>
      <w:pPr>
        <w:ind w:left="6693" w:hanging="240"/>
      </w:pPr>
      <w:rPr>
        <w:rFonts w:hint="default"/>
        <w:lang w:val="ru-RU" w:eastAsia="en-US" w:bidi="ar-SA"/>
      </w:rPr>
    </w:lvl>
    <w:lvl w:ilvl="6">
      <w:start w:val="0"/>
      <w:numFmt w:val="bullet"/>
      <w:lvlText w:val="•"/>
      <w:lvlJc w:val="left"/>
      <w:pPr>
        <w:ind w:left="7591" w:hanging="240"/>
      </w:pPr>
      <w:rPr>
        <w:rFonts w:hint="default"/>
        <w:lang w:val="ru-RU" w:eastAsia="en-US" w:bidi="ar-SA"/>
      </w:rPr>
    </w:lvl>
    <w:lvl w:ilvl="7">
      <w:start w:val="0"/>
      <w:numFmt w:val="bullet"/>
      <w:lvlText w:val="•"/>
      <w:lvlJc w:val="left"/>
      <w:pPr>
        <w:ind w:left="8490" w:hanging="240"/>
      </w:pPr>
      <w:rPr>
        <w:rFonts w:hint="default"/>
        <w:lang w:val="ru-RU" w:eastAsia="en-US" w:bidi="ar-SA"/>
      </w:rPr>
    </w:lvl>
    <w:lvl w:ilvl="8">
      <w:start w:val="0"/>
      <w:numFmt w:val="bullet"/>
      <w:lvlText w:val="•"/>
      <w:lvlJc w:val="left"/>
      <w:pPr>
        <w:ind w:left="9389" w:hanging="240"/>
      </w:pPr>
      <w:rPr>
        <w:rFonts w:hint="default"/>
        <w:lang w:val="ru-RU" w:eastAsia="en-US" w:bidi="ar-SA"/>
      </w:rPr>
    </w:lvl>
  </w:abstractNum>
  <w:abstractNum w:abstractNumId="24">
    <w:multiLevelType w:val="hybridMultilevel"/>
    <w:lvl w:ilvl="0">
      <w:start w:val="1"/>
      <w:numFmt w:val="decimal"/>
      <w:lvlText w:val="%1."/>
      <w:lvlJc w:val="left"/>
      <w:pPr>
        <w:ind w:left="1981" w:hanging="360"/>
        <w:jc w:val="left"/>
      </w:pPr>
      <w:rPr>
        <w:rFonts w:hint="default" w:ascii="Times New Roman" w:hAnsi="Times New Roman" w:eastAsia="Times New Roman" w:cs="Times New Roman"/>
        <w:b w:val="0"/>
        <w:bCs w:val="0"/>
        <w:i w:val="0"/>
        <w:iCs w:val="0"/>
        <w:w w:val="100"/>
        <w:sz w:val="24"/>
        <w:szCs w:val="24"/>
        <w:lang w:val="ru-RU" w:eastAsia="en-US" w:bidi="ar-SA"/>
      </w:rPr>
    </w:lvl>
    <w:lvl w:ilvl="1">
      <w:start w:val="0"/>
      <w:numFmt w:val="bullet"/>
      <w:lvlText w:val="•"/>
      <w:lvlJc w:val="left"/>
      <w:pPr>
        <w:ind w:left="2900" w:hanging="360"/>
      </w:pPr>
      <w:rPr>
        <w:rFonts w:hint="default"/>
        <w:lang w:val="ru-RU" w:eastAsia="en-US" w:bidi="ar-SA"/>
      </w:rPr>
    </w:lvl>
    <w:lvl w:ilvl="2">
      <w:start w:val="0"/>
      <w:numFmt w:val="bullet"/>
      <w:lvlText w:val="•"/>
      <w:lvlJc w:val="left"/>
      <w:pPr>
        <w:ind w:left="3821" w:hanging="360"/>
      </w:pPr>
      <w:rPr>
        <w:rFonts w:hint="default"/>
        <w:lang w:val="ru-RU" w:eastAsia="en-US" w:bidi="ar-SA"/>
      </w:rPr>
    </w:lvl>
    <w:lvl w:ilvl="3">
      <w:start w:val="0"/>
      <w:numFmt w:val="bullet"/>
      <w:lvlText w:val="•"/>
      <w:lvlJc w:val="left"/>
      <w:pPr>
        <w:ind w:left="4741" w:hanging="360"/>
      </w:pPr>
      <w:rPr>
        <w:rFonts w:hint="default"/>
        <w:lang w:val="ru-RU" w:eastAsia="en-US" w:bidi="ar-SA"/>
      </w:rPr>
    </w:lvl>
    <w:lvl w:ilvl="4">
      <w:start w:val="0"/>
      <w:numFmt w:val="bullet"/>
      <w:lvlText w:val="•"/>
      <w:lvlJc w:val="left"/>
      <w:pPr>
        <w:ind w:left="5662" w:hanging="360"/>
      </w:pPr>
      <w:rPr>
        <w:rFonts w:hint="default"/>
        <w:lang w:val="ru-RU" w:eastAsia="en-US" w:bidi="ar-SA"/>
      </w:rPr>
    </w:lvl>
    <w:lvl w:ilvl="5">
      <w:start w:val="0"/>
      <w:numFmt w:val="bullet"/>
      <w:lvlText w:val="•"/>
      <w:lvlJc w:val="left"/>
      <w:pPr>
        <w:ind w:left="6583" w:hanging="360"/>
      </w:pPr>
      <w:rPr>
        <w:rFonts w:hint="default"/>
        <w:lang w:val="ru-RU" w:eastAsia="en-US" w:bidi="ar-SA"/>
      </w:rPr>
    </w:lvl>
    <w:lvl w:ilvl="6">
      <w:start w:val="0"/>
      <w:numFmt w:val="bullet"/>
      <w:lvlText w:val="•"/>
      <w:lvlJc w:val="left"/>
      <w:pPr>
        <w:ind w:left="7503" w:hanging="360"/>
      </w:pPr>
      <w:rPr>
        <w:rFonts w:hint="default"/>
        <w:lang w:val="ru-RU" w:eastAsia="en-US" w:bidi="ar-SA"/>
      </w:rPr>
    </w:lvl>
    <w:lvl w:ilvl="7">
      <w:start w:val="0"/>
      <w:numFmt w:val="bullet"/>
      <w:lvlText w:val="•"/>
      <w:lvlJc w:val="left"/>
      <w:pPr>
        <w:ind w:left="8424" w:hanging="360"/>
      </w:pPr>
      <w:rPr>
        <w:rFonts w:hint="default"/>
        <w:lang w:val="ru-RU" w:eastAsia="en-US" w:bidi="ar-SA"/>
      </w:rPr>
    </w:lvl>
    <w:lvl w:ilvl="8">
      <w:start w:val="0"/>
      <w:numFmt w:val="bullet"/>
      <w:lvlText w:val="•"/>
      <w:lvlJc w:val="left"/>
      <w:pPr>
        <w:ind w:left="9345" w:hanging="360"/>
      </w:pPr>
      <w:rPr>
        <w:rFonts w:hint="default"/>
        <w:lang w:val="ru-RU" w:eastAsia="en-US" w:bidi="ar-SA"/>
      </w:rPr>
    </w:lvl>
  </w:abstractNum>
  <w:abstractNum w:abstractNumId="23">
    <w:multiLevelType w:val="hybridMultilevel"/>
    <w:lvl w:ilvl="0">
      <w:start w:val="0"/>
      <w:numFmt w:val="bullet"/>
      <w:lvlText w:val="•"/>
      <w:lvlJc w:val="left"/>
      <w:pPr>
        <w:ind w:left="1621" w:hanging="360"/>
      </w:pPr>
      <w:rPr>
        <w:rFonts w:hint="default" w:ascii="Times New Roman" w:hAnsi="Times New Roman" w:eastAsia="Times New Roman" w:cs="Times New Roman"/>
        <w:b w:val="0"/>
        <w:bCs w:val="0"/>
        <w:i w:val="0"/>
        <w:iCs w:val="0"/>
        <w:w w:val="100"/>
        <w:sz w:val="24"/>
        <w:szCs w:val="24"/>
        <w:lang w:val="ru-RU" w:eastAsia="en-US" w:bidi="ar-SA"/>
      </w:rPr>
    </w:lvl>
    <w:lvl w:ilvl="1">
      <w:start w:val="0"/>
      <w:numFmt w:val="bullet"/>
      <w:lvlText w:val="-"/>
      <w:lvlJc w:val="left"/>
      <w:pPr>
        <w:ind w:left="1621" w:hanging="140"/>
      </w:pPr>
      <w:rPr>
        <w:rFonts w:hint="default" w:ascii="Times New Roman" w:hAnsi="Times New Roman" w:eastAsia="Times New Roman" w:cs="Times New Roman"/>
        <w:b w:val="0"/>
        <w:bCs w:val="0"/>
        <w:i w:val="0"/>
        <w:iCs w:val="0"/>
        <w:w w:val="100"/>
        <w:sz w:val="24"/>
        <w:szCs w:val="24"/>
        <w:lang w:val="ru-RU" w:eastAsia="en-US" w:bidi="ar-SA"/>
      </w:rPr>
    </w:lvl>
    <w:lvl w:ilvl="2">
      <w:start w:val="0"/>
      <w:numFmt w:val="bullet"/>
      <w:lvlText w:val="•"/>
      <w:lvlJc w:val="left"/>
      <w:pPr>
        <w:ind w:left="3533" w:hanging="140"/>
      </w:pPr>
      <w:rPr>
        <w:rFonts w:hint="default"/>
        <w:lang w:val="ru-RU" w:eastAsia="en-US" w:bidi="ar-SA"/>
      </w:rPr>
    </w:lvl>
    <w:lvl w:ilvl="3">
      <w:start w:val="0"/>
      <w:numFmt w:val="bullet"/>
      <w:lvlText w:val="•"/>
      <w:lvlJc w:val="left"/>
      <w:pPr>
        <w:ind w:left="4489" w:hanging="140"/>
      </w:pPr>
      <w:rPr>
        <w:rFonts w:hint="default"/>
        <w:lang w:val="ru-RU" w:eastAsia="en-US" w:bidi="ar-SA"/>
      </w:rPr>
    </w:lvl>
    <w:lvl w:ilvl="4">
      <w:start w:val="0"/>
      <w:numFmt w:val="bullet"/>
      <w:lvlText w:val="•"/>
      <w:lvlJc w:val="left"/>
      <w:pPr>
        <w:ind w:left="5446" w:hanging="140"/>
      </w:pPr>
      <w:rPr>
        <w:rFonts w:hint="default"/>
        <w:lang w:val="ru-RU" w:eastAsia="en-US" w:bidi="ar-SA"/>
      </w:rPr>
    </w:lvl>
    <w:lvl w:ilvl="5">
      <w:start w:val="0"/>
      <w:numFmt w:val="bullet"/>
      <w:lvlText w:val="•"/>
      <w:lvlJc w:val="left"/>
      <w:pPr>
        <w:ind w:left="6403" w:hanging="140"/>
      </w:pPr>
      <w:rPr>
        <w:rFonts w:hint="default"/>
        <w:lang w:val="ru-RU" w:eastAsia="en-US" w:bidi="ar-SA"/>
      </w:rPr>
    </w:lvl>
    <w:lvl w:ilvl="6">
      <w:start w:val="0"/>
      <w:numFmt w:val="bullet"/>
      <w:lvlText w:val="•"/>
      <w:lvlJc w:val="left"/>
      <w:pPr>
        <w:ind w:left="7359" w:hanging="140"/>
      </w:pPr>
      <w:rPr>
        <w:rFonts w:hint="default"/>
        <w:lang w:val="ru-RU" w:eastAsia="en-US" w:bidi="ar-SA"/>
      </w:rPr>
    </w:lvl>
    <w:lvl w:ilvl="7">
      <w:start w:val="0"/>
      <w:numFmt w:val="bullet"/>
      <w:lvlText w:val="•"/>
      <w:lvlJc w:val="left"/>
      <w:pPr>
        <w:ind w:left="8316" w:hanging="140"/>
      </w:pPr>
      <w:rPr>
        <w:rFonts w:hint="default"/>
        <w:lang w:val="ru-RU" w:eastAsia="en-US" w:bidi="ar-SA"/>
      </w:rPr>
    </w:lvl>
    <w:lvl w:ilvl="8">
      <w:start w:val="0"/>
      <w:numFmt w:val="bullet"/>
      <w:lvlText w:val="•"/>
      <w:lvlJc w:val="left"/>
      <w:pPr>
        <w:ind w:left="9273" w:hanging="140"/>
      </w:pPr>
      <w:rPr>
        <w:rFonts w:hint="default"/>
        <w:lang w:val="ru-RU" w:eastAsia="en-US" w:bidi="ar-SA"/>
      </w:rPr>
    </w:lvl>
  </w:abstractNum>
  <w:abstractNum w:abstractNumId="22">
    <w:multiLevelType w:val="hybridMultilevel"/>
    <w:lvl w:ilvl="0">
      <w:start w:val="0"/>
      <w:numFmt w:val="bullet"/>
      <w:lvlText w:val=""/>
      <w:lvlJc w:val="left"/>
      <w:pPr>
        <w:ind w:left="1981"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2900" w:hanging="360"/>
      </w:pPr>
      <w:rPr>
        <w:rFonts w:hint="default"/>
        <w:lang w:val="ru-RU" w:eastAsia="en-US" w:bidi="ar-SA"/>
      </w:rPr>
    </w:lvl>
    <w:lvl w:ilvl="2">
      <w:start w:val="0"/>
      <w:numFmt w:val="bullet"/>
      <w:lvlText w:val="•"/>
      <w:lvlJc w:val="left"/>
      <w:pPr>
        <w:ind w:left="3821" w:hanging="360"/>
      </w:pPr>
      <w:rPr>
        <w:rFonts w:hint="default"/>
        <w:lang w:val="ru-RU" w:eastAsia="en-US" w:bidi="ar-SA"/>
      </w:rPr>
    </w:lvl>
    <w:lvl w:ilvl="3">
      <w:start w:val="0"/>
      <w:numFmt w:val="bullet"/>
      <w:lvlText w:val="•"/>
      <w:lvlJc w:val="left"/>
      <w:pPr>
        <w:ind w:left="4741" w:hanging="360"/>
      </w:pPr>
      <w:rPr>
        <w:rFonts w:hint="default"/>
        <w:lang w:val="ru-RU" w:eastAsia="en-US" w:bidi="ar-SA"/>
      </w:rPr>
    </w:lvl>
    <w:lvl w:ilvl="4">
      <w:start w:val="0"/>
      <w:numFmt w:val="bullet"/>
      <w:lvlText w:val="•"/>
      <w:lvlJc w:val="left"/>
      <w:pPr>
        <w:ind w:left="5662" w:hanging="360"/>
      </w:pPr>
      <w:rPr>
        <w:rFonts w:hint="default"/>
        <w:lang w:val="ru-RU" w:eastAsia="en-US" w:bidi="ar-SA"/>
      </w:rPr>
    </w:lvl>
    <w:lvl w:ilvl="5">
      <w:start w:val="0"/>
      <w:numFmt w:val="bullet"/>
      <w:lvlText w:val="•"/>
      <w:lvlJc w:val="left"/>
      <w:pPr>
        <w:ind w:left="6583" w:hanging="360"/>
      </w:pPr>
      <w:rPr>
        <w:rFonts w:hint="default"/>
        <w:lang w:val="ru-RU" w:eastAsia="en-US" w:bidi="ar-SA"/>
      </w:rPr>
    </w:lvl>
    <w:lvl w:ilvl="6">
      <w:start w:val="0"/>
      <w:numFmt w:val="bullet"/>
      <w:lvlText w:val="•"/>
      <w:lvlJc w:val="left"/>
      <w:pPr>
        <w:ind w:left="7503" w:hanging="360"/>
      </w:pPr>
      <w:rPr>
        <w:rFonts w:hint="default"/>
        <w:lang w:val="ru-RU" w:eastAsia="en-US" w:bidi="ar-SA"/>
      </w:rPr>
    </w:lvl>
    <w:lvl w:ilvl="7">
      <w:start w:val="0"/>
      <w:numFmt w:val="bullet"/>
      <w:lvlText w:val="•"/>
      <w:lvlJc w:val="left"/>
      <w:pPr>
        <w:ind w:left="8424" w:hanging="360"/>
      </w:pPr>
      <w:rPr>
        <w:rFonts w:hint="default"/>
        <w:lang w:val="ru-RU" w:eastAsia="en-US" w:bidi="ar-SA"/>
      </w:rPr>
    </w:lvl>
    <w:lvl w:ilvl="8">
      <w:start w:val="0"/>
      <w:numFmt w:val="bullet"/>
      <w:lvlText w:val="•"/>
      <w:lvlJc w:val="left"/>
      <w:pPr>
        <w:ind w:left="9345" w:hanging="360"/>
      </w:pPr>
      <w:rPr>
        <w:rFonts w:hint="default"/>
        <w:lang w:val="ru-RU" w:eastAsia="en-US" w:bidi="ar-SA"/>
      </w:rPr>
    </w:lvl>
  </w:abstractNum>
  <w:abstractNum w:abstractNumId="21">
    <w:multiLevelType w:val="hybridMultilevel"/>
    <w:lvl w:ilvl="0">
      <w:start w:val="0"/>
      <w:numFmt w:val="bullet"/>
      <w:lvlText w:val="-"/>
      <w:lvlJc w:val="left"/>
      <w:pPr>
        <w:ind w:left="1261" w:hanging="708"/>
      </w:pPr>
      <w:rPr>
        <w:rFonts w:hint="default" w:ascii="Times New Roman" w:hAnsi="Times New Roman" w:eastAsia="Times New Roman" w:cs="Times New Roman"/>
        <w:b w:val="0"/>
        <w:bCs w:val="0"/>
        <w:i/>
        <w:iCs/>
        <w:w w:val="100"/>
        <w:sz w:val="24"/>
        <w:szCs w:val="24"/>
        <w:lang w:val="ru-RU" w:eastAsia="en-US" w:bidi="ar-SA"/>
      </w:rPr>
    </w:lvl>
    <w:lvl w:ilvl="1">
      <w:start w:val="0"/>
      <w:numFmt w:val="bullet"/>
      <w:lvlText w:val="•"/>
      <w:lvlJc w:val="left"/>
      <w:pPr>
        <w:ind w:left="2252" w:hanging="708"/>
      </w:pPr>
      <w:rPr>
        <w:rFonts w:hint="default"/>
        <w:lang w:val="ru-RU" w:eastAsia="en-US" w:bidi="ar-SA"/>
      </w:rPr>
    </w:lvl>
    <w:lvl w:ilvl="2">
      <w:start w:val="0"/>
      <w:numFmt w:val="bullet"/>
      <w:lvlText w:val="•"/>
      <w:lvlJc w:val="left"/>
      <w:pPr>
        <w:ind w:left="3245" w:hanging="708"/>
      </w:pPr>
      <w:rPr>
        <w:rFonts w:hint="default"/>
        <w:lang w:val="ru-RU" w:eastAsia="en-US" w:bidi="ar-SA"/>
      </w:rPr>
    </w:lvl>
    <w:lvl w:ilvl="3">
      <w:start w:val="0"/>
      <w:numFmt w:val="bullet"/>
      <w:lvlText w:val="•"/>
      <w:lvlJc w:val="left"/>
      <w:pPr>
        <w:ind w:left="4237" w:hanging="708"/>
      </w:pPr>
      <w:rPr>
        <w:rFonts w:hint="default"/>
        <w:lang w:val="ru-RU" w:eastAsia="en-US" w:bidi="ar-SA"/>
      </w:rPr>
    </w:lvl>
    <w:lvl w:ilvl="4">
      <w:start w:val="0"/>
      <w:numFmt w:val="bullet"/>
      <w:lvlText w:val="•"/>
      <w:lvlJc w:val="left"/>
      <w:pPr>
        <w:ind w:left="5230" w:hanging="708"/>
      </w:pPr>
      <w:rPr>
        <w:rFonts w:hint="default"/>
        <w:lang w:val="ru-RU" w:eastAsia="en-US" w:bidi="ar-SA"/>
      </w:rPr>
    </w:lvl>
    <w:lvl w:ilvl="5">
      <w:start w:val="0"/>
      <w:numFmt w:val="bullet"/>
      <w:lvlText w:val="•"/>
      <w:lvlJc w:val="left"/>
      <w:pPr>
        <w:ind w:left="6223" w:hanging="708"/>
      </w:pPr>
      <w:rPr>
        <w:rFonts w:hint="default"/>
        <w:lang w:val="ru-RU" w:eastAsia="en-US" w:bidi="ar-SA"/>
      </w:rPr>
    </w:lvl>
    <w:lvl w:ilvl="6">
      <w:start w:val="0"/>
      <w:numFmt w:val="bullet"/>
      <w:lvlText w:val="•"/>
      <w:lvlJc w:val="left"/>
      <w:pPr>
        <w:ind w:left="7215" w:hanging="708"/>
      </w:pPr>
      <w:rPr>
        <w:rFonts w:hint="default"/>
        <w:lang w:val="ru-RU" w:eastAsia="en-US" w:bidi="ar-SA"/>
      </w:rPr>
    </w:lvl>
    <w:lvl w:ilvl="7">
      <w:start w:val="0"/>
      <w:numFmt w:val="bullet"/>
      <w:lvlText w:val="•"/>
      <w:lvlJc w:val="left"/>
      <w:pPr>
        <w:ind w:left="8208" w:hanging="708"/>
      </w:pPr>
      <w:rPr>
        <w:rFonts w:hint="default"/>
        <w:lang w:val="ru-RU" w:eastAsia="en-US" w:bidi="ar-SA"/>
      </w:rPr>
    </w:lvl>
    <w:lvl w:ilvl="8">
      <w:start w:val="0"/>
      <w:numFmt w:val="bullet"/>
      <w:lvlText w:val="•"/>
      <w:lvlJc w:val="left"/>
      <w:pPr>
        <w:ind w:left="9201" w:hanging="708"/>
      </w:pPr>
      <w:rPr>
        <w:rFonts w:hint="default"/>
        <w:lang w:val="ru-RU" w:eastAsia="en-US" w:bidi="ar-SA"/>
      </w:rPr>
    </w:lvl>
  </w:abstractNum>
  <w:abstractNum w:abstractNumId="20">
    <w:multiLevelType w:val="hybridMultilevel"/>
    <w:lvl w:ilvl="0">
      <w:start w:val="1"/>
      <w:numFmt w:val="decimal"/>
      <w:lvlText w:val="%1."/>
      <w:lvlJc w:val="left"/>
      <w:pPr>
        <w:ind w:left="1981" w:hanging="360"/>
        <w:jc w:val="left"/>
      </w:pPr>
      <w:rPr>
        <w:rFonts w:hint="default" w:ascii="Times New Roman" w:hAnsi="Times New Roman" w:eastAsia="Times New Roman" w:cs="Times New Roman"/>
        <w:b w:val="0"/>
        <w:bCs w:val="0"/>
        <w:i/>
        <w:iCs/>
        <w:w w:val="100"/>
        <w:sz w:val="24"/>
        <w:szCs w:val="24"/>
        <w:lang w:val="ru-RU" w:eastAsia="en-US" w:bidi="ar-SA"/>
      </w:rPr>
    </w:lvl>
    <w:lvl w:ilvl="1">
      <w:start w:val="0"/>
      <w:numFmt w:val="bullet"/>
      <w:lvlText w:val=""/>
      <w:lvlJc w:val="left"/>
      <w:pPr>
        <w:ind w:left="1981" w:hanging="360"/>
      </w:pPr>
      <w:rPr>
        <w:rFonts w:hint="default" w:ascii="Symbol" w:hAnsi="Symbol" w:eastAsia="Symbol" w:cs="Symbol"/>
        <w:b w:val="0"/>
        <w:bCs w:val="0"/>
        <w:i w:val="0"/>
        <w:iCs w:val="0"/>
        <w:w w:val="100"/>
        <w:sz w:val="24"/>
        <w:szCs w:val="24"/>
        <w:lang w:val="ru-RU" w:eastAsia="en-US" w:bidi="ar-SA"/>
      </w:rPr>
    </w:lvl>
    <w:lvl w:ilvl="2">
      <w:start w:val="0"/>
      <w:numFmt w:val="bullet"/>
      <w:lvlText w:val="•"/>
      <w:lvlJc w:val="left"/>
      <w:pPr>
        <w:ind w:left="3821" w:hanging="360"/>
      </w:pPr>
      <w:rPr>
        <w:rFonts w:hint="default"/>
        <w:lang w:val="ru-RU" w:eastAsia="en-US" w:bidi="ar-SA"/>
      </w:rPr>
    </w:lvl>
    <w:lvl w:ilvl="3">
      <w:start w:val="0"/>
      <w:numFmt w:val="bullet"/>
      <w:lvlText w:val="•"/>
      <w:lvlJc w:val="left"/>
      <w:pPr>
        <w:ind w:left="4741" w:hanging="360"/>
      </w:pPr>
      <w:rPr>
        <w:rFonts w:hint="default"/>
        <w:lang w:val="ru-RU" w:eastAsia="en-US" w:bidi="ar-SA"/>
      </w:rPr>
    </w:lvl>
    <w:lvl w:ilvl="4">
      <w:start w:val="0"/>
      <w:numFmt w:val="bullet"/>
      <w:lvlText w:val="•"/>
      <w:lvlJc w:val="left"/>
      <w:pPr>
        <w:ind w:left="5662" w:hanging="360"/>
      </w:pPr>
      <w:rPr>
        <w:rFonts w:hint="default"/>
        <w:lang w:val="ru-RU" w:eastAsia="en-US" w:bidi="ar-SA"/>
      </w:rPr>
    </w:lvl>
    <w:lvl w:ilvl="5">
      <w:start w:val="0"/>
      <w:numFmt w:val="bullet"/>
      <w:lvlText w:val="•"/>
      <w:lvlJc w:val="left"/>
      <w:pPr>
        <w:ind w:left="6583" w:hanging="360"/>
      </w:pPr>
      <w:rPr>
        <w:rFonts w:hint="default"/>
        <w:lang w:val="ru-RU" w:eastAsia="en-US" w:bidi="ar-SA"/>
      </w:rPr>
    </w:lvl>
    <w:lvl w:ilvl="6">
      <w:start w:val="0"/>
      <w:numFmt w:val="bullet"/>
      <w:lvlText w:val="•"/>
      <w:lvlJc w:val="left"/>
      <w:pPr>
        <w:ind w:left="7503" w:hanging="360"/>
      </w:pPr>
      <w:rPr>
        <w:rFonts w:hint="default"/>
        <w:lang w:val="ru-RU" w:eastAsia="en-US" w:bidi="ar-SA"/>
      </w:rPr>
    </w:lvl>
    <w:lvl w:ilvl="7">
      <w:start w:val="0"/>
      <w:numFmt w:val="bullet"/>
      <w:lvlText w:val="•"/>
      <w:lvlJc w:val="left"/>
      <w:pPr>
        <w:ind w:left="8424" w:hanging="360"/>
      </w:pPr>
      <w:rPr>
        <w:rFonts w:hint="default"/>
        <w:lang w:val="ru-RU" w:eastAsia="en-US" w:bidi="ar-SA"/>
      </w:rPr>
    </w:lvl>
    <w:lvl w:ilvl="8">
      <w:start w:val="0"/>
      <w:numFmt w:val="bullet"/>
      <w:lvlText w:val="•"/>
      <w:lvlJc w:val="left"/>
      <w:pPr>
        <w:ind w:left="9345" w:hanging="360"/>
      </w:pPr>
      <w:rPr>
        <w:rFonts w:hint="default"/>
        <w:lang w:val="ru-RU" w:eastAsia="en-US" w:bidi="ar-SA"/>
      </w:rPr>
    </w:lvl>
  </w:abstractNum>
  <w:abstractNum w:abstractNumId="19">
    <w:multiLevelType w:val="hybridMultilevel"/>
    <w:lvl w:ilvl="0">
      <w:start w:val="0"/>
      <w:numFmt w:val="bullet"/>
      <w:lvlText w:val=""/>
      <w:lvlJc w:val="left"/>
      <w:pPr>
        <w:ind w:left="1981"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2900" w:hanging="360"/>
      </w:pPr>
      <w:rPr>
        <w:rFonts w:hint="default"/>
        <w:lang w:val="ru-RU" w:eastAsia="en-US" w:bidi="ar-SA"/>
      </w:rPr>
    </w:lvl>
    <w:lvl w:ilvl="2">
      <w:start w:val="0"/>
      <w:numFmt w:val="bullet"/>
      <w:lvlText w:val="•"/>
      <w:lvlJc w:val="left"/>
      <w:pPr>
        <w:ind w:left="3821" w:hanging="360"/>
      </w:pPr>
      <w:rPr>
        <w:rFonts w:hint="default"/>
        <w:lang w:val="ru-RU" w:eastAsia="en-US" w:bidi="ar-SA"/>
      </w:rPr>
    </w:lvl>
    <w:lvl w:ilvl="3">
      <w:start w:val="0"/>
      <w:numFmt w:val="bullet"/>
      <w:lvlText w:val="•"/>
      <w:lvlJc w:val="left"/>
      <w:pPr>
        <w:ind w:left="4741" w:hanging="360"/>
      </w:pPr>
      <w:rPr>
        <w:rFonts w:hint="default"/>
        <w:lang w:val="ru-RU" w:eastAsia="en-US" w:bidi="ar-SA"/>
      </w:rPr>
    </w:lvl>
    <w:lvl w:ilvl="4">
      <w:start w:val="0"/>
      <w:numFmt w:val="bullet"/>
      <w:lvlText w:val="•"/>
      <w:lvlJc w:val="left"/>
      <w:pPr>
        <w:ind w:left="5662" w:hanging="360"/>
      </w:pPr>
      <w:rPr>
        <w:rFonts w:hint="default"/>
        <w:lang w:val="ru-RU" w:eastAsia="en-US" w:bidi="ar-SA"/>
      </w:rPr>
    </w:lvl>
    <w:lvl w:ilvl="5">
      <w:start w:val="0"/>
      <w:numFmt w:val="bullet"/>
      <w:lvlText w:val="•"/>
      <w:lvlJc w:val="left"/>
      <w:pPr>
        <w:ind w:left="6583" w:hanging="360"/>
      </w:pPr>
      <w:rPr>
        <w:rFonts w:hint="default"/>
        <w:lang w:val="ru-RU" w:eastAsia="en-US" w:bidi="ar-SA"/>
      </w:rPr>
    </w:lvl>
    <w:lvl w:ilvl="6">
      <w:start w:val="0"/>
      <w:numFmt w:val="bullet"/>
      <w:lvlText w:val="•"/>
      <w:lvlJc w:val="left"/>
      <w:pPr>
        <w:ind w:left="7503" w:hanging="360"/>
      </w:pPr>
      <w:rPr>
        <w:rFonts w:hint="default"/>
        <w:lang w:val="ru-RU" w:eastAsia="en-US" w:bidi="ar-SA"/>
      </w:rPr>
    </w:lvl>
    <w:lvl w:ilvl="7">
      <w:start w:val="0"/>
      <w:numFmt w:val="bullet"/>
      <w:lvlText w:val="•"/>
      <w:lvlJc w:val="left"/>
      <w:pPr>
        <w:ind w:left="8424" w:hanging="360"/>
      </w:pPr>
      <w:rPr>
        <w:rFonts w:hint="default"/>
        <w:lang w:val="ru-RU" w:eastAsia="en-US" w:bidi="ar-SA"/>
      </w:rPr>
    </w:lvl>
    <w:lvl w:ilvl="8">
      <w:start w:val="0"/>
      <w:numFmt w:val="bullet"/>
      <w:lvlText w:val="•"/>
      <w:lvlJc w:val="left"/>
      <w:pPr>
        <w:ind w:left="9345" w:hanging="360"/>
      </w:pPr>
      <w:rPr>
        <w:rFonts w:hint="default"/>
        <w:lang w:val="ru-RU" w:eastAsia="en-US" w:bidi="ar-SA"/>
      </w:rPr>
    </w:lvl>
  </w:abstractNum>
  <w:abstractNum w:abstractNumId="18">
    <w:multiLevelType w:val="hybridMultilevel"/>
    <w:lvl w:ilvl="0">
      <w:start w:val="0"/>
      <w:numFmt w:val="bullet"/>
      <w:lvlText w:val=""/>
      <w:lvlJc w:val="left"/>
      <w:pPr>
        <w:ind w:left="1981" w:hanging="360"/>
      </w:pPr>
      <w:rPr>
        <w:rFonts w:hint="default" w:ascii="Wingdings" w:hAnsi="Wingdings" w:eastAsia="Wingdings" w:cs="Wingdings"/>
        <w:b w:val="0"/>
        <w:bCs w:val="0"/>
        <w:i w:val="0"/>
        <w:iCs w:val="0"/>
        <w:w w:val="100"/>
        <w:sz w:val="24"/>
        <w:szCs w:val="24"/>
        <w:lang w:val="ru-RU" w:eastAsia="en-US" w:bidi="ar-SA"/>
      </w:rPr>
    </w:lvl>
    <w:lvl w:ilvl="1">
      <w:start w:val="0"/>
      <w:numFmt w:val="bullet"/>
      <w:lvlText w:val="•"/>
      <w:lvlJc w:val="left"/>
      <w:pPr>
        <w:ind w:left="2900" w:hanging="360"/>
      </w:pPr>
      <w:rPr>
        <w:rFonts w:hint="default"/>
        <w:lang w:val="ru-RU" w:eastAsia="en-US" w:bidi="ar-SA"/>
      </w:rPr>
    </w:lvl>
    <w:lvl w:ilvl="2">
      <w:start w:val="0"/>
      <w:numFmt w:val="bullet"/>
      <w:lvlText w:val="•"/>
      <w:lvlJc w:val="left"/>
      <w:pPr>
        <w:ind w:left="3821" w:hanging="360"/>
      </w:pPr>
      <w:rPr>
        <w:rFonts w:hint="default"/>
        <w:lang w:val="ru-RU" w:eastAsia="en-US" w:bidi="ar-SA"/>
      </w:rPr>
    </w:lvl>
    <w:lvl w:ilvl="3">
      <w:start w:val="0"/>
      <w:numFmt w:val="bullet"/>
      <w:lvlText w:val="•"/>
      <w:lvlJc w:val="left"/>
      <w:pPr>
        <w:ind w:left="4741" w:hanging="360"/>
      </w:pPr>
      <w:rPr>
        <w:rFonts w:hint="default"/>
        <w:lang w:val="ru-RU" w:eastAsia="en-US" w:bidi="ar-SA"/>
      </w:rPr>
    </w:lvl>
    <w:lvl w:ilvl="4">
      <w:start w:val="0"/>
      <w:numFmt w:val="bullet"/>
      <w:lvlText w:val="•"/>
      <w:lvlJc w:val="left"/>
      <w:pPr>
        <w:ind w:left="5662" w:hanging="360"/>
      </w:pPr>
      <w:rPr>
        <w:rFonts w:hint="default"/>
        <w:lang w:val="ru-RU" w:eastAsia="en-US" w:bidi="ar-SA"/>
      </w:rPr>
    </w:lvl>
    <w:lvl w:ilvl="5">
      <w:start w:val="0"/>
      <w:numFmt w:val="bullet"/>
      <w:lvlText w:val="•"/>
      <w:lvlJc w:val="left"/>
      <w:pPr>
        <w:ind w:left="6583" w:hanging="360"/>
      </w:pPr>
      <w:rPr>
        <w:rFonts w:hint="default"/>
        <w:lang w:val="ru-RU" w:eastAsia="en-US" w:bidi="ar-SA"/>
      </w:rPr>
    </w:lvl>
    <w:lvl w:ilvl="6">
      <w:start w:val="0"/>
      <w:numFmt w:val="bullet"/>
      <w:lvlText w:val="•"/>
      <w:lvlJc w:val="left"/>
      <w:pPr>
        <w:ind w:left="7503" w:hanging="360"/>
      </w:pPr>
      <w:rPr>
        <w:rFonts w:hint="default"/>
        <w:lang w:val="ru-RU" w:eastAsia="en-US" w:bidi="ar-SA"/>
      </w:rPr>
    </w:lvl>
    <w:lvl w:ilvl="7">
      <w:start w:val="0"/>
      <w:numFmt w:val="bullet"/>
      <w:lvlText w:val="•"/>
      <w:lvlJc w:val="left"/>
      <w:pPr>
        <w:ind w:left="8424" w:hanging="360"/>
      </w:pPr>
      <w:rPr>
        <w:rFonts w:hint="default"/>
        <w:lang w:val="ru-RU" w:eastAsia="en-US" w:bidi="ar-SA"/>
      </w:rPr>
    </w:lvl>
    <w:lvl w:ilvl="8">
      <w:start w:val="0"/>
      <w:numFmt w:val="bullet"/>
      <w:lvlText w:val="•"/>
      <w:lvlJc w:val="left"/>
      <w:pPr>
        <w:ind w:left="9345" w:hanging="360"/>
      </w:pPr>
      <w:rPr>
        <w:rFonts w:hint="default"/>
        <w:lang w:val="ru-RU" w:eastAsia="en-US" w:bidi="ar-SA"/>
      </w:rPr>
    </w:lvl>
  </w:abstractNum>
  <w:abstractNum w:abstractNumId="17">
    <w:multiLevelType w:val="hybridMultilevel"/>
    <w:lvl w:ilvl="0">
      <w:start w:val="0"/>
      <w:numFmt w:val="bullet"/>
      <w:lvlText w:val=""/>
      <w:lvlJc w:val="left"/>
      <w:pPr>
        <w:ind w:left="2689" w:hanging="360"/>
      </w:pPr>
      <w:rPr>
        <w:rFonts w:hint="default" w:ascii="Wingdings" w:hAnsi="Wingdings" w:eastAsia="Wingdings" w:cs="Wingdings"/>
        <w:b w:val="0"/>
        <w:bCs w:val="0"/>
        <w:i w:val="0"/>
        <w:iCs w:val="0"/>
        <w:w w:val="100"/>
        <w:sz w:val="24"/>
        <w:szCs w:val="24"/>
        <w:lang w:val="ru-RU" w:eastAsia="en-US" w:bidi="ar-SA"/>
      </w:rPr>
    </w:lvl>
    <w:lvl w:ilvl="1">
      <w:start w:val="0"/>
      <w:numFmt w:val="bullet"/>
      <w:lvlText w:val="•"/>
      <w:lvlJc w:val="left"/>
      <w:pPr>
        <w:ind w:left="3530" w:hanging="360"/>
      </w:pPr>
      <w:rPr>
        <w:rFonts w:hint="default"/>
        <w:lang w:val="ru-RU" w:eastAsia="en-US" w:bidi="ar-SA"/>
      </w:rPr>
    </w:lvl>
    <w:lvl w:ilvl="2">
      <w:start w:val="0"/>
      <w:numFmt w:val="bullet"/>
      <w:lvlText w:val="•"/>
      <w:lvlJc w:val="left"/>
      <w:pPr>
        <w:ind w:left="4381" w:hanging="360"/>
      </w:pPr>
      <w:rPr>
        <w:rFonts w:hint="default"/>
        <w:lang w:val="ru-RU" w:eastAsia="en-US" w:bidi="ar-SA"/>
      </w:rPr>
    </w:lvl>
    <w:lvl w:ilvl="3">
      <w:start w:val="0"/>
      <w:numFmt w:val="bullet"/>
      <w:lvlText w:val="•"/>
      <w:lvlJc w:val="left"/>
      <w:pPr>
        <w:ind w:left="5231" w:hanging="360"/>
      </w:pPr>
      <w:rPr>
        <w:rFonts w:hint="default"/>
        <w:lang w:val="ru-RU" w:eastAsia="en-US" w:bidi="ar-SA"/>
      </w:rPr>
    </w:lvl>
    <w:lvl w:ilvl="4">
      <w:start w:val="0"/>
      <w:numFmt w:val="bullet"/>
      <w:lvlText w:val="•"/>
      <w:lvlJc w:val="left"/>
      <w:pPr>
        <w:ind w:left="6082" w:hanging="360"/>
      </w:pPr>
      <w:rPr>
        <w:rFonts w:hint="default"/>
        <w:lang w:val="ru-RU" w:eastAsia="en-US" w:bidi="ar-SA"/>
      </w:rPr>
    </w:lvl>
    <w:lvl w:ilvl="5">
      <w:start w:val="0"/>
      <w:numFmt w:val="bullet"/>
      <w:lvlText w:val="•"/>
      <w:lvlJc w:val="left"/>
      <w:pPr>
        <w:ind w:left="6933" w:hanging="360"/>
      </w:pPr>
      <w:rPr>
        <w:rFonts w:hint="default"/>
        <w:lang w:val="ru-RU" w:eastAsia="en-US" w:bidi="ar-SA"/>
      </w:rPr>
    </w:lvl>
    <w:lvl w:ilvl="6">
      <w:start w:val="0"/>
      <w:numFmt w:val="bullet"/>
      <w:lvlText w:val="•"/>
      <w:lvlJc w:val="left"/>
      <w:pPr>
        <w:ind w:left="7783" w:hanging="360"/>
      </w:pPr>
      <w:rPr>
        <w:rFonts w:hint="default"/>
        <w:lang w:val="ru-RU" w:eastAsia="en-US" w:bidi="ar-SA"/>
      </w:rPr>
    </w:lvl>
    <w:lvl w:ilvl="7">
      <w:start w:val="0"/>
      <w:numFmt w:val="bullet"/>
      <w:lvlText w:val="•"/>
      <w:lvlJc w:val="left"/>
      <w:pPr>
        <w:ind w:left="8634" w:hanging="360"/>
      </w:pPr>
      <w:rPr>
        <w:rFonts w:hint="default"/>
        <w:lang w:val="ru-RU" w:eastAsia="en-US" w:bidi="ar-SA"/>
      </w:rPr>
    </w:lvl>
    <w:lvl w:ilvl="8">
      <w:start w:val="0"/>
      <w:numFmt w:val="bullet"/>
      <w:lvlText w:val="•"/>
      <w:lvlJc w:val="left"/>
      <w:pPr>
        <w:ind w:left="9485" w:hanging="360"/>
      </w:pPr>
      <w:rPr>
        <w:rFonts w:hint="default"/>
        <w:lang w:val="ru-RU" w:eastAsia="en-US" w:bidi="ar-SA"/>
      </w:rPr>
    </w:lvl>
  </w:abstractNum>
  <w:abstractNum w:abstractNumId="16">
    <w:multiLevelType w:val="hybridMultilevel"/>
    <w:lvl w:ilvl="0">
      <w:start w:val="0"/>
      <w:numFmt w:val="bullet"/>
      <w:lvlText w:val=""/>
      <w:lvlJc w:val="left"/>
      <w:pPr>
        <w:ind w:left="2689" w:hanging="360"/>
      </w:pPr>
      <w:rPr>
        <w:rFonts w:hint="default" w:ascii="Wingdings" w:hAnsi="Wingdings" w:eastAsia="Wingdings" w:cs="Wingdings"/>
        <w:b w:val="0"/>
        <w:bCs w:val="0"/>
        <w:i w:val="0"/>
        <w:iCs w:val="0"/>
        <w:w w:val="100"/>
        <w:sz w:val="24"/>
        <w:szCs w:val="24"/>
        <w:lang w:val="ru-RU" w:eastAsia="en-US" w:bidi="ar-SA"/>
      </w:rPr>
    </w:lvl>
    <w:lvl w:ilvl="1">
      <w:start w:val="0"/>
      <w:numFmt w:val="bullet"/>
      <w:lvlText w:val="•"/>
      <w:lvlJc w:val="left"/>
      <w:pPr>
        <w:ind w:left="3530" w:hanging="360"/>
      </w:pPr>
      <w:rPr>
        <w:rFonts w:hint="default"/>
        <w:lang w:val="ru-RU" w:eastAsia="en-US" w:bidi="ar-SA"/>
      </w:rPr>
    </w:lvl>
    <w:lvl w:ilvl="2">
      <w:start w:val="0"/>
      <w:numFmt w:val="bullet"/>
      <w:lvlText w:val="•"/>
      <w:lvlJc w:val="left"/>
      <w:pPr>
        <w:ind w:left="4381" w:hanging="360"/>
      </w:pPr>
      <w:rPr>
        <w:rFonts w:hint="default"/>
        <w:lang w:val="ru-RU" w:eastAsia="en-US" w:bidi="ar-SA"/>
      </w:rPr>
    </w:lvl>
    <w:lvl w:ilvl="3">
      <w:start w:val="0"/>
      <w:numFmt w:val="bullet"/>
      <w:lvlText w:val="•"/>
      <w:lvlJc w:val="left"/>
      <w:pPr>
        <w:ind w:left="5231" w:hanging="360"/>
      </w:pPr>
      <w:rPr>
        <w:rFonts w:hint="default"/>
        <w:lang w:val="ru-RU" w:eastAsia="en-US" w:bidi="ar-SA"/>
      </w:rPr>
    </w:lvl>
    <w:lvl w:ilvl="4">
      <w:start w:val="0"/>
      <w:numFmt w:val="bullet"/>
      <w:lvlText w:val="•"/>
      <w:lvlJc w:val="left"/>
      <w:pPr>
        <w:ind w:left="6082" w:hanging="360"/>
      </w:pPr>
      <w:rPr>
        <w:rFonts w:hint="default"/>
        <w:lang w:val="ru-RU" w:eastAsia="en-US" w:bidi="ar-SA"/>
      </w:rPr>
    </w:lvl>
    <w:lvl w:ilvl="5">
      <w:start w:val="0"/>
      <w:numFmt w:val="bullet"/>
      <w:lvlText w:val="•"/>
      <w:lvlJc w:val="left"/>
      <w:pPr>
        <w:ind w:left="6933" w:hanging="360"/>
      </w:pPr>
      <w:rPr>
        <w:rFonts w:hint="default"/>
        <w:lang w:val="ru-RU" w:eastAsia="en-US" w:bidi="ar-SA"/>
      </w:rPr>
    </w:lvl>
    <w:lvl w:ilvl="6">
      <w:start w:val="0"/>
      <w:numFmt w:val="bullet"/>
      <w:lvlText w:val="•"/>
      <w:lvlJc w:val="left"/>
      <w:pPr>
        <w:ind w:left="7783" w:hanging="360"/>
      </w:pPr>
      <w:rPr>
        <w:rFonts w:hint="default"/>
        <w:lang w:val="ru-RU" w:eastAsia="en-US" w:bidi="ar-SA"/>
      </w:rPr>
    </w:lvl>
    <w:lvl w:ilvl="7">
      <w:start w:val="0"/>
      <w:numFmt w:val="bullet"/>
      <w:lvlText w:val="•"/>
      <w:lvlJc w:val="left"/>
      <w:pPr>
        <w:ind w:left="8634" w:hanging="360"/>
      </w:pPr>
      <w:rPr>
        <w:rFonts w:hint="default"/>
        <w:lang w:val="ru-RU" w:eastAsia="en-US" w:bidi="ar-SA"/>
      </w:rPr>
    </w:lvl>
    <w:lvl w:ilvl="8">
      <w:start w:val="0"/>
      <w:numFmt w:val="bullet"/>
      <w:lvlText w:val="•"/>
      <w:lvlJc w:val="left"/>
      <w:pPr>
        <w:ind w:left="9485" w:hanging="360"/>
      </w:pPr>
      <w:rPr>
        <w:rFonts w:hint="default"/>
        <w:lang w:val="ru-RU" w:eastAsia="en-US" w:bidi="ar-SA"/>
      </w:rPr>
    </w:lvl>
  </w:abstractNum>
  <w:abstractNum w:abstractNumId="15">
    <w:multiLevelType w:val="hybridMultilevel"/>
    <w:lvl w:ilvl="0">
      <w:start w:val="0"/>
      <w:numFmt w:val="bullet"/>
      <w:lvlText w:val=""/>
      <w:lvlJc w:val="left"/>
      <w:pPr>
        <w:ind w:left="1981" w:hanging="360"/>
      </w:pPr>
      <w:rPr>
        <w:rFonts w:hint="default" w:ascii="Wingdings" w:hAnsi="Wingdings" w:eastAsia="Wingdings" w:cs="Wingdings"/>
        <w:w w:val="100"/>
        <w:lang w:val="ru-RU" w:eastAsia="en-US" w:bidi="ar-SA"/>
      </w:rPr>
    </w:lvl>
    <w:lvl w:ilvl="1">
      <w:start w:val="0"/>
      <w:numFmt w:val="bullet"/>
      <w:lvlText w:val=""/>
      <w:lvlJc w:val="left"/>
      <w:pPr>
        <w:ind w:left="2752" w:hanging="360"/>
      </w:pPr>
      <w:rPr>
        <w:rFonts w:hint="default" w:ascii="Symbol" w:hAnsi="Symbol" w:eastAsia="Symbol" w:cs="Symbol"/>
        <w:b w:val="0"/>
        <w:bCs w:val="0"/>
        <w:i w:val="0"/>
        <w:iCs w:val="0"/>
        <w:w w:val="100"/>
        <w:sz w:val="24"/>
        <w:szCs w:val="24"/>
        <w:lang w:val="ru-RU" w:eastAsia="en-US" w:bidi="ar-SA"/>
      </w:rPr>
    </w:lvl>
    <w:lvl w:ilvl="2">
      <w:start w:val="0"/>
      <w:numFmt w:val="bullet"/>
      <w:lvlText w:val="•"/>
      <w:lvlJc w:val="left"/>
      <w:pPr>
        <w:ind w:left="3696" w:hanging="360"/>
      </w:pPr>
      <w:rPr>
        <w:rFonts w:hint="default"/>
        <w:lang w:val="ru-RU" w:eastAsia="en-US" w:bidi="ar-SA"/>
      </w:rPr>
    </w:lvl>
    <w:lvl w:ilvl="3">
      <w:start w:val="0"/>
      <w:numFmt w:val="bullet"/>
      <w:lvlText w:val="•"/>
      <w:lvlJc w:val="left"/>
      <w:pPr>
        <w:ind w:left="4632" w:hanging="360"/>
      </w:pPr>
      <w:rPr>
        <w:rFonts w:hint="default"/>
        <w:lang w:val="ru-RU" w:eastAsia="en-US" w:bidi="ar-SA"/>
      </w:rPr>
    </w:lvl>
    <w:lvl w:ilvl="4">
      <w:start w:val="0"/>
      <w:numFmt w:val="bullet"/>
      <w:lvlText w:val="•"/>
      <w:lvlJc w:val="left"/>
      <w:pPr>
        <w:ind w:left="5568" w:hanging="360"/>
      </w:pPr>
      <w:rPr>
        <w:rFonts w:hint="default"/>
        <w:lang w:val="ru-RU" w:eastAsia="en-US" w:bidi="ar-SA"/>
      </w:rPr>
    </w:lvl>
    <w:lvl w:ilvl="5">
      <w:start w:val="0"/>
      <w:numFmt w:val="bullet"/>
      <w:lvlText w:val="•"/>
      <w:lvlJc w:val="left"/>
      <w:pPr>
        <w:ind w:left="6505" w:hanging="360"/>
      </w:pPr>
      <w:rPr>
        <w:rFonts w:hint="default"/>
        <w:lang w:val="ru-RU" w:eastAsia="en-US" w:bidi="ar-SA"/>
      </w:rPr>
    </w:lvl>
    <w:lvl w:ilvl="6">
      <w:start w:val="0"/>
      <w:numFmt w:val="bullet"/>
      <w:lvlText w:val="•"/>
      <w:lvlJc w:val="left"/>
      <w:pPr>
        <w:ind w:left="7441" w:hanging="360"/>
      </w:pPr>
      <w:rPr>
        <w:rFonts w:hint="default"/>
        <w:lang w:val="ru-RU" w:eastAsia="en-US" w:bidi="ar-SA"/>
      </w:rPr>
    </w:lvl>
    <w:lvl w:ilvl="7">
      <w:start w:val="0"/>
      <w:numFmt w:val="bullet"/>
      <w:lvlText w:val="•"/>
      <w:lvlJc w:val="left"/>
      <w:pPr>
        <w:ind w:left="8377" w:hanging="360"/>
      </w:pPr>
      <w:rPr>
        <w:rFonts w:hint="default"/>
        <w:lang w:val="ru-RU" w:eastAsia="en-US" w:bidi="ar-SA"/>
      </w:rPr>
    </w:lvl>
    <w:lvl w:ilvl="8">
      <w:start w:val="0"/>
      <w:numFmt w:val="bullet"/>
      <w:lvlText w:val="•"/>
      <w:lvlJc w:val="left"/>
      <w:pPr>
        <w:ind w:left="9313" w:hanging="360"/>
      </w:pPr>
      <w:rPr>
        <w:rFonts w:hint="default"/>
        <w:lang w:val="ru-RU" w:eastAsia="en-US" w:bidi="ar-SA"/>
      </w:rPr>
    </w:lvl>
  </w:abstractNum>
  <w:abstractNum w:abstractNumId="14">
    <w:multiLevelType w:val="hybridMultilevel"/>
    <w:lvl w:ilvl="0">
      <w:start w:val="0"/>
      <w:numFmt w:val="bullet"/>
      <w:lvlText w:val=""/>
      <w:lvlJc w:val="left"/>
      <w:pPr>
        <w:ind w:left="2341" w:hanging="360"/>
      </w:pPr>
      <w:rPr>
        <w:rFonts w:hint="default" w:ascii="Wingdings" w:hAnsi="Wingdings" w:eastAsia="Wingdings" w:cs="Wingdings"/>
        <w:b w:val="0"/>
        <w:bCs w:val="0"/>
        <w:i w:val="0"/>
        <w:iCs w:val="0"/>
        <w:w w:val="100"/>
        <w:sz w:val="24"/>
        <w:szCs w:val="24"/>
        <w:lang w:val="ru-RU" w:eastAsia="en-US" w:bidi="ar-SA"/>
      </w:rPr>
    </w:lvl>
    <w:lvl w:ilvl="1">
      <w:start w:val="0"/>
      <w:numFmt w:val="bullet"/>
      <w:lvlText w:val="•"/>
      <w:lvlJc w:val="left"/>
      <w:pPr>
        <w:ind w:left="3224" w:hanging="360"/>
      </w:pPr>
      <w:rPr>
        <w:rFonts w:hint="default"/>
        <w:lang w:val="ru-RU" w:eastAsia="en-US" w:bidi="ar-SA"/>
      </w:rPr>
    </w:lvl>
    <w:lvl w:ilvl="2">
      <w:start w:val="0"/>
      <w:numFmt w:val="bullet"/>
      <w:lvlText w:val="•"/>
      <w:lvlJc w:val="left"/>
      <w:pPr>
        <w:ind w:left="4109" w:hanging="360"/>
      </w:pPr>
      <w:rPr>
        <w:rFonts w:hint="default"/>
        <w:lang w:val="ru-RU" w:eastAsia="en-US" w:bidi="ar-SA"/>
      </w:rPr>
    </w:lvl>
    <w:lvl w:ilvl="3">
      <w:start w:val="0"/>
      <w:numFmt w:val="bullet"/>
      <w:lvlText w:val="•"/>
      <w:lvlJc w:val="left"/>
      <w:pPr>
        <w:ind w:left="4993" w:hanging="360"/>
      </w:pPr>
      <w:rPr>
        <w:rFonts w:hint="default"/>
        <w:lang w:val="ru-RU" w:eastAsia="en-US" w:bidi="ar-SA"/>
      </w:rPr>
    </w:lvl>
    <w:lvl w:ilvl="4">
      <w:start w:val="0"/>
      <w:numFmt w:val="bullet"/>
      <w:lvlText w:val="•"/>
      <w:lvlJc w:val="left"/>
      <w:pPr>
        <w:ind w:left="5878" w:hanging="360"/>
      </w:pPr>
      <w:rPr>
        <w:rFonts w:hint="default"/>
        <w:lang w:val="ru-RU" w:eastAsia="en-US" w:bidi="ar-SA"/>
      </w:rPr>
    </w:lvl>
    <w:lvl w:ilvl="5">
      <w:start w:val="0"/>
      <w:numFmt w:val="bullet"/>
      <w:lvlText w:val="•"/>
      <w:lvlJc w:val="left"/>
      <w:pPr>
        <w:ind w:left="6763" w:hanging="360"/>
      </w:pPr>
      <w:rPr>
        <w:rFonts w:hint="default"/>
        <w:lang w:val="ru-RU" w:eastAsia="en-US" w:bidi="ar-SA"/>
      </w:rPr>
    </w:lvl>
    <w:lvl w:ilvl="6">
      <w:start w:val="0"/>
      <w:numFmt w:val="bullet"/>
      <w:lvlText w:val="•"/>
      <w:lvlJc w:val="left"/>
      <w:pPr>
        <w:ind w:left="7647" w:hanging="360"/>
      </w:pPr>
      <w:rPr>
        <w:rFonts w:hint="default"/>
        <w:lang w:val="ru-RU" w:eastAsia="en-US" w:bidi="ar-SA"/>
      </w:rPr>
    </w:lvl>
    <w:lvl w:ilvl="7">
      <w:start w:val="0"/>
      <w:numFmt w:val="bullet"/>
      <w:lvlText w:val="•"/>
      <w:lvlJc w:val="left"/>
      <w:pPr>
        <w:ind w:left="8532" w:hanging="360"/>
      </w:pPr>
      <w:rPr>
        <w:rFonts w:hint="default"/>
        <w:lang w:val="ru-RU" w:eastAsia="en-US" w:bidi="ar-SA"/>
      </w:rPr>
    </w:lvl>
    <w:lvl w:ilvl="8">
      <w:start w:val="0"/>
      <w:numFmt w:val="bullet"/>
      <w:lvlText w:val="•"/>
      <w:lvlJc w:val="left"/>
      <w:pPr>
        <w:ind w:left="9417" w:hanging="360"/>
      </w:pPr>
      <w:rPr>
        <w:rFonts w:hint="default"/>
        <w:lang w:val="ru-RU" w:eastAsia="en-US" w:bidi="ar-SA"/>
      </w:rPr>
    </w:lvl>
  </w:abstractNum>
  <w:abstractNum w:abstractNumId="13">
    <w:multiLevelType w:val="hybridMultilevel"/>
    <w:lvl w:ilvl="0">
      <w:start w:val="0"/>
      <w:numFmt w:val="bullet"/>
      <w:lvlText w:val="-"/>
      <w:lvlJc w:val="left"/>
      <w:pPr>
        <w:ind w:left="1544" w:hanging="425"/>
      </w:pPr>
      <w:rPr>
        <w:rFonts w:hint="default" w:ascii="Times New Roman" w:hAnsi="Times New Roman" w:eastAsia="Times New Roman" w:cs="Times New Roman"/>
        <w:b w:val="0"/>
        <w:bCs w:val="0"/>
        <w:i/>
        <w:iCs/>
        <w:w w:val="100"/>
        <w:sz w:val="24"/>
        <w:szCs w:val="24"/>
        <w:lang w:val="ru-RU" w:eastAsia="en-US" w:bidi="ar-SA"/>
      </w:rPr>
    </w:lvl>
    <w:lvl w:ilvl="1">
      <w:start w:val="0"/>
      <w:numFmt w:val="bullet"/>
      <w:lvlText w:val="•"/>
      <w:lvlJc w:val="left"/>
      <w:pPr>
        <w:ind w:left="2504" w:hanging="425"/>
      </w:pPr>
      <w:rPr>
        <w:rFonts w:hint="default"/>
        <w:lang w:val="ru-RU" w:eastAsia="en-US" w:bidi="ar-SA"/>
      </w:rPr>
    </w:lvl>
    <w:lvl w:ilvl="2">
      <w:start w:val="0"/>
      <w:numFmt w:val="bullet"/>
      <w:lvlText w:val="•"/>
      <w:lvlJc w:val="left"/>
      <w:pPr>
        <w:ind w:left="3469" w:hanging="425"/>
      </w:pPr>
      <w:rPr>
        <w:rFonts w:hint="default"/>
        <w:lang w:val="ru-RU" w:eastAsia="en-US" w:bidi="ar-SA"/>
      </w:rPr>
    </w:lvl>
    <w:lvl w:ilvl="3">
      <w:start w:val="0"/>
      <w:numFmt w:val="bullet"/>
      <w:lvlText w:val="•"/>
      <w:lvlJc w:val="left"/>
      <w:pPr>
        <w:ind w:left="4433" w:hanging="425"/>
      </w:pPr>
      <w:rPr>
        <w:rFonts w:hint="default"/>
        <w:lang w:val="ru-RU" w:eastAsia="en-US" w:bidi="ar-SA"/>
      </w:rPr>
    </w:lvl>
    <w:lvl w:ilvl="4">
      <w:start w:val="0"/>
      <w:numFmt w:val="bullet"/>
      <w:lvlText w:val="•"/>
      <w:lvlJc w:val="left"/>
      <w:pPr>
        <w:ind w:left="5398" w:hanging="425"/>
      </w:pPr>
      <w:rPr>
        <w:rFonts w:hint="default"/>
        <w:lang w:val="ru-RU" w:eastAsia="en-US" w:bidi="ar-SA"/>
      </w:rPr>
    </w:lvl>
    <w:lvl w:ilvl="5">
      <w:start w:val="0"/>
      <w:numFmt w:val="bullet"/>
      <w:lvlText w:val="•"/>
      <w:lvlJc w:val="left"/>
      <w:pPr>
        <w:ind w:left="6363" w:hanging="425"/>
      </w:pPr>
      <w:rPr>
        <w:rFonts w:hint="default"/>
        <w:lang w:val="ru-RU" w:eastAsia="en-US" w:bidi="ar-SA"/>
      </w:rPr>
    </w:lvl>
    <w:lvl w:ilvl="6">
      <w:start w:val="0"/>
      <w:numFmt w:val="bullet"/>
      <w:lvlText w:val="•"/>
      <w:lvlJc w:val="left"/>
      <w:pPr>
        <w:ind w:left="7327" w:hanging="425"/>
      </w:pPr>
      <w:rPr>
        <w:rFonts w:hint="default"/>
        <w:lang w:val="ru-RU" w:eastAsia="en-US" w:bidi="ar-SA"/>
      </w:rPr>
    </w:lvl>
    <w:lvl w:ilvl="7">
      <w:start w:val="0"/>
      <w:numFmt w:val="bullet"/>
      <w:lvlText w:val="•"/>
      <w:lvlJc w:val="left"/>
      <w:pPr>
        <w:ind w:left="8292" w:hanging="425"/>
      </w:pPr>
      <w:rPr>
        <w:rFonts w:hint="default"/>
        <w:lang w:val="ru-RU" w:eastAsia="en-US" w:bidi="ar-SA"/>
      </w:rPr>
    </w:lvl>
    <w:lvl w:ilvl="8">
      <w:start w:val="0"/>
      <w:numFmt w:val="bullet"/>
      <w:lvlText w:val="•"/>
      <w:lvlJc w:val="left"/>
      <w:pPr>
        <w:ind w:left="9257" w:hanging="425"/>
      </w:pPr>
      <w:rPr>
        <w:rFonts w:hint="default"/>
        <w:lang w:val="ru-RU" w:eastAsia="en-US" w:bidi="ar-SA"/>
      </w:rPr>
    </w:lvl>
  </w:abstractNum>
  <w:abstractNum w:abstractNumId="12">
    <w:multiLevelType w:val="hybridMultilevel"/>
    <w:lvl w:ilvl="0">
      <w:start w:val="0"/>
      <w:numFmt w:val="bullet"/>
      <w:lvlText w:val=""/>
      <w:lvlJc w:val="left"/>
      <w:pPr>
        <w:ind w:left="1981"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2900" w:hanging="360"/>
      </w:pPr>
      <w:rPr>
        <w:rFonts w:hint="default"/>
        <w:lang w:val="ru-RU" w:eastAsia="en-US" w:bidi="ar-SA"/>
      </w:rPr>
    </w:lvl>
    <w:lvl w:ilvl="2">
      <w:start w:val="0"/>
      <w:numFmt w:val="bullet"/>
      <w:lvlText w:val="•"/>
      <w:lvlJc w:val="left"/>
      <w:pPr>
        <w:ind w:left="3821" w:hanging="360"/>
      </w:pPr>
      <w:rPr>
        <w:rFonts w:hint="default"/>
        <w:lang w:val="ru-RU" w:eastAsia="en-US" w:bidi="ar-SA"/>
      </w:rPr>
    </w:lvl>
    <w:lvl w:ilvl="3">
      <w:start w:val="0"/>
      <w:numFmt w:val="bullet"/>
      <w:lvlText w:val="•"/>
      <w:lvlJc w:val="left"/>
      <w:pPr>
        <w:ind w:left="4741" w:hanging="360"/>
      </w:pPr>
      <w:rPr>
        <w:rFonts w:hint="default"/>
        <w:lang w:val="ru-RU" w:eastAsia="en-US" w:bidi="ar-SA"/>
      </w:rPr>
    </w:lvl>
    <w:lvl w:ilvl="4">
      <w:start w:val="0"/>
      <w:numFmt w:val="bullet"/>
      <w:lvlText w:val="•"/>
      <w:lvlJc w:val="left"/>
      <w:pPr>
        <w:ind w:left="5662" w:hanging="360"/>
      </w:pPr>
      <w:rPr>
        <w:rFonts w:hint="default"/>
        <w:lang w:val="ru-RU" w:eastAsia="en-US" w:bidi="ar-SA"/>
      </w:rPr>
    </w:lvl>
    <w:lvl w:ilvl="5">
      <w:start w:val="0"/>
      <w:numFmt w:val="bullet"/>
      <w:lvlText w:val="•"/>
      <w:lvlJc w:val="left"/>
      <w:pPr>
        <w:ind w:left="6583" w:hanging="360"/>
      </w:pPr>
      <w:rPr>
        <w:rFonts w:hint="default"/>
        <w:lang w:val="ru-RU" w:eastAsia="en-US" w:bidi="ar-SA"/>
      </w:rPr>
    </w:lvl>
    <w:lvl w:ilvl="6">
      <w:start w:val="0"/>
      <w:numFmt w:val="bullet"/>
      <w:lvlText w:val="•"/>
      <w:lvlJc w:val="left"/>
      <w:pPr>
        <w:ind w:left="7503" w:hanging="360"/>
      </w:pPr>
      <w:rPr>
        <w:rFonts w:hint="default"/>
        <w:lang w:val="ru-RU" w:eastAsia="en-US" w:bidi="ar-SA"/>
      </w:rPr>
    </w:lvl>
    <w:lvl w:ilvl="7">
      <w:start w:val="0"/>
      <w:numFmt w:val="bullet"/>
      <w:lvlText w:val="•"/>
      <w:lvlJc w:val="left"/>
      <w:pPr>
        <w:ind w:left="8424" w:hanging="360"/>
      </w:pPr>
      <w:rPr>
        <w:rFonts w:hint="default"/>
        <w:lang w:val="ru-RU" w:eastAsia="en-US" w:bidi="ar-SA"/>
      </w:rPr>
    </w:lvl>
    <w:lvl w:ilvl="8">
      <w:start w:val="0"/>
      <w:numFmt w:val="bullet"/>
      <w:lvlText w:val="•"/>
      <w:lvlJc w:val="left"/>
      <w:pPr>
        <w:ind w:left="9345" w:hanging="360"/>
      </w:pPr>
      <w:rPr>
        <w:rFonts w:hint="default"/>
        <w:lang w:val="ru-RU" w:eastAsia="en-US" w:bidi="ar-SA"/>
      </w:rPr>
    </w:lvl>
  </w:abstractNum>
  <w:abstractNum w:abstractNumId="11">
    <w:multiLevelType w:val="hybridMultilevel"/>
    <w:lvl w:ilvl="0">
      <w:start w:val="1"/>
      <w:numFmt w:val="decimal"/>
      <w:lvlText w:val="%1)"/>
      <w:lvlJc w:val="left"/>
      <w:pPr>
        <w:ind w:left="1544" w:hanging="276"/>
        <w:jc w:val="left"/>
      </w:pPr>
      <w:rPr>
        <w:rFonts w:hint="default" w:ascii="Times New Roman" w:hAnsi="Times New Roman" w:eastAsia="Times New Roman" w:cs="Times New Roman"/>
        <w:b w:val="0"/>
        <w:bCs w:val="0"/>
        <w:i/>
        <w:iCs/>
        <w:w w:val="100"/>
        <w:sz w:val="24"/>
        <w:szCs w:val="24"/>
        <w:lang w:val="ru-RU" w:eastAsia="en-US" w:bidi="ar-SA"/>
      </w:rPr>
    </w:lvl>
    <w:lvl w:ilvl="1">
      <w:start w:val="0"/>
      <w:numFmt w:val="bullet"/>
      <w:lvlText w:val=""/>
      <w:lvlJc w:val="left"/>
      <w:pPr>
        <w:ind w:left="2264" w:hanging="360"/>
      </w:pPr>
      <w:rPr>
        <w:rFonts w:hint="default" w:ascii="Symbol" w:hAnsi="Symbol" w:eastAsia="Symbol" w:cs="Symbol"/>
        <w:b w:val="0"/>
        <w:bCs w:val="0"/>
        <w:i w:val="0"/>
        <w:iCs w:val="0"/>
        <w:w w:val="100"/>
        <w:sz w:val="24"/>
        <w:szCs w:val="24"/>
        <w:lang w:val="ru-RU" w:eastAsia="en-US" w:bidi="ar-SA"/>
      </w:rPr>
    </w:lvl>
    <w:lvl w:ilvl="2">
      <w:start w:val="0"/>
      <w:numFmt w:val="bullet"/>
      <w:lvlText w:val="•"/>
      <w:lvlJc w:val="left"/>
      <w:pPr>
        <w:ind w:left="3251" w:hanging="360"/>
      </w:pPr>
      <w:rPr>
        <w:rFonts w:hint="default"/>
        <w:lang w:val="ru-RU" w:eastAsia="en-US" w:bidi="ar-SA"/>
      </w:rPr>
    </w:lvl>
    <w:lvl w:ilvl="3">
      <w:start w:val="0"/>
      <w:numFmt w:val="bullet"/>
      <w:lvlText w:val="•"/>
      <w:lvlJc w:val="left"/>
      <w:pPr>
        <w:ind w:left="4243" w:hanging="360"/>
      </w:pPr>
      <w:rPr>
        <w:rFonts w:hint="default"/>
        <w:lang w:val="ru-RU" w:eastAsia="en-US" w:bidi="ar-SA"/>
      </w:rPr>
    </w:lvl>
    <w:lvl w:ilvl="4">
      <w:start w:val="0"/>
      <w:numFmt w:val="bullet"/>
      <w:lvlText w:val="•"/>
      <w:lvlJc w:val="left"/>
      <w:pPr>
        <w:ind w:left="5235" w:hanging="360"/>
      </w:pPr>
      <w:rPr>
        <w:rFonts w:hint="default"/>
        <w:lang w:val="ru-RU" w:eastAsia="en-US" w:bidi="ar-SA"/>
      </w:rPr>
    </w:lvl>
    <w:lvl w:ilvl="5">
      <w:start w:val="0"/>
      <w:numFmt w:val="bullet"/>
      <w:lvlText w:val="•"/>
      <w:lvlJc w:val="left"/>
      <w:pPr>
        <w:ind w:left="6227" w:hanging="360"/>
      </w:pPr>
      <w:rPr>
        <w:rFonts w:hint="default"/>
        <w:lang w:val="ru-RU" w:eastAsia="en-US" w:bidi="ar-SA"/>
      </w:rPr>
    </w:lvl>
    <w:lvl w:ilvl="6">
      <w:start w:val="0"/>
      <w:numFmt w:val="bullet"/>
      <w:lvlText w:val="•"/>
      <w:lvlJc w:val="left"/>
      <w:pPr>
        <w:ind w:left="7219" w:hanging="360"/>
      </w:pPr>
      <w:rPr>
        <w:rFonts w:hint="default"/>
        <w:lang w:val="ru-RU" w:eastAsia="en-US" w:bidi="ar-SA"/>
      </w:rPr>
    </w:lvl>
    <w:lvl w:ilvl="7">
      <w:start w:val="0"/>
      <w:numFmt w:val="bullet"/>
      <w:lvlText w:val="•"/>
      <w:lvlJc w:val="left"/>
      <w:pPr>
        <w:ind w:left="8210" w:hanging="360"/>
      </w:pPr>
      <w:rPr>
        <w:rFonts w:hint="default"/>
        <w:lang w:val="ru-RU" w:eastAsia="en-US" w:bidi="ar-SA"/>
      </w:rPr>
    </w:lvl>
    <w:lvl w:ilvl="8">
      <w:start w:val="0"/>
      <w:numFmt w:val="bullet"/>
      <w:lvlText w:val="•"/>
      <w:lvlJc w:val="left"/>
      <w:pPr>
        <w:ind w:left="9202" w:hanging="360"/>
      </w:pPr>
      <w:rPr>
        <w:rFonts w:hint="default"/>
        <w:lang w:val="ru-RU" w:eastAsia="en-US" w:bidi="ar-SA"/>
      </w:rPr>
    </w:lvl>
  </w:abstractNum>
  <w:abstractNum w:abstractNumId="10">
    <w:multiLevelType w:val="hybridMultilevel"/>
    <w:lvl w:ilvl="0">
      <w:start w:val="0"/>
      <w:numFmt w:val="bullet"/>
      <w:lvlText w:val=""/>
      <w:lvlJc w:val="left"/>
      <w:pPr>
        <w:ind w:left="2113"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2264" w:hanging="358"/>
      </w:pPr>
      <w:rPr>
        <w:rFonts w:hint="default" w:ascii="Symbol" w:hAnsi="Symbol" w:eastAsia="Symbol" w:cs="Symbol"/>
        <w:b w:val="0"/>
        <w:bCs w:val="0"/>
        <w:i w:val="0"/>
        <w:iCs w:val="0"/>
        <w:w w:val="100"/>
        <w:sz w:val="24"/>
        <w:szCs w:val="24"/>
        <w:lang w:val="ru-RU" w:eastAsia="en-US" w:bidi="ar-SA"/>
      </w:rPr>
    </w:lvl>
    <w:lvl w:ilvl="2">
      <w:start w:val="0"/>
      <w:numFmt w:val="bullet"/>
      <w:lvlText w:val="•"/>
      <w:lvlJc w:val="left"/>
      <w:pPr>
        <w:ind w:left="3251" w:hanging="358"/>
      </w:pPr>
      <w:rPr>
        <w:rFonts w:hint="default"/>
        <w:lang w:val="ru-RU" w:eastAsia="en-US" w:bidi="ar-SA"/>
      </w:rPr>
    </w:lvl>
    <w:lvl w:ilvl="3">
      <w:start w:val="0"/>
      <w:numFmt w:val="bullet"/>
      <w:lvlText w:val="•"/>
      <w:lvlJc w:val="left"/>
      <w:pPr>
        <w:ind w:left="4243" w:hanging="358"/>
      </w:pPr>
      <w:rPr>
        <w:rFonts w:hint="default"/>
        <w:lang w:val="ru-RU" w:eastAsia="en-US" w:bidi="ar-SA"/>
      </w:rPr>
    </w:lvl>
    <w:lvl w:ilvl="4">
      <w:start w:val="0"/>
      <w:numFmt w:val="bullet"/>
      <w:lvlText w:val="•"/>
      <w:lvlJc w:val="left"/>
      <w:pPr>
        <w:ind w:left="5235" w:hanging="358"/>
      </w:pPr>
      <w:rPr>
        <w:rFonts w:hint="default"/>
        <w:lang w:val="ru-RU" w:eastAsia="en-US" w:bidi="ar-SA"/>
      </w:rPr>
    </w:lvl>
    <w:lvl w:ilvl="5">
      <w:start w:val="0"/>
      <w:numFmt w:val="bullet"/>
      <w:lvlText w:val="•"/>
      <w:lvlJc w:val="left"/>
      <w:pPr>
        <w:ind w:left="6227" w:hanging="358"/>
      </w:pPr>
      <w:rPr>
        <w:rFonts w:hint="default"/>
        <w:lang w:val="ru-RU" w:eastAsia="en-US" w:bidi="ar-SA"/>
      </w:rPr>
    </w:lvl>
    <w:lvl w:ilvl="6">
      <w:start w:val="0"/>
      <w:numFmt w:val="bullet"/>
      <w:lvlText w:val="•"/>
      <w:lvlJc w:val="left"/>
      <w:pPr>
        <w:ind w:left="7219" w:hanging="358"/>
      </w:pPr>
      <w:rPr>
        <w:rFonts w:hint="default"/>
        <w:lang w:val="ru-RU" w:eastAsia="en-US" w:bidi="ar-SA"/>
      </w:rPr>
    </w:lvl>
    <w:lvl w:ilvl="7">
      <w:start w:val="0"/>
      <w:numFmt w:val="bullet"/>
      <w:lvlText w:val="•"/>
      <w:lvlJc w:val="left"/>
      <w:pPr>
        <w:ind w:left="8210" w:hanging="358"/>
      </w:pPr>
      <w:rPr>
        <w:rFonts w:hint="default"/>
        <w:lang w:val="ru-RU" w:eastAsia="en-US" w:bidi="ar-SA"/>
      </w:rPr>
    </w:lvl>
    <w:lvl w:ilvl="8">
      <w:start w:val="0"/>
      <w:numFmt w:val="bullet"/>
      <w:lvlText w:val="•"/>
      <w:lvlJc w:val="left"/>
      <w:pPr>
        <w:ind w:left="9202" w:hanging="358"/>
      </w:pPr>
      <w:rPr>
        <w:rFonts w:hint="default"/>
        <w:lang w:val="ru-RU" w:eastAsia="en-US" w:bidi="ar-SA"/>
      </w:rPr>
    </w:lvl>
  </w:abstractNum>
  <w:abstractNum w:abstractNumId="9">
    <w:multiLevelType w:val="hybridMultilevel"/>
    <w:lvl w:ilvl="0">
      <w:start w:val="0"/>
      <w:numFmt w:val="bullet"/>
      <w:lvlText w:val=""/>
      <w:lvlJc w:val="left"/>
      <w:pPr>
        <w:ind w:left="1981"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2264" w:hanging="358"/>
      </w:pPr>
      <w:rPr>
        <w:rFonts w:hint="default" w:ascii="Symbol" w:hAnsi="Symbol" w:eastAsia="Symbol" w:cs="Symbol"/>
        <w:b w:val="0"/>
        <w:bCs w:val="0"/>
        <w:i w:val="0"/>
        <w:iCs w:val="0"/>
        <w:w w:val="100"/>
        <w:sz w:val="24"/>
        <w:szCs w:val="24"/>
        <w:lang w:val="ru-RU" w:eastAsia="en-US" w:bidi="ar-SA"/>
      </w:rPr>
    </w:lvl>
    <w:lvl w:ilvl="2">
      <w:start w:val="0"/>
      <w:numFmt w:val="bullet"/>
      <w:lvlText w:val="•"/>
      <w:lvlJc w:val="left"/>
      <w:pPr>
        <w:ind w:left="3251" w:hanging="358"/>
      </w:pPr>
      <w:rPr>
        <w:rFonts w:hint="default"/>
        <w:lang w:val="ru-RU" w:eastAsia="en-US" w:bidi="ar-SA"/>
      </w:rPr>
    </w:lvl>
    <w:lvl w:ilvl="3">
      <w:start w:val="0"/>
      <w:numFmt w:val="bullet"/>
      <w:lvlText w:val="•"/>
      <w:lvlJc w:val="left"/>
      <w:pPr>
        <w:ind w:left="4243" w:hanging="358"/>
      </w:pPr>
      <w:rPr>
        <w:rFonts w:hint="default"/>
        <w:lang w:val="ru-RU" w:eastAsia="en-US" w:bidi="ar-SA"/>
      </w:rPr>
    </w:lvl>
    <w:lvl w:ilvl="4">
      <w:start w:val="0"/>
      <w:numFmt w:val="bullet"/>
      <w:lvlText w:val="•"/>
      <w:lvlJc w:val="left"/>
      <w:pPr>
        <w:ind w:left="5235" w:hanging="358"/>
      </w:pPr>
      <w:rPr>
        <w:rFonts w:hint="default"/>
        <w:lang w:val="ru-RU" w:eastAsia="en-US" w:bidi="ar-SA"/>
      </w:rPr>
    </w:lvl>
    <w:lvl w:ilvl="5">
      <w:start w:val="0"/>
      <w:numFmt w:val="bullet"/>
      <w:lvlText w:val="•"/>
      <w:lvlJc w:val="left"/>
      <w:pPr>
        <w:ind w:left="6227" w:hanging="358"/>
      </w:pPr>
      <w:rPr>
        <w:rFonts w:hint="default"/>
        <w:lang w:val="ru-RU" w:eastAsia="en-US" w:bidi="ar-SA"/>
      </w:rPr>
    </w:lvl>
    <w:lvl w:ilvl="6">
      <w:start w:val="0"/>
      <w:numFmt w:val="bullet"/>
      <w:lvlText w:val="•"/>
      <w:lvlJc w:val="left"/>
      <w:pPr>
        <w:ind w:left="7219" w:hanging="358"/>
      </w:pPr>
      <w:rPr>
        <w:rFonts w:hint="default"/>
        <w:lang w:val="ru-RU" w:eastAsia="en-US" w:bidi="ar-SA"/>
      </w:rPr>
    </w:lvl>
    <w:lvl w:ilvl="7">
      <w:start w:val="0"/>
      <w:numFmt w:val="bullet"/>
      <w:lvlText w:val="•"/>
      <w:lvlJc w:val="left"/>
      <w:pPr>
        <w:ind w:left="8210" w:hanging="358"/>
      </w:pPr>
      <w:rPr>
        <w:rFonts w:hint="default"/>
        <w:lang w:val="ru-RU" w:eastAsia="en-US" w:bidi="ar-SA"/>
      </w:rPr>
    </w:lvl>
    <w:lvl w:ilvl="8">
      <w:start w:val="0"/>
      <w:numFmt w:val="bullet"/>
      <w:lvlText w:val="•"/>
      <w:lvlJc w:val="left"/>
      <w:pPr>
        <w:ind w:left="9202" w:hanging="358"/>
      </w:pPr>
      <w:rPr>
        <w:rFonts w:hint="default"/>
        <w:lang w:val="ru-RU" w:eastAsia="en-US" w:bidi="ar-SA"/>
      </w:rPr>
    </w:lvl>
  </w:abstractNum>
  <w:abstractNum w:abstractNumId="8">
    <w:multiLevelType w:val="hybridMultilevel"/>
    <w:lvl w:ilvl="0">
      <w:start w:val="2"/>
      <w:numFmt w:val="decimal"/>
      <w:lvlText w:val="%1"/>
      <w:lvlJc w:val="left"/>
      <w:pPr>
        <w:ind w:left="2752" w:hanging="420"/>
        <w:jc w:val="left"/>
      </w:pPr>
      <w:rPr>
        <w:rFonts w:hint="default"/>
        <w:lang w:val="ru-RU" w:eastAsia="en-US" w:bidi="ar-SA"/>
      </w:rPr>
    </w:lvl>
    <w:lvl w:ilvl="1">
      <w:start w:val="1"/>
      <w:numFmt w:val="decimal"/>
      <w:lvlText w:val="%1.%2."/>
      <w:lvlJc w:val="left"/>
      <w:pPr>
        <w:ind w:left="2752" w:hanging="420"/>
        <w:jc w:val="left"/>
      </w:pPr>
      <w:rPr>
        <w:rFonts w:hint="default" w:ascii="Times New Roman" w:hAnsi="Times New Roman" w:eastAsia="Times New Roman" w:cs="Times New Roman"/>
        <w:b/>
        <w:bCs/>
        <w:i w:val="0"/>
        <w:iCs w:val="0"/>
        <w:w w:val="100"/>
        <w:sz w:val="24"/>
        <w:szCs w:val="24"/>
        <w:u w:val="thick" w:color="000000"/>
        <w:lang w:val="ru-RU" w:eastAsia="en-US" w:bidi="ar-SA"/>
      </w:rPr>
    </w:lvl>
    <w:lvl w:ilvl="2">
      <w:start w:val="0"/>
      <w:numFmt w:val="bullet"/>
      <w:lvlText w:val="•"/>
      <w:lvlJc w:val="left"/>
      <w:pPr>
        <w:ind w:left="4445" w:hanging="420"/>
      </w:pPr>
      <w:rPr>
        <w:rFonts w:hint="default"/>
        <w:lang w:val="ru-RU" w:eastAsia="en-US" w:bidi="ar-SA"/>
      </w:rPr>
    </w:lvl>
    <w:lvl w:ilvl="3">
      <w:start w:val="0"/>
      <w:numFmt w:val="bullet"/>
      <w:lvlText w:val="•"/>
      <w:lvlJc w:val="left"/>
      <w:pPr>
        <w:ind w:left="5287" w:hanging="420"/>
      </w:pPr>
      <w:rPr>
        <w:rFonts w:hint="default"/>
        <w:lang w:val="ru-RU" w:eastAsia="en-US" w:bidi="ar-SA"/>
      </w:rPr>
    </w:lvl>
    <w:lvl w:ilvl="4">
      <w:start w:val="0"/>
      <w:numFmt w:val="bullet"/>
      <w:lvlText w:val="•"/>
      <w:lvlJc w:val="left"/>
      <w:pPr>
        <w:ind w:left="6130" w:hanging="420"/>
      </w:pPr>
      <w:rPr>
        <w:rFonts w:hint="default"/>
        <w:lang w:val="ru-RU" w:eastAsia="en-US" w:bidi="ar-SA"/>
      </w:rPr>
    </w:lvl>
    <w:lvl w:ilvl="5">
      <w:start w:val="0"/>
      <w:numFmt w:val="bullet"/>
      <w:lvlText w:val="•"/>
      <w:lvlJc w:val="left"/>
      <w:pPr>
        <w:ind w:left="6973" w:hanging="420"/>
      </w:pPr>
      <w:rPr>
        <w:rFonts w:hint="default"/>
        <w:lang w:val="ru-RU" w:eastAsia="en-US" w:bidi="ar-SA"/>
      </w:rPr>
    </w:lvl>
    <w:lvl w:ilvl="6">
      <w:start w:val="0"/>
      <w:numFmt w:val="bullet"/>
      <w:lvlText w:val="•"/>
      <w:lvlJc w:val="left"/>
      <w:pPr>
        <w:ind w:left="7815" w:hanging="420"/>
      </w:pPr>
      <w:rPr>
        <w:rFonts w:hint="default"/>
        <w:lang w:val="ru-RU" w:eastAsia="en-US" w:bidi="ar-SA"/>
      </w:rPr>
    </w:lvl>
    <w:lvl w:ilvl="7">
      <w:start w:val="0"/>
      <w:numFmt w:val="bullet"/>
      <w:lvlText w:val="•"/>
      <w:lvlJc w:val="left"/>
      <w:pPr>
        <w:ind w:left="8658" w:hanging="420"/>
      </w:pPr>
      <w:rPr>
        <w:rFonts w:hint="default"/>
        <w:lang w:val="ru-RU" w:eastAsia="en-US" w:bidi="ar-SA"/>
      </w:rPr>
    </w:lvl>
    <w:lvl w:ilvl="8">
      <w:start w:val="0"/>
      <w:numFmt w:val="bullet"/>
      <w:lvlText w:val="•"/>
      <w:lvlJc w:val="left"/>
      <w:pPr>
        <w:ind w:left="9501" w:hanging="420"/>
      </w:pPr>
      <w:rPr>
        <w:rFonts w:hint="default"/>
        <w:lang w:val="ru-RU" w:eastAsia="en-US" w:bidi="ar-SA"/>
      </w:rPr>
    </w:lvl>
  </w:abstractNum>
  <w:abstractNum w:abstractNumId="7">
    <w:multiLevelType w:val="hybridMultilevel"/>
    <w:lvl w:ilvl="0">
      <w:start w:val="1"/>
      <w:numFmt w:val="decimal"/>
      <w:lvlText w:val="%1."/>
      <w:lvlJc w:val="left"/>
      <w:pPr>
        <w:ind w:left="2332" w:hanging="320"/>
        <w:jc w:val="left"/>
      </w:pPr>
      <w:rPr>
        <w:rFonts w:hint="default" w:ascii="Times New Roman" w:hAnsi="Times New Roman" w:eastAsia="Times New Roman" w:cs="Times New Roman"/>
        <w:b/>
        <w:bCs/>
        <w:i w:val="0"/>
        <w:iCs w:val="0"/>
        <w:w w:val="100"/>
        <w:sz w:val="24"/>
        <w:szCs w:val="24"/>
        <w:u w:val="single" w:color="000000"/>
        <w:lang w:val="ru-RU" w:eastAsia="en-US" w:bidi="ar-SA"/>
      </w:rPr>
    </w:lvl>
    <w:lvl w:ilvl="1">
      <w:start w:val="0"/>
      <w:numFmt w:val="bullet"/>
      <w:lvlText w:val="•"/>
      <w:lvlJc w:val="left"/>
      <w:pPr>
        <w:ind w:left="3224" w:hanging="320"/>
      </w:pPr>
      <w:rPr>
        <w:rFonts w:hint="default"/>
        <w:lang w:val="ru-RU" w:eastAsia="en-US" w:bidi="ar-SA"/>
      </w:rPr>
    </w:lvl>
    <w:lvl w:ilvl="2">
      <w:start w:val="0"/>
      <w:numFmt w:val="bullet"/>
      <w:lvlText w:val="•"/>
      <w:lvlJc w:val="left"/>
      <w:pPr>
        <w:ind w:left="4109" w:hanging="320"/>
      </w:pPr>
      <w:rPr>
        <w:rFonts w:hint="default"/>
        <w:lang w:val="ru-RU" w:eastAsia="en-US" w:bidi="ar-SA"/>
      </w:rPr>
    </w:lvl>
    <w:lvl w:ilvl="3">
      <w:start w:val="0"/>
      <w:numFmt w:val="bullet"/>
      <w:lvlText w:val="•"/>
      <w:lvlJc w:val="left"/>
      <w:pPr>
        <w:ind w:left="4993" w:hanging="320"/>
      </w:pPr>
      <w:rPr>
        <w:rFonts w:hint="default"/>
        <w:lang w:val="ru-RU" w:eastAsia="en-US" w:bidi="ar-SA"/>
      </w:rPr>
    </w:lvl>
    <w:lvl w:ilvl="4">
      <w:start w:val="0"/>
      <w:numFmt w:val="bullet"/>
      <w:lvlText w:val="•"/>
      <w:lvlJc w:val="left"/>
      <w:pPr>
        <w:ind w:left="5878" w:hanging="320"/>
      </w:pPr>
      <w:rPr>
        <w:rFonts w:hint="default"/>
        <w:lang w:val="ru-RU" w:eastAsia="en-US" w:bidi="ar-SA"/>
      </w:rPr>
    </w:lvl>
    <w:lvl w:ilvl="5">
      <w:start w:val="0"/>
      <w:numFmt w:val="bullet"/>
      <w:lvlText w:val="•"/>
      <w:lvlJc w:val="left"/>
      <w:pPr>
        <w:ind w:left="6763" w:hanging="320"/>
      </w:pPr>
      <w:rPr>
        <w:rFonts w:hint="default"/>
        <w:lang w:val="ru-RU" w:eastAsia="en-US" w:bidi="ar-SA"/>
      </w:rPr>
    </w:lvl>
    <w:lvl w:ilvl="6">
      <w:start w:val="0"/>
      <w:numFmt w:val="bullet"/>
      <w:lvlText w:val="•"/>
      <w:lvlJc w:val="left"/>
      <w:pPr>
        <w:ind w:left="7647" w:hanging="320"/>
      </w:pPr>
      <w:rPr>
        <w:rFonts w:hint="default"/>
        <w:lang w:val="ru-RU" w:eastAsia="en-US" w:bidi="ar-SA"/>
      </w:rPr>
    </w:lvl>
    <w:lvl w:ilvl="7">
      <w:start w:val="0"/>
      <w:numFmt w:val="bullet"/>
      <w:lvlText w:val="•"/>
      <w:lvlJc w:val="left"/>
      <w:pPr>
        <w:ind w:left="8532" w:hanging="320"/>
      </w:pPr>
      <w:rPr>
        <w:rFonts w:hint="default"/>
        <w:lang w:val="ru-RU" w:eastAsia="en-US" w:bidi="ar-SA"/>
      </w:rPr>
    </w:lvl>
    <w:lvl w:ilvl="8">
      <w:start w:val="0"/>
      <w:numFmt w:val="bullet"/>
      <w:lvlText w:val="•"/>
      <w:lvlJc w:val="left"/>
      <w:pPr>
        <w:ind w:left="9417" w:hanging="320"/>
      </w:pPr>
      <w:rPr>
        <w:rFonts w:hint="default"/>
        <w:lang w:val="ru-RU" w:eastAsia="en-US" w:bidi="ar-SA"/>
      </w:rPr>
    </w:lvl>
  </w:abstractNum>
  <w:abstractNum w:abstractNumId="6">
    <w:multiLevelType w:val="hybridMultilevel"/>
    <w:lvl w:ilvl="0">
      <w:start w:val="1"/>
      <w:numFmt w:val="decimal"/>
      <w:lvlText w:val="%1."/>
      <w:lvlJc w:val="left"/>
      <w:pPr>
        <w:ind w:left="5339" w:hanging="240"/>
        <w:jc w:val="right"/>
      </w:pPr>
      <w:rPr>
        <w:rFonts w:hint="default"/>
        <w:w w:val="100"/>
        <w:lang w:val="ru-RU" w:eastAsia="en-US" w:bidi="ar-SA"/>
      </w:rPr>
    </w:lvl>
    <w:lvl w:ilvl="1">
      <w:start w:val="1"/>
      <w:numFmt w:val="decimal"/>
      <w:lvlText w:val="%1.%2"/>
      <w:lvlJc w:val="left"/>
      <w:pPr>
        <w:ind w:left="3414" w:hanging="360"/>
        <w:jc w:val="left"/>
      </w:pPr>
      <w:rPr>
        <w:rFonts w:hint="default"/>
        <w:w w:val="100"/>
        <w:lang w:val="ru-RU" w:eastAsia="en-US" w:bidi="ar-SA"/>
      </w:rPr>
    </w:lvl>
    <w:lvl w:ilvl="2">
      <w:start w:val="1"/>
      <w:numFmt w:val="decimal"/>
      <w:lvlText w:val="%1.%2.%3"/>
      <w:lvlJc w:val="left"/>
      <w:pPr>
        <w:ind w:left="2161" w:hanging="360"/>
        <w:jc w:val="right"/>
      </w:pPr>
      <w:rPr>
        <w:rFonts w:hint="default"/>
        <w:w w:val="100"/>
        <w:lang w:val="ru-RU" w:eastAsia="en-US" w:bidi="ar-SA"/>
      </w:rPr>
    </w:lvl>
    <w:lvl w:ilvl="3">
      <w:start w:val="0"/>
      <w:numFmt w:val="bullet"/>
      <w:lvlText w:val=""/>
      <w:lvlJc w:val="left"/>
      <w:pPr>
        <w:ind w:left="1981" w:hanging="360"/>
      </w:pPr>
      <w:rPr>
        <w:rFonts w:hint="default" w:ascii="Symbol" w:hAnsi="Symbol" w:eastAsia="Symbol" w:cs="Symbol"/>
        <w:b w:val="0"/>
        <w:bCs w:val="0"/>
        <w:i w:val="0"/>
        <w:iCs w:val="0"/>
        <w:w w:val="100"/>
        <w:sz w:val="24"/>
        <w:szCs w:val="24"/>
        <w:lang w:val="ru-RU" w:eastAsia="en-US" w:bidi="ar-SA"/>
      </w:rPr>
    </w:lvl>
    <w:lvl w:ilvl="4">
      <w:start w:val="0"/>
      <w:numFmt w:val="bullet"/>
      <w:lvlText w:val="•"/>
      <w:lvlJc w:val="left"/>
      <w:pPr>
        <w:ind w:left="2700" w:hanging="360"/>
      </w:pPr>
      <w:rPr>
        <w:rFonts w:hint="default"/>
        <w:lang w:val="ru-RU" w:eastAsia="en-US" w:bidi="ar-SA"/>
      </w:rPr>
    </w:lvl>
    <w:lvl w:ilvl="5">
      <w:start w:val="0"/>
      <w:numFmt w:val="bullet"/>
      <w:lvlText w:val="•"/>
      <w:lvlJc w:val="left"/>
      <w:pPr>
        <w:ind w:left="2880" w:hanging="360"/>
      </w:pPr>
      <w:rPr>
        <w:rFonts w:hint="default"/>
        <w:lang w:val="ru-RU" w:eastAsia="en-US" w:bidi="ar-SA"/>
      </w:rPr>
    </w:lvl>
    <w:lvl w:ilvl="6">
      <w:start w:val="0"/>
      <w:numFmt w:val="bullet"/>
      <w:lvlText w:val="•"/>
      <w:lvlJc w:val="left"/>
      <w:pPr>
        <w:ind w:left="3420" w:hanging="360"/>
      </w:pPr>
      <w:rPr>
        <w:rFonts w:hint="default"/>
        <w:lang w:val="ru-RU" w:eastAsia="en-US" w:bidi="ar-SA"/>
      </w:rPr>
    </w:lvl>
    <w:lvl w:ilvl="7">
      <w:start w:val="0"/>
      <w:numFmt w:val="bullet"/>
      <w:lvlText w:val="•"/>
      <w:lvlJc w:val="left"/>
      <w:pPr>
        <w:ind w:left="5340" w:hanging="360"/>
      </w:pPr>
      <w:rPr>
        <w:rFonts w:hint="default"/>
        <w:lang w:val="ru-RU" w:eastAsia="en-US" w:bidi="ar-SA"/>
      </w:rPr>
    </w:lvl>
    <w:lvl w:ilvl="8">
      <w:start w:val="0"/>
      <w:numFmt w:val="bullet"/>
      <w:lvlText w:val="•"/>
      <w:lvlJc w:val="left"/>
      <w:pPr>
        <w:ind w:left="7288" w:hanging="360"/>
      </w:pPr>
      <w:rPr>
        <w:rFonts w:hint="default"/>
        <w:lang w:val="ru-RU" w:eastAsia="en-US" w:bidi="ar-SA"/>
      </w:rPr>
    </w:lvl>
  </w:abstractNum>
  <w:abstractNum w:abstractNumId="5">
    <w:multiLevelType w:val="hybridMultilevel"/>
    <w:lvl w:ilvl="0">
      <w:start w:val="7"/>
      <w:numFmt w:val="decimal"/>
      <w:lvlText w:val="%1"/>
      <w:lvlJc w:val="left"/>
      <w:pPr>
        <w:ind w:left="1621" w:hanging="360"/>
        <w:jc w:val="left"/>
      </w:pPr>
      <w:rPr>
        <w:rFonts w:hint="default"/>
        <w:lang w:val="ru-RU" w:eastAsia="en-US" w:bidi="ar-SA"/>
      </w:rPr>
    </w:lvl>
    <w:lvl w:ilvl="1">
      <w:start w:val="1"/>
      <w:numFmt w:val="decimal"/>
      <w:lvlText w:val="%1.%2"/>
      <w:lvlJc w:val="left"/>
      <w:pPr>
        <w:ind w:left="1621" w:hanging="360"/>
        <w:jc w:val="left"/>
      </w:pPr>
      <w:rPr>
        <w:rFonts w:hint="default" w:ascii="Times New Roman" w:hAnsi="Times New Roman" w:eastAsia="Times New Roman" w:cs="Times New Roman"/>
        <w:b/>
        <w:bCs/>
        <w:i w:val="0"/>
        <w:iCs w:val="0"/>
        <w:w w:val="100"/>
        <w:sz w:val="24"/>
        <w:szCs w:val="24"/>
        <w:lang w:val="ru-RU" w:eastAsia="en-US" w:bidi="ar-SA"/>
      </w:rPr>
    </w:lvl>
    <w:lvl w:ilvl="2">
      <w:start w:val="0"/>
      <w:numFmt w:val="bullet"/>
      <w:lvlText w:val="•"/>
      <w:lvlJc w:val="left"/>
      <w:pPr>
        <w:ind w:left="3533" w:hanging="360"/>
      </w:pPr>
      <w:rPr>
        <w:rFonts w:hint="default"/>
        <w:lang w:val="ru-RU" w:eastAsia="en-US" w:bidi="ar-SA"/>
      </w:rPr>
    </w:lvl>
    <w:lvl w:ilvl="3">
      <w:start w:val="0"/>
      <w:numFmt w:val="bullet"/>
      <w:lvlText w:val="•"/>
      <w:lvlJc w:val="left"/>
      <w:pPr>
        <w:ind w:left="4489" w:hanging="360"/>
      </w:pPr>
      <w:rPr>
        <w:rFonts w:hint="default"/>
        <w:lang w:val="ru-RU" w:eastAsia="en-US" w:bidi="ar-SA"/>
      </w:rPr>
    </w:lvl>
    <w:lvl w:ilvl="4">
      <w:start w:val="0"/>
      <w:numFmt w:val="bullet"/>
      <w:lvlText w:val="•"/>
      <w:lvlJc w:val="left"/>
      <w:pPr>
        <w:ind w:left="5446" w:hanging="360"/>
      </w:pPr>
      <w:rPr>
        <w:rFonts w:hint="default"/>
        <w:lang w:val="ru-RU" w:eastAsia="en-US" w:bidi="ar-SA"/>
      </w:rPr>
    </w:lvl>
    <w:lvl w:ilvl="5">
      <w:start w:val="0"/>
      <w:numFmt w:val="bullet"/>
      <w:lvlText w:val="•"/>
      <w:lvlJc w:val="left"/>
      <w:pPr>
        <w:ind w:left="6403" w:hanging="360"/>
      </w:pPr>
      <w:rPr>
        <w:rFonts w:hint="default"/>
        <w:lang w:val="ru-RU" w:eastAsia="en-US" w:bidi="ar-SA"/>
      </w:rPr>
    </w:lvl>
    <w:lvl w:ilvl="6">
      <w:start w:val="0"/>
      <w:numFmt w:val="bullet"/>
      <w:lvlText w:val="•"/>
      <w:lvlJc w:val="left"/>
      <w:pPr>
        <w:ind w:left="7359" w:hanging="360"/>
      </w:pPr>
      <w:rPr>
        <w:rFonts w:hint="default"/>
        <w:lang w:val="ru-RU" w:eastAsia="en-US" w:bidi="ar-SA"/>
      </w:rPr>
    </w:lvl>
    <w:lvl w:ilvl="7">
      <w:start w:val="0"/>
      <w:numFmt w:val="bullet"/>
      <w:lvlText w:val="•"/>
      <w:lvlJc w:val="left"/>
      <w:pPr>
        <w:ind w:left="8316" w:hanging="360"/>
      </w:pPr>
      <w:rPr>
        <w:rFonts w:hint="default"/>
        <w:lang w:val="ru-RU" w:eastAsia="en-US" w:bidi="ar-SA"/>
      </w:rPr>
    </w:lvl>
    <w:lvl w:ilvl="8">
      <w:start w:val="0"/>
      <w:numFmt w:val="bullet"/>
      <w:lvlText w:val="•"/>
      <w:lvlJc w:val="left"/>
      <w:pPr>
        <w:ind w:left="9273" w:hanging="360"/>
      </w:pPr>
      <w:rPr>
        <w:rFonts w:hint="default"/>
        <w:lang w:val="ru-RU" w:eastAsia="en-US" w:bidi="ar-SA"/>
      </w:rPr>
    </w:lvl>
  </w:abstractNum>
  <w:abstractNum w:abstractNumId="4">
    <w:multiLevelType w:val="hybridMultilevel"/>
    <w:lvl w:ilvl="0">
      <w:start w:val="3"/>
      <w:numFmt w:val="decimal"/>
      <w:lvlText w:val="%1"/>
      <w:lvlJc w:val="left"/>
      <w:pPr>
        <w:ind w:left="1861" w:hanging="360"/>
        <w:jc w:val="left"/>
      </w:pPr>
      <w:rPr>
        <w:rFonts w:hint="default"/>
        <w:lang w:val="ru-RU" w:eastAsia="en-US" w:bidi="ar-SA"/>
      </w:rPr>
    </w:lvl>
    <w:lvl w:ilvl="1">
      <w:start w:val="1"/>
      <w:numFmt w:val="decimal"/>
      <w:lvlText w:val="%1.%2"/>
      <w:lvlJc w:val="left"/>
      <w:pPr>
        <w:ind w:left="1861" w:hanging="360"/>
        <w:jc w:val="left"/>
      </w:pPr>
      <w:rPr>
        <w:rFonts w:hint="default" w:ascii="Times New Roman" w:hAnsi="Times New Roman" w:eastAsia="Times New Roman" w:cs="Times New Roman"/>
        <w:b/>
        <w:bCs/>
        <w:i w:val="0"/>
        <w:iCs w:val="0"/>
        <w:w w:val="100"/>
        <w:sz w:val="24"/>
        <w:szCs w:val="24"/>
        <w:lang w:val="ru-RU" w:eastAsia="en-US" w:bidi="ar-SA"/>
      </w:rPr>
    </w:lvl>
    <w:lvl w:ilvl="2">
      <w:start w:val="1"/>
      <w:numFmt w:val="decimal"/>
      <w:lvlText w:val="%1.%2.%3"/>
      <w:lvlJc w:val="left"/>
      <w:pPr>
        <w:ind w:left="2041" w:hanging="540"/>
        <w:jc w:val="left"/>
      </w:pPr>
      <w:rPr>
        <w:rFonts w:hint="default" w:ascii="Times New Roman" w:hAnsi="Times New Roman" w:eastAsia="Times New Roman" w:cs="Times New Roman"/>
        <w:b/>
        <w:bCs/>
        <w:i w:val="0"/>
        <w:iCs w:val="0"/>
        <w:w w:val="100"/>
        <w:sz w:val="24"/>
        <w:szCs w:val="24"/>
        <w:lang w:val="ru-RU" w:eastAsia="en-US" w:bidi="ar-SA"/>
      </w:rPr>
    </w:lvl>
    <w:lvl w:ilvl="3">
      <w:start w:val="0"/>
      <w:numFmt w:val="bullet"/>
      <w:lvlText w:val="•"/>
      <w:lvlJc w:val="left"/>
      <w:pPr>
        <w:ind w:left="3183" w:hanging="540"/>
      </w:pPr>
      <w:rPr>
        <w:rFonts w:hint="default"/>
        <w:lang w:val="ru-RU" w:eastAsia="en-US" w:bidi="ar-SA"/>
      </w:rPr>
    </w:lvl>
    <w:lvl w:ilvl="4">
      <w:start w:val="0"/>
      <w:numFmt w:val="bullet"/>
      <w:lvlText w:val="•"/>
      <w:lvlJc w:val="left"/>
      <w:pPr>
        <w:ind w:left="4326" w:hanging="540"/>
      </w:pPr>
      <w:rPr>
        <w:rFonts w:hint="default"/>
        <w:lang w:val="ru-RU" w:eastAsia="en-US" w:bidi="ar-SA"/>
      </w:rPr>
    </w:lvl>
    <w:lvl w:ilvl="5">
      <w:start w:val="0"/>
      <w:numFmt w:val="bullet"/>
      <w:lvlText w:val="•"/>
      <w:lvlJc w:val="left"/>
      <w:pPr>
        <w:ind w:left="5469" w:hanging="540"/>
      </w:pPr>
      <w:rPr>
        <w:rFonts w:hint="default"/>
        <w:lang w:val="ru-RU" w:eastAsia="en-US" w:bidi="ar-SA"/>
      </w:rPr>
    </w:lvl>
    <w:lvl w:ilvl="6">
      <w:start w:val="0"/>
      <w:numFmt w:val="bullet"/>
      <w:lvlText w:val="•"/>
      <w:lvlJc w:val="left"/>
      <w:pPr>
        <w:ind w:left="6613" w:hanging="540"/>
      </w:pPr>
      <w:rPr>
        <w:rFonts w:hint="default"/>
        <w:lang w:val="ru-RU" w:eastAsia="en-US" w:bidi="ar-SA"/>
      </w:rPr>
    </w:lvl>
    <w:lvl w:ilvl="7">
      <w:start w:val="0"/>
      <w:numFmt w:val="bullet"/>
      <w:lvlText w:val="•"/>
      <w:lvlJc w:val="left"/>
      <w:pPr>
        <w:ind w:left="7756" w:hanging="540"/>
      </w:pPr>
      <w:rPr>
        <w:rFonts w:hint="default"/>
        <w:lang w:val="ru-RU" w:eastAsia="en-US" w:bidi="ar-SA"/>
      </w:rPr>
    </w:lvl>
    <w:lvl w:ilvl="8">
      <w:start w:val="0"/>
      <w:numFmt w:val="bullet"/>
      <w:lvlText w:val="•"/>
      <w:lvlJc w:val="left"/>
      <w:pPr>
        <w:ind w:left="8899" w:hanging="540"/>
      </w:pPr>
      <w:rPr>
        <w:rFonts w:hint="default"/>
        <w:lang w:val="ru-RU" w:eastAsia="en-US" w:bidi="ar-SA"/>
      </w:rPr>
    </w:lvl>
  </w:abstractNum>
  <w:abstractNum w:abstractNumId="3">
    <w:multiLevelType w:val="hybridMultilevel"/>
    <w:lvl w:ilvl="0">
      <w:start w:val="1"/>
      <w:numFmt w:val="decimal"/>
      <w:lvlText w:val="%1."/>
      <w:lvlJc w:val="left"/>
      <w:pPr>
        <w:ind w:left="1741" w:hanging="240"/>
        <w:jc w:val="right"/>
      </w:pPr>
      <w:rPr>
        <w:rFonts w:hint="default" w:ascii="Times New Roman" w:hAnsi="Times New Roman" w:eastAsia="Times New Roman" w:cs="Times New Roman"/>
        <w:b/>
        <w:bCs/>
        <w:i w:val="0"/>
        <w:iCs w:val="0"/>
        <w:w w:val="100"/>
        <w:sz w:val="24"/>
        <w:szCs w:val="24"/>
        <w:lang w:val="ru-RU" w:eastAsia="en-US" w:bidi="ar-SA"/>
      </w:rPr>
    </w:lvl>
    <w:lvl w:ilvl="1">
      <w:start w:val="1"/>
      <w:numFmt w:val="decimal"/>
      <w:lvlText w:val="%1.%2."/>
      <w:lvlJc w:val="left"/>
      <w:pPr>
        <w:ind w:left="1921" w:hanging="420"/>
        <w:jc w:val="left"/>
      </w:pPr>
      <w:rPr>
        <w:rFonts w:hint="default" w:ascii="Times New Roman" w:hAnsi="Times New Roman" w:eastAsia="Times New Roman" w:cs="Times New Roman"/>
        <w:b/>
        <w:bCs/>
        <w:i w:val="0"/>
        <w:iCs w:val="0"/>
        <w:w w:val="100"/>
        <w:sz w:val="24"/>
        <w:szCs w:val="24"/>
        <w:lang w:val="ru-RU" w:eastAsia="en-US" w:bidi="ar-SA"/>
      </w:rPr>
    </w:lvl>
    <w:lvl w:ilvl="2">
      <w:start w:val="0"/>
      <w:numFmt w:val="bullet"/>
      <w:lvlText w:val="•"/>
      <w:lvlJc w:val="left"/>
      <w:pPr>
        <w:ind w:left="2949" w:hanging="420"/>
      </w:pPr>
      <w:rPr>
        <w:rFonts w:hint="default"/>
        <w:lang w:val="ru-RU" w:eastAsia="en-US" w:bidi="ar-SA"/>
      </w:rPr>
    </w:lvl>
    <w:lvl w:ilvl="3">
      <w:start w:val="0"/>
      <w:numFmt w:val="bullet"/>
      <w:lvlText w:val="•"/>
      <w:lvlJc w:val="left"/>
      <w:pPr>
        <w:ind w:left="3979" w:hanging="420"/>
      </w:pPr>
      <w:rPr>
        <w:rFonts w:hint="default"/>
        <w:lang w:val="ru-RU" w:eastAsia="en-US" w:bidi="ar-SA"/>
      </w:rPr>
    </w:lvl>
    <w:lvl w:ilvl="4">
      <w:start w:val="0"/>
      <w:numFmt w:val="bullet"/>
      <w:lvlText w:val="•"/>
      <w:lvlJc w:val="left"/>
      <w:pPr>
        <w:ind w:left="5008" w:hanging="420"/>
      </w:pPr>
      <w:rPr>
        <w:rFonts w:hint="default"/>
        <w:lang w:val="ru-RU" w:eastAsia="en-US" w:bidi="ar-SA"/>
      </w:rPr>
    </w:lvl>
    <w:lvl w:ilvl="5">
      <w:start w:val="0"/>
      <w:numFmt w:val="bullet"/>
      <w:lvlText w:val="•"/>
      <w:lvlJc w:val="left"/>
      <w:pPr>
        <w:ind w:left="6038" w:hanging="420"/>
      </w:pPr>
      <w:rPr>
        <w:rFonts w:hint="default"/>
        <w:lang w:val="ru-RU" w:eastAsia="en-US" w:bidi="ar-SA"/>
      </w:rPr>
    </w:lvl>
    <w:lvl w:ilvl="6">
      <w:start w:val="0"/>
      <w:numFmt w:val="bullet"/>
      <w:lvlText w:val="•"/>
      <w:lvlJc w:val="left"/>
      <w:pPr>
        <w:ind w:left="7068" w:hanging="420"/>
      </w:pPr>
      <w:rPr>
        <w:rFonts w:hint="default"/>
        <w:lang w:val="ru-RU" w:eastAsia="en-US" w:bidi="ar-SA"/>
      </w:rPr>
    </w:lvl>
    <w:lvl w:ilvl="7">
      <w:start w:val="0"/>
      <w:numFmt w:val="bullet"/>
      <w:lvlText w:val="•"/>
      <w:lvlJc w:val="left"/>
      <w:pPr>
        <w:ind w:left="8097" w:hanging="420"/>
      </w:pPr>
      <w:rPr>
        <w:rFonts w:hint="default"/>
        <w:lang w:val="ru-RU" w:eastAsia="en-US" w:bidi="ar-SA"/>
      </w:rPr>
    </w:lvl>
    <w:lvl w:ilvl="8">
      <w:start w:val="0"/>
      <w:numFmt w:val="bullet"/>
      <w:lvlText w:val="•"/>
      <w:lvlJc w:val="left"/>
      <w:pPr>
        <w:ind w:left="9127" w:hanging="420"/>
      </w:pPr>
      <w:rPr>
        <w:rFonts w:hint="default"/>
        <w:lang w:val="ru-RU" w:eastAsia="en-US" w:bidi="ar-SA"/>
      </w:rPr>
    </w:lvl>
  </w:abstractNum>
  <w:abstractNum w:abstractNumId="2">
    <w:multiLevelType w:val="hybridMultilevel"/>
    <w:lvl w:ilvl="0">
      <w:start w:val="1"/>
      <w:numFmt w:val="decimal"/>
      <w:lvlText w:val="%1."/>
      <w:lvlJc w:val="left"/>
      <w:pPr>
        <w:ind w:left="1261" w:hanging="351"/>
        <w:jc w:val="left"/>
      </w:pPr>
      <w:rPr>
        <w:rFonts w:hint="default" w:ascii="Times New Roman" w:hAnsi="Times New Roman" w:eastAsia="Times New Roman" w:cs="Times New Roman"/>
        <w:b/>
        <w:bCs/>
        <w:i w:val="0"/>
        <w:iCs w:val="0"/>
        <w:w w:val="100"/>
        <w:sz w:val="24"/>
        <w:szCs w:val="24"/>
        <w:lang w:val="ru-RU" w:eastAsia="en-US" w:bidi="ar-SA"/>
      </w:rPr>
    </w:lvl>
    <w:lvl w:ilvl="1">
      <w:start w:val="1"/>
      <w:numFmt w:val="decimal"/>
      <w:lvlText w:val="%1.%2"/>
      <w:lvlJc w:val="left"/>
      <w:pPr>
        <w:ind w:left="1861" w:hanging="360"/>
        <w:jc w:val="left"/>
      </w:pPr>
      <w:rPr>
        <w:rFonts w:hint="default" w:ascii="Times New Roman" w:hAnsi="Times New Roman" w:eastAsia="Times New Roman" w:cs="Times New Roman"/>
        <w:b/>
        <w:bCs/>
        <w:i w:val="0"/>
        <w:iCs w:val="0"/>
        <w:w w:val="100"/>
        <w:sz w:val="24"/>
        <w:szCs w:val="24"/>
        <w:lang w:val="ru-RU" w:eastAsia="en-US" w:bidi="ar-SA"/>
      </w:rPr>
    </w:lvl>
    <w:lvl w:ilvl="2">
      <w:start w:val="0"/>
      <w:numFmt w:val="bullet"/>
      <w:lvlText w:val="•"/>
      <w:lvlJc w:val="left"/>
      <w:pPr>
        <w:ind w:left="2896" w:hanging="360"/>
      </w:pPr>
      <w:rPr>
        <w:rFonts w:hint="default"/>
        <w:lang w:val="ru-RU" w:eastAsia="en-US" w:bidi="ar-SA"/>
      </w:rPr>
    </w:lvl>
    <w:lvl w:ilvl="3">
      <w:start w:val="0"/>
      <w:numFmt w:val="bullet"/>
      <w:lvlText w:val="•"/>
      <w:lvlJc w:val="left"/>
      <w:pPr>
        <w:ind w:left="3932" w:hanging="360"/>
      </w:pPr>
      <w:rPr>
        <w:rFonts w:hint="default"/>
        <w:lang w:val="ru-RU" w:eastAsia="en-US" w:bidi="ar-SA"/>
      </w:rPr>
    </w:lvl>
    <w:lvl w:ilvl="4">
      <w:start w:val="0"/>
      <w:numFmt w:val="bullet"/>
      <w:lvlText w:val="•"/>
      <w:lvlJc w:val="left"/>
      <w:pPr>
        <w:ind w:left="4968" w:hanging="360"/>
      </w:pPr>
      <w:rPr>
        <w:rFonts w:hint="default"/>
        <w:lang w:val="ru-RU" w:eastAsia="en-US" w:bidi="ar-SA"/>
      </w:rPr>
    </w:lvl>
    <w:lvl w:ilvl="5">
      <w:start w:val="0"/>
      <w:numFmt w:val="bullet"/>
      <w:lvlText w:val="•"/>
      <w:lvlJc w:val="left"/>
      <w:pPr>
        <w:ind w:left="6005" w:hanging="360"/>
      </w:pPr>
      <w:rPr>
        <w:rFonts w:hint="default"/>
        <w:lang w:val="ru-RU" w:eastAsia="en-US" w:bidi="ar-SA"/>
      </w:rPr>
    </w:lvl>
    <w:lvl w:ilvl="6">
      <w:start w:val="0"/>
      <w:numFmt w:val="bullet"/>
      <w:lvlText w:val="•"/>
      <w:lvlJc w:val="left"/>
      <w:pPr>
        <w:ind w:left="7041" w:hanging="360"/>
      </w:pPr>
      <w:rPr>
        <w:rFonts w:hint="default"/>
        <w:lang w:val="ru-RU" w:eastAsia="en-US" w:bidi="ar-SA"/>
      </w:rPr>
    </w:lvl>
    <w:lvl w:ilvl="7">
      <w:start w:val="0"/>
      <w:numFmt w:val="bullet"/>
      <w:lvlText w:val="•"/>
      <w:lvlJc w:val="left"/>
      <w:pPr>
        <w:ind w:left="8077" w:hanging="360"/>
      </w:pPr>
      <w:rPr>
        <w:rFonts w:hint="default"/>
        <w:lang w:val="ru-RU" w:eastAsia="en-US" w:bidi="ar-SA"/>
      </w:rPr>
    </w:lvl>
    <w:lvl w:ilvl="8">
      <w:start w:val="0"/>
      <w:numFmt w:val="bullet"/>
      <w:lvlText w:val="•"/>
      <w:lvlJc w:val="left"/>
      <w:pPr>
        <w:ind w:left="9113" w:hanging="360"/>
      </w:pPr>
      <w:rPr>
        <w:rFonts w:hint="default"/>
        <w:lang w:val="ru-RU" w:eastAsia="en-US" w:bidi="ar-SA"/>
      </w:rPr>
    </w:lvl>
  </w:abstractNum>
  <w:abstractNum w:abstractNumId="1">
    <w:multiLevelType w:val="hybridMultilevel"/>
    <w:lvl w:ilvl="0">
      <w:start w:val="0"/>
      <w:numFmt w:val="bullet"/>
      <w:lvlText w:val=""/>
      <w:lvlJc w:val="left"/>
      <w:pPr>
        <w:ind w:left="1118"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1856" w:hanging="360"/>
      </w:pPr>
      <w:rPr>
        <w:rFonts w:hint="default"/>
        <w:lang w:val="ru-RU" w:eastAsia="en-US" w:bidi="ar-SA"/>
      </w:rPr>
    </w:lvl>
    <w:lvl w:ilvl="2">
      <w:start w:val="0"/>
      <w:numFmt w:val="bullet"/>
      <w:lvlText w:val="•"/>
      <w:lvlJc w:val="left"/>
      <w:pPr>
        <w:ind w:left="2593" w:hanging="360"/>
      </w:pPr>
      <w:rPr>
        <w:rFonts w:hint="default"/>
        <w:lang w:val="ru-RU" w:eastAsia="en-US" w:bidi="ar-SA"/>
      </w:rPr>
    </w:lvl>
    <w:lvl w:ilvl="3">
      <w:start w:val="0"/>
      <w:numFmt w:val="bullet"/>
      <w:lvlText w:val="•"/>
      <w:lvlJc w:val="left"/>
      <w:pPr>
        <w:ind w:left="3330" w:hanging="360"/>
      </w:pPr>
      <w:rPr>
        <w:rFonts w:hint="default"/>
        <w:lang w:val="ru-RU" w:eastAsia="en-US" w:bidi="ar-SA"/>
      </w:rPr>
    </w:lvl>
    <w:lvl w:ilvl="4">
      <w:start w:val="0"/>
      <w:numFmt w:val="bullet"/>
      <w:lvlText w:val="•"/>
      <w:lvlJc w:val="left"/>
      <w:pPr>
        <w:ind w:left="4067" w:hanging="360"/>
      </w:pPr>
      <w:rPr>
        <w:rFonts w:hint="default"/>
        <w:lang w:val="ru-RU" w:eastAsia="en-US" w:bidi="ar-SA"/>
      </w:rPr>
    </w:lvl>
    <w:lvl w:ilvl="5">
      <w:start w:val="0"/>
      <w:numFmt w:val="bullet"/>
      <w:lvlText w:val="•"/>
      <w:lvlJc w:val="left"/>
      <w:pPr>
        <w:ind w:left="4804" w:hanging="360"/>
      </w:pPr>
      <w:rPr>
        <w:rFonts w:hint="default"/>
        <w:lang w:val="ru-RU" w:eastAsia="en-US" w:bidi="ar-SA"/>
      </w:rPr>
    </w:lvl>
    <w:lvl w:ilvl="6">
      <w:start w:val="0"/>
      <w:numFmt w:val="bullet"/>
      <w:lvlText w:val="•"/>
      <w:lvlJc w:val="left"/>
      <w:pPr>
        <w:ind w:left="5541" w:hanging="360"/>
      </w:pPr>
      <w:rPr>
        <w:rFonts w:hint="default"/>
        <w:lang w:val="ru-RU" w:eastAsia="en-US" w:bidi="ar-SA"/>
      </w:rPr>
    </w:lvl>
    <w:lvl w:ilvl="7">
      <w:start w:val="0"/>
      <w:numFmt w:val="bullet"/>
      <w:lvlText w:val="•"/>
      <w:lvlJc w:val="left"/>
      <w:pPr>
        <w:ind w:left="6278" w:hanging="360"/>
      </w:pPr>
      <w:rPr>
        <w:rFonts w:hint="default"/>
        <w:lang w:val="ru-RU" w:eastAsia="en-US" w:bidi="ar-SA"/>
      </w:rPr>
    </w:lvl>
    <w:lvl w:ilvl="8">
      <w:start w:val="0"/>
      <w:numFmt w:val="bullet"/>
      <w:lvlText w:val="•"/>
      <w:lvlJc w:val="left"/>
      <w:pPr>
        <w:ind w:left="7015" w:hanging="360"/>
      </w:pPr>
      <w:rPr>
        <w:rFonts w:hint="default"/>
        <w:lang w:val="ru-RU" w:eastAsia="en-US" w:bidi="ar-SA"/>
      </w:rPr>
    </w:lvl>
  </w:abstractNum>
  <w:abstractNum w:abstractNumId="0">
    <w:multiLevelType w:val="hybridMultilevel"/>
    <w:lvl w:ilvl="0">
      <w:start w:val="0"/>
      <w:numFmt w:val="bullet"/>
      <w:lvlText w:val=""/>
      <w:lvlJc w:val="left"/>
      <w:pPr>
        <w:ind w:left="50" w:hanging="360"/>
      </w:pPr>
      <w:rPr>
        <w:rFonts w:hint="default" w:ascii="Symbol" w:hAnsi="Symbol" w:eastAsia="Symbol" w:cs="Symbol"/>
        <w:b w:val="0"/>
        <w:bCs w:val="0"/>
        <w:i w:val="0"/>
        <w:iCs w:val="0"/>
        <w:w w:val="100"/>
        <w:sz w:val="24"/>
        <w:szCs w:val="24"/>
        <w:lang w:val="ru-RU" w:eastAsia="en-US" w:bidi="ar-SA"/>
      </w:rPr>
    </w:lvl>
    <w:lvl w:ilvl="1">
      <w:start w:val="0"/>
      <w:numFmt w:val="bullet"/>
      <w:lvlText w:val="•"/>
      <w:lvlJc w:val="left"/>
      <w:pPr>
        <w:ind w:left="902" w:hanging="360"/>
      </w:pPr>
      <w:rPr>
        <w:rFonts w:hint="default"/>
        <w:lang w:val="ru-RU" w:eastAsia="en-US" w:bidi="ar-SA"/>
      </w:rPr>
    </w:lvl>
    <w:lvl w:ilvl="2">
      <w:start w:val="0"/>
      <w:numFmt w:val="bullet"/>
      <w:lvlText w:val="•"/>
      <w:lvlJc w:val="left"/>
      <w:pPr>
        <w:ind w:left="1745" w:hanging="360"/>
      </w:pPr>
      <w:rPr>
        <w:rFonts w:hint="default"/>
        <w:lang w:val="ru-RU" w:eastAsia="en-US" w:bidi="ar-SA"/>
      </w:rPr>
    </w:lvl>
    <w:lvl w:ilvl="3">
      <w:start w:val="0"/>
      <w:numFmt w:val="bullet"/>
      <w:lvlText w:val="•"/>
      <w:lvlJc w:val="left"/>
      <w:pPr>
        <w:ind w:left="2588" w:hanging="360"/>
      </w:pPr>
      <w:rPr>
        <w:rFonts w:hint="default"/>
        <w:lang w:val="ru-RU" w:eastAsia="en-US" w:bidi="ar-SA"/>
      </w:rPr>
    </w:lvl>
    <w:lvl w:ilvl="4">
      <w:start w:val="0"/>
      <w:numFmt w:val="bullet"/>
      <w:lvlText w:val="•"/>
      <w:lvlJc w:val="left"/>
      <w:pPr>
        <w:ind w:left="3431" w:hanging="360"/>
      </w:pPr>
      <w:rPr>
        <w:rFonts w:hint="default"/>
        <w:lang w:val="ru-RU" w:eastAsia="en-US" w:bidi="ar-SA"/>
      </w:rPr>
    </w:lvl>
    <w:lvl w:ilvl="5">
      <w:start w:val="0"/>
      <w:numFmt w:val="bullet"/>
      <w:lvlText w:val="•"/>
      <w:lvlJc w:val="left"/>
      <w:pPr>
        <w:ind w:left="4274" w:hanging="360"/>
      </w:pPr>
      <w:rPr>
        <w:rFonts w:hint="default"/>
        <w:lang w:val="ru-RU" w:eastAsia="en-US" w:bidi="ar-SA"/>
      </w:rPr>
    </w:lvl>
    <w:lvl w:ilvl="6">
      <w:start w:val="0"/>
      <w:numFmt w:val="bullet"/>
      <w:lvlText w:val="•"/>
      <w:lvlJc w:val="left"/>
      <w:pPr>
        <w:ind w:left="5117" w:hanging="360"/>
      </w:pPr>
      <w:rPr>
        <w:rFonts w:hint="default"/>
        <w:lang w:val="ru-RU" w:eastAsia="en-US" w:bidi="ar-SA"/>
      </w:rPr>
    </w:lvl>
    <w:lvl w:ilvl="7">
      <w:start w:val="0"/>
      <w:numFmt w:val="bullet"/>
      <w:lvlText w:val="•"/>
      <w:lvlJc w:val="left"/>
      <w:pPr>
        <w:ind w:left="5960" w:hanging="360"/>
      </w:pPr>
      <w:rPr>
        <w:rFonts w:hint="default"/>
        <w:lang w:val="ru-RU" w:eastAsia="en-US" w:bidi="ar-SA"/>
      </w:rPr>
    </w:lvl>
    <w:lvl w:ilvl="8">
      <w:start w:val="0"/>
      <w:numFmt w:val="bullet"/>
      <w:lvlText w:val="•"/>
      <w:lvlJc w:val="left"/>
      <w:pPr>
        <w:ind w:left="6803" w:hanging="360"/>
      </w:pPr>
      <w:rPr>
        <w:rFonts w:hint="default"/>
        <w:lang w:val="ru-RU" w:eastAsia="en-US" w:bidi="ar-SA"/>
      </w:rPr>
    </w:lvl>
  </w:abstract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ru-RU" w:eastAsia="en-US" w:bidi="ar-SA"/>
    </w:rPr>
  </w:style>
  <w:style w:styleId="TOC1" w:type="paragraph">
    <w:name w:val="TOC 1"/>
    <w:basedOn w:val="Normal"/>
    <w:uiPriority w:val="1"/>
    <w:qFormat/>
    <w:pPr>
      <w:spacing w:before="101"/>
      <w:ind w:left="1261"/>
      <w:jc w:val="both"/>
    </w:pPr>
    <w:rPr>
      <w:rFonts w:ascii="Times New Roman" w:hAnsi="Times New Roman" w:eastAsia="Times New Roman" w:cs="Times New Roman"/>
      <w:b/>
      <w:bCs/>
      <w:sz w:val="24"/>
      <w:szCs w:val="24"/>
      <w:lang w:val="ru-RU" w:eastAsia="en-US" w:bidi="ar-SA"/>
    </w:rPr>
  </w:style>
  <w:style w:styleId="TOC2" w:type="paragraph">
    <w:name w:val="TOC 2"/>
    <w:basedOn w:val="Normal"/>
    <w:uiPriority w:val="1"/>
    <w:qFormat/>
    <w:pPr>
      <w:spacing w:before="101"/>
      <w:ind w:left="1501"/>
    </w:pPr>
    <w:rPr>
      <w:rFonts w:ascii="Times New Roman" w:hAnsi="Times New Roman" w:eastAsia="Times New Roman" w:cs="Times New Roman"/>
      <w:b/>
      <w:bCs/>
      <w:sz w:val="24"/>
      <w:szCs w:val="24"/>
      <w:lang w:val="ru-RU" w:eastAsia="en-US" w:bidi="ar-SA"/>
    </w:rPr>
  </w:style>
  <w:style w:styleId="TOC3" w:type="paragraph">
    <w:name w:val="TOC 3"/>
    <w:basedOn w:val="Normal"/>
    <w:uiPriority w:val="1"/>
    <w:qFormat/>
    <w:pPr>
      <w:spacing w:before="101"/>
      <w:ind w:left="1501"/>
    </w:pPr>
    <w:rPr>
      <w:rFonts w:ascii="Times New Roman" w:hAnsi="Times New Roman" w:eastAsia="Times New Roman" w:cs="Times New Roman"/>
      <w:b/>
      <w:bCs/>
      <w:i/>
      <w:iCs/>
      <w:sz w:val="24"/>
      <w:szCs w:val="24"/>
      <w:lang w:val="ru-RU" w:eastAsia="en-US" w:bidi="ar-SA"/>
    </w:rPr>
  </w:style>
  <w:style w:styleId="BodyText" w:type="paragraph">
    <w:name w:val="Body Text"/>
    <w:basedOn w:val="Normal"/>
    <w:uiPriority w:val="1"/>
    <w:qFormat/>
    <w:pPr>
      <w:ind w:left="1981"/>
    </w:pPr>
    <w:rPr>
      <w:rFonts w:ascii="Times New Roman" w:hAnsi="Times New Roman" w:eastAsia="Times New Roman" w:cs="Times New Roman"/>
      <w:sz w:val="24"/>
      <w:szCs w:val="24"/>
      <w:lang w:val="ru-RU" w:eastAsia="en-US" w:bidi="ar-SA"/>
    </w:rPr>
  </w:style>
  <w:style w:styleId="Heading1" w:type="paragraph">
    <w:name w:val="Heading 1"/>
    <w:basedOn w:val="Normal"/>
    <w:uiPriority w:val="1"/>
    <w:qFormat/>
    <w:pPr>
      <w:ind w:left="1261"/>
      <w:jc w:val="both"/>
      <w:outlineLvl w:val="1"/>
    </w:pPr>
    <w:rPr>
      <w:rFonts w:ascii="Times New Roman" w:hAnsi="Times New Roman" w:eastAsia="Times New Roman" w:cs="Times New Roman"/>
      <w:b/>
      <w:bCs/>
      <w:sz w:val="28"/>
      <w:szCs w:val="28"/>
      <w:lang w:val="ru-RU" w:eastAsia="en-US" w:bidi="ar-SA"/>
    </w:rPr>
  </w:style>
  <w:style w:styleId="Heading2" w:type="paragraph">
    <w:name w:val="Heading 2"/>
    <w:basedOn w:val="Normal"/>
    <w:uiPriority w:val="1"/>
    <w:qFormat/>
    <w:pPr>
      <w:ind w:left="1261"/>
      <w:outlineLvl w:val="2"/>
    </w:pPr>
    <w:rPr>
      <w:rFonts w:ascii="Times New Roman" w:hAnsi="Times New Roman" w:eastAsia="Times New Roman" w:cs="Times New Roman"/>
      <w:b/>
      <w:bCs/>
      <w:sz w:val="24"/>
      <w:szCs w:val="24"/>
      <w:lang w:val="ru-RU" w:eastAsia="en-US" w:bidi="ar-SA"/>
    </w:rPr>
  </w:style>
  <w:style w:styleId="Heading3" w:type="paragraph">
    <w:name w:val="Heading 3"/>
    <w:basedOn w:val="Normal"/>
    <w:uiPriority w:val="1"/>
    <w:qFormat/>
    <w:pPr>
      <w:ind w:left="1261"/>
      <w:outlineLvl w:val="3"/>
    </w:pPr>
    <w:rPr>
      <w:rFonts w:ascii="Times New Roman" w:hAnsi="Times New Roman" w:eastAsia="Times New Roman" w:cs="Times New Roman"/>
      <w:b/>
      <w:bCs/>
      <w:sz w:val="24"/>
      <w:szCs w:val="24"/>
      <w:lang w:val="ru-RU" w:eastAsia="en-US" w:bidi="ar-SA"/>
    </w:rPr>
  </w:style>
  <w:style w:styleId="Heading4" w:type="paragraph">
    <w:name w:val="Heading 4"/>
    <w:basedOn w:val="Normal"/>
    <w:uiPriority w:val="1"/>
    <w:qFormat/>
    <w:pPr>
      <w:spacing w:before="137"/>
      <w:ind w:left="1261"/>
      <w:jc w:val="both"/>
      <w:outlineLvl w:val="4"/>
    </w:pPr>
    <w:rPr>
      <w:rFonts w:ascii="Times New Roman" w:hAnsi="Times New Roman" w:eastAsia="Times New Roman" w:cs="Times New Roman"/>
      <w:b/>
      <w:bCs/>
      <w:i/>
      <w:iCs/>
      <w:sz w:val="24"/>
      <w:szCs w:val="24"/>
      <w:lang w:val="ru-RU" w:eastAsia="en-US" w:bidi="ar-SA"/>
    </w:rPr>
  </w:style>
  <w:style w:styleId="ListParagraph" w:type="paragraph">
    <w:name w:val="List Paragraph"/>
    <w:basedOn w:val="Normal"/>
    <w:uiPriority w:val="1"/>
    <w:qFormat/>
    <w:pPr>
      <w:ind w:left="1981" w:hanging="360"/>
      <w:jc w:val="both"/>
    </w:pPr>
    <w:rPr>
      <w:rFonts w:ascii="Times New Roman" w:hAnsi="Times New Roman" w:eastAsia="Times New Roman" w:cs="Times New Roman"/>
      <w:lang w:val="ru-RU" w:eastAsia="en-US" w:bidi="ar-SA"/>
    </w:rPr>
  </w:style>
  <w:style w:styleId="TableParagraph" w:type="paragraph">
    <w:name w:val="Table Paragraph"/>
    <w:basedOn w:val="Normal"/>
    <w:uiPriority w:val="1"/>
    <w:qFormat/>
    <w:pPr>
      <w:ind w:left="107"/>
    </w:pPr>
    <w:rPr>
      <w:rFonts w:ascii="Times New Roman" w:hAnsi="Times New Roman" w:eastAsia="Times New Roman" w:cs="Times New Roman"/>
      <w:lang w:val="ru-RU"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hyperlink" Target="http://dic.academic.ru/dic.nsf/enc_medicine/28878/&#1057;&#1080;&#1085;&#1076;&#1088;&#1086;&#1084;" TargetMode="External"/><Relationship Id="rId7" Type="http://schemas.openxmlformats.org/officeDocument/2006/relationships/hyperlink" Target="http://www.who.int/publications/i/item/9789241549028" TargetMode="External"/><Relationship Id="rId8" Type="http://schemas.openxmlformats.org/officeDocument/2006/relationships/image" Target="media/image1.png"/><Relationship Id="rId9" Type="http://schemas.openxmlformats.org/officeDocument/2006/relationships/footer" Target="footer2.xml"/><Relationship Id="rId10" Type="http://schemas.openxmlformats.org/officeDocument/2006/relationships/footer" Target="footer3.xml"/><Relationship Id="rId11" Type="http://schemas.openxmlformats.org/officeDocument/2006/relationships/image" Target="media/image2.jpe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2023-05-11T13:00:27Z</dcterms:created>
  <dcterms:modified xsi:type="dcterms:W3CDTF">2023-05-11T13:00:27Z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2023-05-11T00:00:00Z</vt:filetime>
  </property>
  <property fmtid="{D5CDD505-2E9C-101B-9397-08002B2CF9AE}" pid="3" name="Producer">
    <vt:lpwstr>3-Heights™ PDF Merge Split Shell 6.12.1.11 (http://www.pdf-tools.com)</vt:lpwstr>
  </property>
</Properties>
</file>