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4FC" w:rsidRPr="005674FC" w:rsidRDefault="005674FC" w:rsidP="005674FC">
      <w:pPr>
        <w:shd w:val="clear" w:color="auto" w:fill="FFFFFF"/>
        <w:spacing w:after="0" w:line="240" w:lineRule="auto"/>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5674FC" w:rsidRPr="005674FC" w:rsidRDefault="005674FC" w:rsidP="005674FC">
      <w:pPr>
        <w:shd w:val="clear" w:color="auto" w:fill="FFFFFF"/>
        <w:spacing w:after="0" w:line="240" w:lineRule="auto"/>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Клинические рекомендации</w:t>
      </w:r>
    </w:p>
    <w:p w:rsidR="005674FC" w:rsidRPr="005674FC" w:rsidRDefault="005674FC" w:rsidP="005674FC">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5674FC">
        <w:rPr>
          <w:rFonts w:ascii="Times New Roman" w:eastAsia="Times New Roman" w:hAnsi="Times New Roman" w:cs="Times New Roman"/>
          <w:b/>
          <w:bCs/>
          <w:color w:val="000000"/>
          <w:kern w:val="36"/>
          <w:sz w:val="48"/>
          <w:szCs w:val="48"/>
          <w:lang w:eastAsia="ru-RU"/>
        </w:rPr>
        <w:t>Интраокулярная ретинобластома</w:t>
      </w:r>
    </w:p>
    <w:p w:rsidR="005674FC" w:rsidRPr="005674FC" w:rsidRDefault="005674FC" w:rsidP="005674FC">
      <w:pPr>
        <w:shd w:val="clear" w:color="auto" w:fill="FFFFFF"/>
        <w:spacing w:after="150" w:line="240" w:lineRule="auto"/>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Кодирование по Международной статистической</w:t>
      </w:r>
      <w:r w:rsidRPr="005674FC">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5674FC">
        <w:rPr>
          <w:rFonts w:ascii="Times New Roman" w:eastAsia="Times New Roman" w:hAnsi="Times New Roman" w:cs="Times New Roman"/>
          <w:b/>
          <w:bCs/>
          <w:color w:val="222222"/>
          <w:sz w:val="27"/>
          <w:szCs w:val="27"/>
          <w:lang w:eastAsia="ru-RU"/>
        </w:rPr>
        <w:t>C69.2</w:t>
      </w:r>
    </w:p>
    <w:p w:rsidR="005674FC" w:rsidRPr="005674FC" w:rsidRDefault="005674FC" w:rsidP="005674FC">
      <w:pPr>
        <w:shd w:val="clear" w:color="auto" w:fill="FFFFFF"/>
        <w:spacing w:after="150" w:line="240" w:lineRule="auto"/>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Год утверждения (частота пересмотра):</w:t>
      </w:r>
      <w:r w:rsidRPr="005674FC">
        <w:rPr>
          <w:rFonts w:ascii="Times New Roman" w:eastAsia="Times New Roman" w:hAnsi="Times New Roman" w:cs="Times New Roman"/>
          <w:b/>
          <w:bCs/>
          <w:color w:val="222222"/>
          <w:sz w:val="27"/>
          <w:szCs w:val="27"/>
          <w:lang w:eastAsia="ru-RU"/>
        </w:rPr>
        <w:t>2020</w:t>
      </w:r>
    </w:p>
    <w:p w:rsidR="005674FC" w:rsidRPr="005674FC" w:rsidRDefault="005674FC" w:rsidP="005674FC">
      <w:pPr>
        <w:shd w:val="clear" w:color="auto" w:fill="FFFFFF"/>
        <w:spacing w:after="150" w:line="240" w:lineRule="auto"/>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Возрастная категория:</w:t>
      </w:r>
      <w:r w:rsidRPr="005674FC">
        <w:rPr>
          <w:rFonts w:ascii="Times New Roman" w:eastAsia="Times New Roman" w:hAnsi="Times New Roman" w:cs="Times New Roman"/>
          <w:b/>
          <w:bCs/>
          <w:color w:val="222222"/>
          <w:sz w:val="27"/>
          <w:szCs w:val="27"/>
          <w:lang w:eastAsia="ru-RU"/>
        </w:rPr>
        <w:t>Дети</w:t>
      </w:r>
    </w:p>
    <w:p w:rsidR="005674FC" w:rsidRPr="005674FC" w:rsidRDefault="005674FC" w:rsidP="005674FC">
      <w:pPr>
        <w:shd w:val="clear" w:color="auto" w:fill="FFFFFF"/>
        <w:spacing w:after="150" w:line="240" w:lineRule="auto"/>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Пересмотр не позднее:</w:t>
      </w:r>
      <w:r w:rsidRPr="005674FC">
        <w:rPr>
          <w:rFonts w:ascii="Times New Roman" w:eastAsia="Times New Roman" w:hAnsi="Times New Roman" w:cs="Times New Roman"/>
          <w:b/>
          <w:bCs/>
          <w:color w:val="222222"/>
          <w:sz w:val="27"/>
          <w:szCs w:val="27"/>
          <w:lang w:eastAsia="ru-RU"/>
        </w:rPr>
        <w:t>2022</w:t>
      </w:r>
    </w:p>
    <w:p w:rsidR="005674FC" w:rsidRPr="005674FC" w:rsidRDefault="005674FC" w:rsidP="005674FC">
      <w:pPr>
        <w:shd w:val="clear" w:color="auto" w:fill="FFFFFF"/>
        <w:spacing w:after="150" w:line="240" w:lineRule="auto"/>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ID:</w:t>
      </w:r>
      <w:r w:rsidRPr="005674FC">
        <w:rPr>
          <w:rFonts w:ascii="Times New Roman" w:eastAsia="Times New Roman" w:hAnsi="Times New Roman" w:cs="Times New Roman"/>
          <w:b/>
          <w:bCs/>
          <w:color w:val="222222"/>
          <w:sz w:val="27"/>
          <w:szCs w:val="27"/>
          <w:lang w:eastAsia="ru-RU"/>
        </w:rPr>
        <w:t>71</w:t>
      </w:r>
    </w:p>
    <w:p w:rsidR="005674FC" w:rsidRPr="005674FC" w:rsidRDefault="005674FC" w:rsidP="005674FC">
      <w:pPr>
        <w:shd w:val="clear" w:color="auto" w:fill="FFFFFF"/>
        <w:spacing w:after="0" w:line="240" w:lineRule="auto"/>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Разработчик клинической рекомендации</w:t>
      </w:r>
    </w:p>
    <w:p w:rsidR="005674FC" w:rsidRPr="005674FC" w:rsidRDefault="005674FC" w:rsidP="005674FC">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5674FC">
        <w:rPr>
          <w:rFonts w:ascii="Times New Roman" w:eastAsia="Times New Roman" w:hAnsi="Times New Roman" w:cs="Times New Roman"/>
          <w:b/>
          <w:bCs/>
          <w:color w:val="222222"/>
          <w:sz w:val="27"/>
          <w:szCs w:val="27"/>
          <w:lang w:eastAsia="ru-RU"/>
        </w:rPr>
        <w:t>Общероссийская общественная организация "Ассоциация врачей-офтальмологов"</w:t>
      </w:r>
    </w:p>
    <w:p w:rsidR="005674FC" w:rsidRPr="005674FC" w:rsidRDefault="005674FC" w:rsidP="005674FC">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5674FC">
        <w:rPr>
          <w:rFonts w:ascii="Times New Roman" w:eastAsia="Times New Roman" w:hAnsi="Times New Roman" w:cs="Times New Roman"/>
          <w:b/>
          <w:bCs/>
          <w:color w:val="222222"/>
          <w:sz w:val="27"/>
          <w:szCs w:val="27"/>
          <w:lang w:eastAsia="ru-RU"/>
        </w:rPr>
        <w:t>Национальное общество детских гематологов, онкологов</w:t>
      </w:r>
    </w:p>
    <w:p w:rsidR="005674FC" w:rsidRPr="005674FC" w:rsidRDefault="005674FC" w:rsidP="005674FC">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5674FC">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детских онкологов"</w:t>
      </w:r>
    </w:p>
    <w:p w:rsidR="005674FC" w:rsidRPr="005674FC" w:rsidRDefault="005674FC" w:rsidP="005674FC">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5674FC">
        <w:rPr>
          <w:rFonts w:ascii="Times New Roman" w:eastAsia="Times New Roman" w:hAnsi="Times New Roman" w:cs="Times New Roman"/>
          <w:b/>
          <w:bCs/>
          <w:color w:val="222222"/>
          <w:sz w:val="27"/>
          <w:szCs w:val="27"/>
          <w:lang w:eastAsia="ru-RU"/>
        </w:rPr>
        <w:t>Общероссийская общественная организация «Общество офтальмологов России»</w:t>
      </w:r>
    </w:p>
    <w:p w:rsidR="005674FC" w:rsidRPr="005674FC" w:rsidRDefault="005674FC" w:rsidP="005674FC">
      <w:pPr>
        <w:shd w:val="clear" w:color="auto" w:fill="FFFFFF"/>
        <w:spacing w:after="150" w:line="240" w:lineRule="auto"/>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5674FC" w:rsidRPr="005674FC" w:rsidRDefault="005674FC" w:rsidP="005674F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74FC">
        <w:rPr>
          <w:rFonts w:ascii="Times New Roman" w:eastAsia="Times New Roman" w:hAnsi="Times New Roman" w:cs="Times New Roman"/>
          <w:b/>
          <w:bCs/>
          <w:color w:val="000000"/>
          <w:kern w:val="36"/>
          <w:sz w:val="48"/>
          <w:szCs w:val="48"/>
          <w:lang w:eastAsia="ru-RU"/>
        </w:rPr>
        <w:t>Оглавление</w:t>
      </w:r>
    </w:p>
    <w:p w:rsidR="005674FC" w:rsidRPr="005674FC" w:rsidRDefault="005674FC" w:rsidP="005674F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lastRenderedPageBreak/>
        <w:t>Ключевые слова</w:t>
      </w:r>
    </w:p>
    <w:p w:rsidR="005674FC" w:rsidRPr="005674FC" w:rsidRDefault="005674FC" w:rsidP="005674F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Список сокращений</w:t>
      </w:r>
    </w:p>
    <w:p w:rsidR="005674FC" w:rsidRPr="005674FC" w:rsidRDefault="005674FC" w:rsidP="005674F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Термины и определения</w:t>
      </w:r>
    </w:p>
    <w:p w:rsidR="005674FC" w:rsidRPr="005674FC" w:rsidRDefault="005674FC" w:rsidP="005674F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1. Краткая информация</w:t>
      </w:r>
    </w:p>
    <w:p w:rsidR="005674FC" w:rsidRPr="005674FC" w:rsidRDefault="005674FC" w:rsidP="005674F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2. Диагностика</w:t>
      </w:r>
    </w:p>
    <w:p w:rsidR="005674FC" w:rsidRPr="005674FC" w:rsidRDefault="005674FC" w:rsidP="005674F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3. Лечение</w:t>
      </w:r>
    </w:p>
    <w:p w:rsidR="005674FC" w:rsidRPr="005674FC" w:rsidRDefault="005674FC" w:rsidP="005674F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4. Реабилитация</w:t>
      </w:r>
    </w:p>
    <w:p w:rsidR="005674FC" w:rsidRPr="005674FC" w:rsidRDefault="005674FC" w:rsidP="005674F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5. Профилактика</w:t>
      </w:r>
    </w:p>
    <w:p w:rsidR="005674FC" w:rsidRPr="005674FC" w:rsidRDefault="005674FC" w:rsidP="005674F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6. Дополнительная информация, влияющая на течение и исход заболевания</w:t>
      </w:r>
    </w:p>
    <w:p w:rsidR="005674FC" w:rsidRPr="005674FC" w:rsidRDefault="005674FC" w:rsidP="005674F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Критерии оценки качества медицинской помощи</w:t>
      </w:r>
    </w:p>
    <w:p w:rsidR="005674FC" w:rsidRPr="005674FC" w:rsidRDefault="005674FC" w:rsidP="005674F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Список литературы</w:t>
      </w:r>
    </w:p>
    <w:p w:rsidR="005674FC" w:rsidRPr="005674FC" w:rsidRDefault="005674FC" w:rsidP="005674F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Приложение А1. Состав рабочей группы</w:t>
      </w:r>
    </w:p>
    <w:p w:rsidR="005674FC" w:rsidRPr="005674FC" w:rsidRDefault="005674FC" w:rsidP="005674F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5674FC" w:rsidRPr="005674FC" w:rsidRDefault="005674FC" w:rsidP="005674F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Приложение А3. Связанные документы</w:t>
      </w:r>
    </w:p>
    <w:p w:rsidR="005674FC" w:rsidRPr="005674FC" w:rsidRDefault="005674FC" w:rsidP="005674F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Приложение Б. Алгоритмы ведения пациента</w:t>
      </w:r>
    </w:p>
    <w:p w:rsidR="005674FC" w:rsidRPr="005674FC" w:rsidRDefault="005674FC" w:rsidP="005674F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Приложение В. Информация для пациентов</w:t>
      </w:r>
    </w:p>
    <w:p w:rsidR="005674FC" w:rsidRPr="005674FC" w:rsidRDefault="005674FC" w:rsidP="005674F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Приложение Г.</w:t>
      </w:r>
    </w:p>
    <w:p w:rsidR="005674FC" w:rsidRPr="005674FC" w:rsidRDefault="005674FC" w:rsidP="005674F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74FC">
        <w:rPr>
          <w:rFonts w:ascii="Times New Roman" w:eastAsia="Times New Roman" w:hAnsi="Times New Roman" w:cs="Times New Roman"/>
          <w:b/>
          <w:bCs/>
          <w:color w:val="000000"/>
          <w:kern w:val="36"/>
          <w:sz w:val="48"/>
          <w:szCs w:val="48"/>
          <w:lang w:eastAsia="ru-RU"/>
        </w:rPr>
        <w:t>Ключевые слова</w:t>
      </w:r>
    </w:p>
    <w:p w:rsidR="005674FC" w:rsidRPr="005674FC" w:rsidRDefault="005674FC" w:rsidP="005674F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74FC">
        <w:rPr>
          <w:rFonts w:ascii="Times New Roman" w:eastAsia="Times New Roman" w:hAnsi="Times New Roman" w:cs="Times New Roman"/>
          <w:b/>
          <w:bCs/>
          <w:color w:val="000000"/>
          <w:kern w:val="36"/>
          <w:sz w:val="48"/>
          <w:szCs w:val="48"/>
          <w:lang w:eastAsia="ru-RU"/>
        </w:rPr>
        <w:t>Список сокращений</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0"/>
          <w:szCs w:val="20"/>
          <w:vertAlign w:val="superscript"/>
          <w:lang w:eastAsia="ru-RU"/>
        </w:rPr>
        <w:t>99</w:t>
      </w:r>
      <w:r w:rsidRPr="005674FC">
        <w:rPr>
          <w:rFonts w:ascii="Times New Roman" w:eastAsia="Times New Roman" w:hAnsi="Times New Roman" w:cs="Times New Roman"/>
          <w:i/>
          <w:iCs/>
          <w:color w:val="333333"/>
          <w:sz w:val="27"/>
          <w:szCs w:val="27"/>
          <w:lang w:eastAsia="ru-RU"/>
        </w:rPr>
        <w:t>Tc – рафиофармпрепарат технеция [99mTс] (99-m-пирофосфат)</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0"/>
          <w:szCs w:val="20"/>
          <w:vertAlign w:val="superscript"/>
          <w:lang w:eastAsia="ru-RU"/>
        </w:rPr>
        <w:t>67</w:t>
      </w:r>
      <w:r w:rsidRPr="005674FC">
        <w:rPr>
          <w:rFonts w:ascii="Times New Roman" w:eastAsia="Times New Roman" w:hAnsi="Times New Roman" w:cs="Times New Roman"/>
          <w:i/>
          <w:iCs/>
          <w:color w:val="333333"/>
          <w:sz w:val="27"/>
          <w:szCs w:val="27"/>
          <w:lang w:eastAsia="ru-RU"/>
        </w:rPr>
        <w:t>Ga – галлия [67Ga] цитрат</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ауто-ГСК – аутогемопоэтические стволовые клетки</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AЛТ – Аланинаминотрансфераза</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БТ -  Брахитерапия</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АСT - Аспартатаминотрансфераза</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ВГД – внутриглазное давление</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ВИЧ – вирус иммунодефицита человека</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lastRenderedPageBreak/>
        <w:t>в\в - внутривенно</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ВХТ – высокодозная химиотерапия</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ГКСФ – гранулоцитарный колониестимулирующий фактор</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Гр\дл – грамм на децилитр</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ДЗН – диск зрительного нерва</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ДН – динамическое наблюдение</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ИВХТ- интравитреальная химиотерапия</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л/м</w:t>
      </w:r>
      <w:r w:rsidRPr="005674FC">
        <w:rPr>
          <w:rFonts w:ascii="Times New Roman" w:eastAsia="Times New Roman" w:hAnsi="Times New Roman" w:cs="Times New Roman"/>
          <w:color w:val="222222"/>
          <w:sz w:val="20"/>
          <w:szCs w:val="20"/>
          <w:vertAlign w:val="superscript"/>
          <w:lang w:eastAsia="ru-RU"/>
        </w:rPr>
        <w:t>2 </w:t>
      </w:r>
      <w:r w:rsidRPr="005674FC">
        <w:rPr>
          <w:rFonts w:ascii="Times New Roman" w:eastAsia="Times New Roman" w:hAnsi="Times New Roman" w:cs="Times New Roman"/>
          <w:color w:val="222222"/>
          <w:sz w:val="27"/>
          <w:szCs w:val="27"/>
          <w:lang w:eastAsia="ru-RU"/>
        </w:rPr>
        <w:t>– литр на квадратный метр</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л/м</w:t>
      </w:r>
      <w:r w:rsidRPr="005674FC">
        <w:rPr>
          <w:rFonts w:ascii="Times New Roman" w:eastAsia="Times New Roman" w:hAnsi="Times New Roman" w:cs="Times New Roman"/>
          <w:color w:val="222222"/>
          <w:sz w:val="20"/>
          <w:szCs w:val="20"/>
          <w:vertAlign w:val="superscript"/>
          <w:lang w:eastAsia="ru-RU"/>
        </w:rPr>
        <w:t>2</w:t>
      </w:r>
      <w:r w:rsidRPr="005674FC">
        <w:rPr>
          <w:rFonts w:ascii="Times New Roman" w:eastAsia="Times New Roman" w:hAnsi="Times New Roman" w:cs="Times New Roman"/>
          <w:color w:val="222222"/>
          <w:sz w:val="27"/>
          <w:szCs w:val="27"/>
          <w:lang w:eastAsia="ru-RU"/>
        </w:rPr>
        <w:t>/сут. – литр на квадратный метр в сутки</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ЛДГ – лактатдегидрогеназа</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ЛокТ- локальная офтальмологическая терапия</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ЛокХТ-локальная химиотерапия</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ЛПУ - лечебно-профилактическое учреждение</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ЛТ – дистанционная лучевая терапия</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м</w:t>
      </w:r>
      <w:r w:rsidRPr="005674FC">
        <w:rPr>
          <w:rFonts w:ascii="Times New Roman" w:eastAsia="Times New Roman" w:hAnsi="Times New Roman" w:cs="Times New Roman"/>
          <w:color w:val="222222"/>
          <w:sz w:val="20"/>
          <w:szCs w:val="20"/>
          <w:vertAlign w:val="superscript"/>
          <w:lang w:eastAsia="ru-RU"/>
        </w:rPr>
        <w:t>2 –</w:t>
      </w:r>
      <w:r w:rsidRPr="005674FC">
        <w:rPr>
          <w:rFonts w:ascii="Times New Roman" w:eastAsia="Times New Roman" w:hAnsi="Times New Roman" w:cs="Times New Roman"/>
          <w:color w:val="222222"/>
          <w:sz w:val="27"/>
          <w:szCs w:val="27"/>
          <w:lang w:eastAsia="ru-RU"/>
        </w:rPr>
        <w:t> метр квадратный</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мг – миллиграмм</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мг/кг – миллиграмм на килограмм</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мг/м</w:t>
      </w:r>
      <w:r w:rsidRPr="005674FC">
        <w:rPr>
          <w:rFonts w:ascii="Times New Roman" w:eastAsia="Times New Roman" w:hAnsi="Times New Roman" w:cs="Times New Roman"/>
          <w:color w:val="222222"/>
          <w:sz w:val="20"/>
          <w:szCs w:val="20"/>
          <w:vertAlign w:val="superscript"/>
          <w:lang w:eastAsia="ru-RU"/>
        </w:rPr>
        <w:t>2 – </w:t>
      </w:r>
      <w:r w:rsidRPr="005674FC">
        <w:rPr>
          <w:rFonts w:ascii="Times New Roman" w:eastAsia="Times New Roman" w:hAnsi="Times New Roman" w:cs="Times New Roman"/>
          <w:color w:val="222222"/>
          <w:sz w:val="27"/>
          <w:szCs w:val="27"/>
          <w:lang w:eastAsia="ru-RU"/>
        </w:rPr>
        <w:t>миллиграмм на метр квадратный</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МКБ – международная классификация болезней</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мкл – микролитр</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МРТ – магнитно-резонансная томография</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ОВ - общая выживаемость</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ОКТ – оптическая когерентная томография</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ОЦК – объем циркулирующей крови</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ПР – полная ремиссия</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lastRenderedPageBreak/>
        <w:t>ПЭ – полный эффект</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ПХТ – полихимиотерапия</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РБ – ретинобластома</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РЛИ ЗН – ретроламинарная инвазия зрительного нерва</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РКТ – рентгеновская компьютерная томография</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РОДО – Российское общество детских онкологов</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СИАХТ- селективная интраартериальная химиотерапия</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СЛ – симптоматическое лечение</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СОД – суммарная очаговая доза</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УЗИ – ультразвуковое исследование               </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ХЛ – хирургическое лечение</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ЦАС- центральная артерия сетчатки</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ЦНС – центральная нервная система</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ЧР - частичная ремиссия</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ЩФ – щелочная фосфатаза</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G- единица измерения диаметра иглы</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RB1</w:t>
      </w:r>
      <w:r w:rsidRPr="005674FC">
        <w:rPr>
          <w:rFonts w:ascii="Times New Roman" w:eastAsia="Times New Roman" w:hAnsi="Times New Roman" w:cs="Times New Roman"/>
          <w:color w:val="222222"/>
          <w:sz w:val="27"/>
          <w:szCs w:val="27"/>
          <w:lang w:eastAsia="ru-RU"/>
        </w:rPr>
        <w:t> – ген ретинобластомы</w:t>
      </w:r>
    </w:p>
    <w:p w:rsidR="005674FC" w:rsidRPr="005674FC" w:rsidRDefault="005674FC" w:rsidP="005674F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74FC">
        <w:rPr>
          <w:rFonts w:ascii="Times New Roman" w:eastAsia="Times New Roman" w:hAnsi="Times New Roman" w:cs="Times New Roman"/>
          <w:b/>
          <w:bCs/>
          <w:color w:val="000000"/>
          <w:kern w:val="36"/>
          <w:sz w:val="48"/>
          <w:szCs w:val="48"/>
          <w:lang w:eastAsia="ru-RU"/>
        </w:rPr>
        <w:t>Термины и определения</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Безрецидивная выживаемость (БРВ)</w:t>
      </w:r>
      <w:r w:rsidRPr="005674FC">
        <w:rPr>
          <w:rFonts w:ascii="Times New Roman" w:eastAsia="Times New Roman" w:hAnsi="Times New Roman" w:cs="Times New Roman"/>
          <w:color w:val="222222"/>
          <w:sz w:val="27"/>
          <w:szCs w:val="27"/>
          <w:lang w:eastAsia="ru-RU"/>
        </w:rPr>
        <w:t> – от момента наступления ремиссии до момента возникновения рецидива.</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Бессобытийная выживаемость (БСВ)</w:t>
      </w:r>
      <w:r w:rsidRPr="005674FC">
        <w:rPr>
          <w:rFonts w:ascii="Times New Roman" w:eastAsia="Times New Roman" w:hAnsi="Times New Roman" w:cs="Times New Roman"/>
          <w:color w:val="222222"/>
          <w:sz w:val="27"/>
          <w:szCs w:val="27"/>
          <w:lang w:eastAsia="ru-RU"/>
        </w:rPr>
        <w:t> – от начала лечения до момента прекращения ремиссии независимо от причины, приведшей к ней.</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Брахитерапия (БТ) – </w:t>
      </w:r>
      <w:r w:rsidRPr="005674FC">
        <w:rPr>
          <w:rFonts w:ascii="Times New Roman" w:eastAsia="Times New Roman" w:hAnsi="Times New Roman" w:cs="Times New Roman"/>
          <w:color w:val="222222"/>
          <w:sz w:val="27"/>
          <w:szCs w:val="27"/>
          <w:lang w:eastAsia="ru-RU"/>
        </w:rPr>
        <w:t>локальное облучение опухоли офтальмоаппликатором с радиоактивным веществом (стронций-96 или рутенией-106)</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lastRenderedPageBreak/>
        <w:t>Интравитреальная химиотерапия (ИВХТ)</w:t>
      </w:r>
      <w:r w:rsidRPr="005674FC">
        <w:rPr>
          <w:rFonts w:ascii="Times New Roman" w:eastAsia="Times New Roman" w:hAnsi="Times New Roman" w:cs="Times New Roman"/>
          <w:color w:val="222222"/>
          <w:sz w:val="27"/>
          <w:szCs w:val="27"/>
          <w:lang w:eastAsia="ru-RU"/>
        </w:rPr>
        <w:t> – введение химиопрепарата в стекловидное тело.</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Интраокулярная форма ретинобластомы</w:t>
      </w:r>
      <w:r w:rsidRPr="005674FC">
        <w:rPr>
          <w:rFonts w:ascii="Times New Roman" w:eastAsia="Times New Roman" w:hAnsi="Times New Roman" w:cs="Times New Roman"/>
          <w:color w:val="222222"/>
          <w:sz w:val="27"/>
          <w:szCs w:val="27"/>
          <w:lang w:eastAsia="ru-RU"/>
        </w:rPr>
        <w:t> – опухолевое поражение не выходит за пределы глаза.</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Криодеструкция – </w:t>
      </w:r>
      <w:r w:rsidRPr="005674FC">
        <w:rPr>
          <w:rFonts w:ascii="Times New Roman" w:eastAsia="Times New Roman" w:hAnsi="Times New Roman" w:cs="Times New Roman"/>
          <w:color w:val="222222"/>
          <w:sz w:val="27"/>
          <w:szCs w:val="27"/>
          <w:lang w:eastAsia="ru-RU"/>
        </w:rPr>
        <w:t>локальное разрушение опухоли с помощью низких температур</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Локальная офтальмологическая терапия (ЛокТ)</w:t>
      </w:r>
      <w:r w:rsidRPr="005674FC">
        <w:rPr>
          <w:rFonts w:ascii="Times New Roman" w:eastAsia="Times New Roman" w:hAnsi="Times New Roman" w:cs="Times New Roman"/>
          <w:color w:val="222222"/>
          <w:sz w:val="27"/>
          <w:szCs w:val="27"/>
          <w:lang w:eastAsia="ru-RU"/>
        </w:rPr>
        <w:t> – локальные методы разрушения внутриглазной опухоли.</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Мультимодальное лечение</w:t>
      </w:r>
      <w:r w:rsidRPr="005674FC">
        <w:rPr>
          <w:rFonts w:ascii="Times New Roman" w:eastAsia="Times New Roman" w:hAnsi="Times New Roman" w:cs="Times New Roman"/>
          <w:color w:val="222222"/>
          <w:sz w:val="27"/>
          <w:szCs w:val="27"/>
          <w:lang w:eastAsia="ru-RU"/>
        </w:rPr>
        <w:t> – различные методы воздействия на опухоль, выбор которых зависит от следующих факторов: стадии заболевания каждого глаза, возраста, наследственности, гистологических критериев и их характеристик при удалении глаза.</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Общая выживаемость (ОВ)</w:t>
      </w:r>
      <w:r w:rsidRPr="005674FC">
        <w:rPr>
          <w:rFonts w:ascii="Times New Roman" w:eastAsia="Times New Roman" w:hAnsi="Times New Roman" w:cs="Times New Roman"/>
          <w:color w:val="222222"/>
          <w:sz w:val="27"/>
          <w:szCs w:val="27"/>
          <w:lang w:eastAsia="ru-RU"/>
        </w:rPr>
        <w:t> – от начала лечения до окончания исследования или смерти пациента.</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Оптическая когерентная томография (ОКТ)</w:t>
      </w:r>
      <w:r w:rsidRPr="005674FC">
        <w:rPr>
          <w:rFonts w:ascii="Times New Roman" w:eastAsia="Times New Roman" w:hAnsi="Times New Roman" w:cs="Times New Roman"/>
          <w:color w:val="222222"/>
          <w:sz w:val="27"/>
          <w:szCs w:val="27"/>
          <w:lang w:eastAsia="ru-RU"/>
        </w:rPr>
        <w:t> – неинвазивный способ исследования тонких слоев кожи, слизистых оболочек, а также зубных и глазных тканей, основанный на применении инфракрасного излучения с длиной волны около 1 мкм с целью измерения задержки луча, отражаемого от исследуемой ткани.</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Полная ремиссия (ПР)</w:t>
      </w:r>
      <w:r w:rsidRPr="005674FC">
        <w:rPr>
          <w:rFonts w:ascii="Times New Roman" w:eastAsia="Times New Roman" w:hAnsi="Times New Roman" w:cs="Times New Roman"/>
          <w:color w:val="222222"/>
          <w:sz w:val="27"/>
          <w:szCs w:val="27"/>
          <w:lang w:eastAsia="ru-RU"/>
        </w:rPr>
        <w:t> — отсутствие признаков опухолевого роста в течение 4 нед. после достижения полного эффекта</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Полный эффект (ПЭ)</w:t>
      </w:r>
      <w:r w:rsidRPr="005674FC">
        <w:rPr>
          <w:rFonts w:ascii="Times New Roman" w:eastAsia="Times New Roman" w:hAnsi="Times New Roman" w:cs="Times New Roman"/>
          <w:color w:val="222222"/>
          <w:sz w:val="27"/>
          <w:szCs w:val="27"/>
          <w:lang w:eastAsia="ru-RU"/>
        </w:rPr>
        <w:t> — отсутствие признаков опухоли по данным лабораторных и инструментальных методов обследования.</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Прогрессирование</w:t>
      </w:r>
      <w:r w:rsidRPr="005674FC">
        <w:rPr>
          <w:rFonts w:ascii="Times New Roman" w:eastAsia="Times New Roman" w:hAnsi="Times New Roman" w:cs="Times New Roman"/>
          <w:color w:val="222222"/>
          <w:sz w:val="27"/>
          <w:szCs w:val="27"/>
          <w:lang w:eastAsia="ru-RU"/>
        </w:rPr>
        <w:t> – появление нового опухолевого очага и/или рост первичного опухолевого очага, метастатических очагов чем, на 25%.</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Прогрессия в виде метастазов</w:t>
      </w:r>
      <w:r w:rsidRPr="005674FC">
        <w:rPr>
          <w:rFonts w:ascii="Times New Roman" w:eastAsia="Times New Roman" w:hAnsi="Times New Roman" w:cs="Times New Roman"/>
          <w:color w:val="222222"/>
          <w:sz w:val="27"/>
          <w:szCs w:val="27"/>
          <w:lang w:eastAsia="ru-RU"/>
        </w:rPr>
        <w:t> - метастазирование РБ в кости, костный мозг, лимфатические узлы, головной мозг и/или другие органы вне глазного яблока.</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Прогрессия локальная </w:t>
      </w:r>
      <w:r w:rsidRPr="005674FC">
        <w:rPr>
          <w:rFonts w:ascii="Times New Roman" w:eastAsia="Times New Roman" w:hAnsi="Times New Roman" w:cs="Times New Roman"/>
          <w:color w:val="222222"/>
          <w:sz w:val="27"/>
          <w:szCs w:val="27"/>
          <w:lang w:eastAsia="ru-RU"/>
        </w:rPr>
        <w:t>– повторный рост опухоли на том же месте и/или появление на сетчатке новых очагов, для лечения которых возможно применение методов локальной терапии офтальмологической терапии (криодеструкция, лазерная терапия, брахитерапия).</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Прогрессия по сетчатке</w:t>
      </w:r>
      <w:r w:rsidRPr="005674FC">
        <w:rPr>
          <w:rFonts w:ascii="Times New Roman" w:eastAsia="Times New Roman" w:hAnsi="Times New Roman" w:cs="Times New Roman"/>
          <w:color w:val="222222"/>
          <w:sz w:val="27"/>
          <w:szCs w:val="27"/>
          <w:lang w:eastAsia="ru-RU"/>
        </w:rPr>
        <w:t> - повторное разрастание опухоли на том же месте и/или появление на сетчатке новых очагов, для лечения которых невозможно применение методов локальной офтальмологической терапии (криодеструкция, лазерная терапия, брахитерапия).</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Прогрессия по стекловидному телу</w:t>
      </w:r>
      <w:r w:rsidRPr="005674FC">
        <w:rPr>
          <w:rFonts w:ascii="Times New Roman" w:eastAsia="Times New Roman" w:hAnsi="Times New Roman" w:cs="Times New Roman"/>
          <w:color w:val="222222"/>
          <w:sz w:val="27"/>
          <w:szCs w:val="27"/>
          <w:lang w:eastAsia="ru-RU"/>
        </w:rPr>
        <w:t> – повторный рост опухоли с распространением на новые участки стекловидного тела.</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lastRenderedPageBreak/>
        <w:t>Прогрессия</w:t>
      </w:r>
      <w:r w:rsidRPr="005674FC">
        <w:rPr>
          <w:rFonts w:ascii="Times New Roman" w:eastAsia="Times New Roman" w:hAnsi="Times New Roman" w:cs="Times New Roman"/>
          <w:color w:val="222222"/>
          <w:sz w:val="27"/>
          <w:szCs w:val="27"/>
          <w:lang w:eastAsia="ru-RU"/>
        </w:rPr>
        <w:t> э</w:t>
      </w:r>
      <w:r w:rsidRPr="005674FC">
        <w:rPr>
          <w:rFonts w:ascii="Times New Roman" w:eastAsia="Times New Roman" w:hAnsi="Times New Roman" w:cs="Times New Roman"/>
          <w:b/>
          <w:bCs/>
          <w:color w:val="222222"/>
          <w:sz w:val="27"/>
          <w:szCs w:val="27"/>
          <w:lang w:eastAsia="ru-RU"/>
        </w:rPr>
        <w:t>кстраокулярная</w:t>
      </w:r>
      <w:r w:rsidRPr="005674FC">
        <w:rPr>
          <w:rFonts w:ascii="Times New Roman" w:eastAsia="Times New Roman" w:hAnsi="Times New Roman" w:cs="Times New Roman"/>
          <w:color w:val="222222"/>
          <w:sz w:val="27"/>
          <w:szCs w:val="27"/>
          <w:lang w:eastAsia="ru-RU"/>
        </w:rPr>
        <w:t> – повторный рост опухоли с вовлечением зрительного нерва и/или орбиты.</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Селективная интраартериальная химиотерапия (СИАХТ)</w:t>
      </w:r>
      <w:r w:rsidRPr="005674FC">
        <w:rPr>
          <w:rFonts w:ascii="Times New Roman" w:eastAsia="Times New Roman" w:hAnsi="Times New Roman" w:cs="Times New Roman"/>
          <w:color w:val="222222"/>
          <w:sz w:val="27"/>
          <w:szCs w:val="27"/>
          <w:lang w:eastAsia="ru-RU"/>
        </w:rPr>
        <w:t> – инфузия химиопрепарата в глазную артерию или коллатеральные ветви наружной сонной артерии при гемодинамическом перераспределении кровотока.</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Стабилизация болезни</w:t>
      </w:r>
      <w:r w:rsidRPr="005674FC">
        <w:rPr>
          <w:rFonts w:ascii="Times New Roman" w:eastAsia="Times New Roman" w:hAnsi="Times New Roman" w:cs="Times New Roman"/>
          <w:color w:val="222222"/>
          <w:sz w:val="27"/>
          <w:szCs w:val="27"/>
          <w:lang w:eastAsia="ru-RU"/>
        </w:rPr>
        <w:t> - отсутствие роста опухоли на сетчатке и/или активной опухоли в стекловидном теле, а также отсутствие данных за появление новых очагов.</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Субретинальная прогрессия</w:t>
      </w:r>
      <w:r w:rsidRPr="005674FC">
        <w:rPr>
          <w:rFonts w:ascii="Times New Roman" w:eastAsia="Times New Roman" w:hAnsi="Times New Roman" w:cs="Times New Roman"/>
          <w:color w:val="222222"/>
          <w:sz w:val="27"/>
          <w:szCs w:val="27"/>
          <w:lang w:eastAsia="ru-RU"/>
        </w:rPr>
        <w:t> – повторный рост опухоли с распространением на новые участки субретинального пространства.</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Тип I ответа опухоли на органосохраняющее лечение</w:t>
      </w:r>
      <w:r w:rsidRPr="005674FC">
        <w:rPr>
          <w:rFonts w:ascii="Times New Roman" w:eastAsia="Times New Roman" w:hAnsi="Times New Roman" w:cs="Times New Roman"/>
          <w:color w:val="222222"/>
          <w:sz w:val="27"/>
          <w:szCs w:val="27"/>
          <w:lang w:eastAsia="ru-RU"/>
        </w:rPr>
        <w:t> – полное замещение опухолевых очагов кальцинатами.</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Тип II ответа опухоли на органосохраняющее лечение </w:t>
      </w:r>
      <w:r w:rsidRPr="005674FC">
        <w:rPr>
          <w:rFonts w:ascii="Times New Roman" w:eastAsia="Times New Roman" w:hAnsi="Times New Roman" w:cs="Times New Roman"/>
          <w:color w:val="222222"/>
          <w:sz w:val="27"/>
          <w:szCs w:val="27"/>
          <w:lang w:eastAsia="ru-RU"/>
        </w:rPr>
        <w:t>– частичное замещение опухолевых очагов кальцинатами.</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Тип III ответа опухоли на органосохраняющее лечение</w:t>
      </w:r>
      <w:r w:rsidRPr="005674FC">
        <w:rPr>
          <w:rFonts w:ascii="Times New Roman" w:eastAsia="Times New Roman" w:hAnsi="Times New Roman" w:cs="Times New Roman"/>
          <w:color w:val="222222"/>
          <w:sz w:val="27"/>
          <w:szCs w:val="27"/>
          <w:lang w:eastAsia="ru-RU"/>
        </w:rPr>
        <w:t> – частичное замещение опухолевых очагов плоскими хориоретинальными рубцами.</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Тип IV ответа опухоли на органосохраняющее лечение</w:t>
      </w:r>
      <w:r w:rsidRPr="005674FC">
        <w:rPr>
          <w:rFonts w:ascii="Times New Roman" w:eastAsia="Times New Roman" w:hAnsi="Times New Roman" w:cs="Times New Roman"/>
          <w:color w:val="222222"/>
          <w:sz w:val="27"/>
          <w:szCs w:val="27"/>
          <w:lang w:eastAsia="ru-RU"/>
        </w:rPr>
        <w:t> – полное замещение опухолевых очагов плоскими хориоретинальными рубцами или аваскулярными линейными белыми участками глиоза.</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Транспупиллярная термотерапия – </w:t>
      </w:r>
      <w:r w:rsidRPr="005674FC">
        <w:rPr>
          <w:rFonts w:ascii="Times New Roman" w:eastAsia="Times New Roman" w:hAnsi="Times New Roman" w:cs="Times New Roman"/>
          <w:color w:val="222222"/>
          <w:sz w:val="27"/>
          <w:szCs w:val="27"/>
          <w:lang w:eastAsia="ru-RU"/>
        </w:rPr>
        <w:t>локальное разрушение опухоли лазером</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Частичная ремиссия (ЧР)</w:t>
      </w:r>
      <w:r w:rsidRPr="005674FC">
        <w:rPr>
          <w:rFonts w:ascii="Times New Roman" w:eastAsia="Times New Roman" w:hAnsi="Times New Roman" w:cs="Times New Roman"/>
          <w:color w:val="222222"/>
          <w:sz w:val="27"/>
          <w:szCs w:val="27"/>
          <w:lang w:eastAsia="ru-RU"/>
        </w:rPr>
        <w:t> – сокращение размеров опухолевых очагов более чем, на 50%, при отсутствии новых.</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Экзентерация орбиты </w:t>
      </w:r>
      <w:r w:rsidRPr="005674FC">
        <w:rPr>
          <w:rFonts w:ascii="Times New Roman" w:eastAsia="Times New Roman" w:hAnsi="Times New Roman" w:cs="Times New Roman"/>
          <w:color w:val="222222"/>
          <w:sz w:val="27"/>
          <w:szCs w:val="27"/>
          <w:lang w:eastAsia="ru-RU"/>
        </w:rPr>
        <w:t>– операция, при которой удаляют единым блоком все содержимое глазницы вместе с опухолью, веками и надкостницей, выстилающей стенки орбиты.</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Экстраокулярная форма ретинобластомы</w:t>
      </w:r>
      <w:r w:rsidRPr="005674FC">
        <w:rPr>
          <w:rFonts w:ascii="Times New Roman" w:eastAsia="Times New Roman" w:hAnsi="Times New Roman" w:cs="Times New Roman"/>
          <w:color w:val="222222"/>
          <w:sz w:val="27"/>
          <w:szCs w:val="27"/>
          <w:lang w:eastAsia="ru-RU"/>
        </w:rPr>
        <w:t> – опухолевое поражение выходит за пределы глаза или имеются метастазы.</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Энуклеация глаза</w:t>
      </w:r>
      <w:r w:rsidRPr="005674FC">
        <w:rPr>
          <w:rFonts w:ascii="Times New Roman" w:eastAsia="Times New Roman" w:hAnsi="Times New Roman" w:cs="Times New Roman"/>
          <w:color w:val="222222"/>
          <w:sz w:val="27"/>
          <w:szCs w:val="27"/>
          <w:lang w:eastAsia="ru-RU"/>
        </w:rPr>
        <w:t> –  операция, при которой удаляют глаз с участком зрительного нерва длиной не менее 15 мм.</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Электрофизиологическое исследование</w:t>
      </w:r>
      <w:r w:rsidRPr="005674FC">
        <w:rPr>
          <w:rFonts w:ascii="Times New Roman" w:eastAsia="Times New Roman" w:hAnsi="Times New Roman" w:cs="Times New Roman"/>
          <w:color w:val="222222"/>
          <w:sz w:val="27"/>
          <w:szCs w:val="27"/>
          <w:lang w:eastAsia="ru-RU"/>
        </w:rPr>
        <w:t> – комплекс высокоинформативных методов исследования функций сетчатки, зрительного нерва, зрительных путей и зрительных областей коры головного мозга. Методы основаны на регистрации электрического ответа на специфический световой стимул.</w:t>
      </w:r>
    </w:p>
    <w:p w:rsidR="005674FC" w:rsidRPr="005674FC" w:rsidRDefault="005674FC" w:rsidP="005674F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74FC">
        <w:rPr>
          <w:rFonts w:ascii="Times New Roman" w:eastAsia="Times New Roman" w:hAnsi="Times New Roman" w:cs="Times New Roman"/>
          <w:b/>
          <w:bCs/>
          <w:color w:val="000000"/>
          <w:kern w:val="36"/>
          <w:sz w:val="48"/>
          <w:szCs w:val="48"/>
          <w:lang w:eastAsia="ru-RU"/>
        </w:rPr>
        <w:t>1. Краткая информация</w:t>
      </w:r>
    </w:p>
    <w:p w:rsidR="005674FC" w:rsidRPr="005674FC" w:rsidRDefault="005674FC" w:rsidP="005674FC">
      <w:pPr>
        <w:spacing w:before="750" w:after="450" w:line="240" w:lineRule="auto"/>
        <w:outlineLvl w:val="1"/>
        <w:rPr>
          <w:rFonts w:ascii="Times New Roman" w:eastAsia="Times New Roman" w:hAnsi="Times New Roman" w:cs="Times New Roman"/>
          <w:b/>
          <w:bCs/>
          <w:color w:val="222222"/>
          <w:sz w:val="33"/>
          <w:szCs w:val="33"/>
          <w:lang w:eastAsia="ru-RU"/>
        </w:rPr>
      </w:pPr>
      <w:r w:rsidRPr="005674FC">
        <w:rPr>
          <w:rFonts w:ascii="Times New Roman" w:eastAsia="Times New Roman" w:hAnsi="Times New Roman" w:cs="Times New Roman"/>
          <w:b/>
          <w:bCs/>
          <w:color w:val="222222"/>
          <w:sz w:val="33"/>
          <w:szCs w:val="33"/>
          <w:lang w:eastAsia="ru-RU"/>
        </w:rPr>
        <w:lastRenderedPageBreak/>
        <w:t>1.1 Определение заболевания или состояния (группы заболеваний или состояний)</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Ретинобластома</w:t>
      </w:r>
      <w:r w:rsidRPr="005674FC">
        <w:rPr>
          <w:rFonts w:ascii="Times New Roman" w:eastAsia="Times New Roman" w:hAnsi="Times New Roman" w:cs="Times New Roman"/>
          <w:color w:val="222222"/>
          <w:sz w:val="27"/>
          <w:szCs w:val="27"/>
          <w:lang w:eastAsia="ru-RU"/>
        </w:rPr>
        <w:t> (РБ) – злокачественная опухоль оптической части сетчатки (внутренней оболочки глаза), одна из наиболее распространённых злокачественных опухолей глаз у детей [1,2].</w:t>
      </w:r>
    </w:p>
    <w:p w:rsidR="005674FC" w:rsidRPr="005674FC" w:rsidRDefault="005674FC" w:rsidP="005674FC">
      <w:pPr>
        <w:spacing w:before="750" w:after="450" w:line="240" w:lineRule="auto"/>
        <w:outlineLvl w:val="1"/>
        <w:rPr>
          <w:rFonts w:ascii="Times New Roman" w:eastAsia="Times New Roman" w:hAnsi="Times New Roman" w:cs="Times New Roman"/>
          <w:b/>
          <w:bCs/>
          <w:color w:val="222222"/>
          <w:sz w:val="33"/>
          <w:szCs w:val="33"/>
          <w:lang w:eastAsia="ru-RU"/>
        </w:rPr>
      </w:pPr>
      <w:r w:rsidRPr="005674FC">
        <w:rPr>
          <w:rFonts w:ascii="Times New Roman" w:eastAsia="Times New Roman" w:hAnsi="Times New Roman" w:cs="Times New Roman"/>
          <w:b/>
          <w:bCs/>
          <w:color w:val="222222"/>
          <w:sz w:val="33"/>
          <w:szCs w:val="33"/>
          <w:lang w:eastAsia="ru-RU"/>
        </w:rPr>
        <w:t>1.2 Этиология и патогенез заболевания или состояния (группы заболеваний или состояний)</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РБ имеет нейроэктодермальное происхождение. Выделяют две формы заболевания – наследственную и спорадическую.</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Наследственная форма РБ обусловлена наличием герминальной мутации в одном из аллелей гена </w:t>
      </w:r>
      <w:r w:rsidRPr="005674FC">
        <w:rPr>
          <w:rFonts w:ascii="Times New Roman" w:eastAsia="Times New Roman" w:hAnsi="Times New Roman" w:cs="Times New Roman"/>
          <w:i/>
          <w:iCs/>
          <w:color w:val="333333"/>
          <w:sz w:val="27"/>
          <w:szCs w:val="27"/>
          <w:lang w:eastAsia="ru-RU"/>
        </w:rPr>
        <w:t>RB1,</w:t>
      </w:r>
      <w:r w:rsidRPr="005674FC">
        <w:rPr>
          <w:rFonts w:ascii="Times New Roman" w:eastAsia="Times New Roman" w:hAnsi="Times New Roman" w:cs="Times New Roman"/>
          <w:color w:val="222222"/>
          <w:sz w:val="27"/>
          <w:szCs w:val="27"/>
          <w:lang w:eastAsia="ru-RU"/>
        </w:rPr>
        <w:t> передающейся потомству по аутосомно-доминантному типу наследования с варьированием экспрессивности и неполной пенетрантностью, выявляется в 40% случаев [3,4]. Наследственная РБ встречается у большинства детей с двусторонней РБ и у 15% детей с односторонней формой заболевания. Для возникновения злокачественной трансформации клетки необходима мутация второго аллеля гена RB1. Она происходит в одной или нескольких клетках сетчатки глаза, но в течение жизни пациента мишенью возникновения второй мутации могут быть и другие соматические клетки, что увеличивает риск развития вторых злокачественных опухолей, таких как остеосаркома, рак молочной железы, мелкоклеточный рак легкого, рак половых органов, лимфолейкоз [5,6].</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Спорадическая форма РБ обусловлена мутацией в обеих аллелях гена </w:t>
      </w:r>
      <w:r w:rsidRPr="005674FC">
        <w:rPr>
          <w:rFonts w:ascii="Times New Roman" w:eastAsia="Times New Roman" w:hAnsi="Times New Roman" w:cs="Times New Roman"/>
          <w:i/>
          <w:iCs/>
          <w:color w:val="333333"/>
          <w:sz w:val="27"/>
          <w:szCs w:val="27"/>
          <w:lang w:eastAsia="ru-RU"/>
        </w:rPr>
        <w:t>RB1</w:t>
      </w:r>
      <w:r w:rsidRPr="005674FC">
        <w:rPr>
          <w:rFonts w:ascii="Times New Roman" w:eastAsia="Times New Roman" w:hAnsi="Times New Roman" w:cs="Times New Roman"/>
          <w:color w:val="222222"/>
          <w:sz w:val="27"/>
          <w:szCs w:val="27"/>
          <w:lang w:eastAsia="ru-RU"/>
        </w:rPr>
        <w:t> только в клетках сетчатки и составляет 60% всех случаев заболевания, диагностируется в более позднем возрасте как одностороннее монофокальное опухолевое поражение глаза [5].</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В редких случаях у детей со структурными мутациями в гене RB1 могут развиться внутричерепные опухоли, так называемые трилатеральные РБ, при которых двусторонняя РБ сочетается с опухолью шишковидной железы (пинеалобластомой), по гистологическому строению аналогичной РБ. Третья опухоль, помимо локализации в области шишковидной железы, может распространяться и на срединные структуры головного мозга.</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lastRenderedPageBreak/>
        <w:t>Клинически опухоль проявляется спустя 2-3 года после диагностирования двусторонней РБ с признаками интракраниального новообразования. Трилатеральную РБ выявляют у детей первых 4-х лет жизни, при этом признаки внутричерепного поражения могут наблюдаться до появления видимых признаков поражения глаз. Заболевание выявляется в 5 – 10% у детей с бинокулярной РБ, отличается тяжелым течением и высокой смертностью [7].</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По характеру роста РБ различают:</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Экзофитный рост РБ.</w:t>
      </w:r>
      <w:r w:rsidRPr="005674FC">
        <w:rPr>
          <w:rFonts w:ascii="Times New Roman" w:eastAsia="Times New Roman" w:hAnsi="Times New Roman" w:cs="Times New Roman"/>
          <w:color w:val="222222"/>
          <w:sz w:val="27"/>
          <w:szCs w:val="27"/>
          <w:lang w:eastAsia="ru-RU"/>
        </w:rPr>
        <w:t> Опухоль возникает и растет между наружными слоями сетчатки и пигментным эпителием. По мере роста опухоли на сетчатке образуется очаг в виде полупрозрачного облачка, которое постепенно увеличивается и образует гладкий узел бело-серого цвета неравномерной структуры, отслаивающий сетчатку. Дальнейший рост приводит к развитию высокой субтотальной отслойки сетчатки, доходящей до хрусталика, при этом под ее куполом выявляется резко проминирующий узел опухоли, нередко с очагами белой плотной ткани – кальцификатами. При гистологическом исследовании характерным признаком экзофитного роста опухоли является ее инвазия в подлежащую хориоидею и выход за пределы глаза.</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Эндофитный рост РБ. </w:t>
      </w:r>
      <w:r w:rsidRPr="005674FC">
        <w:rPr>
          <w:rFonts w:ascii="Times New Roman" w:eastAsia="Times New Roman" w:hAnsi="Times New Roman" w:cs="Times New Roman"/>
          <w:color w:val="222222"/>
          <w:sz w:val="27"/>
          <w:szCs w:val="27"/>
          <w:lang w:eastAsia="ru-RU"/>
        </w:rPr>
        <w:t>Опухоль распространяется на внутреннюю поверхность сетчатки и в стекловидное тело. Поверхность опухоли бугристая, структура дольчатая, пронизана собственными новообразованными сосудами, быстро прорастает в стекловидное тело, образуя множество округлых разнокалиберных отсевов, которые плавают в стекловидном теле в виде «стеариновых капель» - от мелких точечных до глыбчатых. Иногда часть «хвоста» отсевов фиксирована к сетчатке. Таким образом, основным отличительным признаком эндофитного роста РБ является наличие отсевов в стекловидном теле.</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Смешанный рост РБ. </w:t>
      </w:r>
      <w:r w:rsidRPr="005674FC">
        <w:rPr>
          <w:rFonts w:ascii="Times New Roman" w:eastAsia="Times New Roman" w:hAnsi="Times New Roman" w:cs="Times New Roman"/>
          <w:color w:val="222222"/>
          <w:sz w:val="27"/>
          <w:szCs w:val="27"/>
          <w:lang w:eastAsia="ru-RU"/>
        </w:rPr>
        <w:t>Опухоль сочетает признаки первых двух форм, то есть характеризуется наличием клонов опухолевых клеток в стекловидном теле и в передней камере на фоне куполообразной отслойки сетчатки.</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Диффузный рост РБ.</w:t>
      </w:r>
      <w:r w:rsidRPr="005674FC">
        <w:rPr>
          <w:rFonts w:ascii="Times New Roman" w:eastAsia="Times New Roman" w:hAnsi="Times New Roman" w:cs="Times New Roman"/>
          <w:color w:val="222222"/>
          <w:sz w:val="27"/>
          <w:szCs w:val="27"/>
          <w:lang w:eastAsia="ru-RU"/>
        </w:rPr>
        <w:t> Опухоль инфильтрирует все слои сетчатки, не формируя крупных узлов и кальцификатов, прорастая в передние отделы глаза, симулируя воспалительные изменения и формируя псевдогипопион.</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Для витального прогноза наиболее неблагоприятен экзофитный и смешанный рост опухоли, для возможности проведения органосохраняющего лечения – эндофитный.</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lastRenderedPageBreak/>
        <w:t>Отличительной особенностью РБ является наличие мультифокальных очагов на сетчатке, независимо от характера роста опухоли. Наиболее часто мультицентричная РБ встречается при двустороннем поражении.</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Монокулярная форма РБ наиболее часто развивается у детей в возрасте до 3-х лет (90%). У детей старшей возрастной группы РБ встречается примерно в 10% случаев. К этой группе относятся пациенты, у которых первые признаки заболевания появились в возрасте после 60 мес. Важным аспектом для раннего выявления заболевания является диспансеризация детского населения с обязательной офтальмоскопией и медикаментозным мидриазом каждые 3 мес. на первом году жизни, далее – не реже 1 раза в 6 мес.</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Клиническое течение РБ у детей в возрасте старше 60 мес. характеризуется монокулярным поражением со снижением зрения и косоглазием. При этом преобладает вовлечение переднего отрезка глаза с наличием псевдопреципитатов и псевдогипопиона, характерно развитие вторичной глаукомы и отслойки сетчатки. Такая клиническая картина нередко ошибочно расценивается как увеит, что приводит к необоснованному противовоспалительному лечению, удлиняет сроки начала специализированного лечения, что значительно уменьшает шансы на сохранение глаза и жизни пациента, т. к. может привести к генерализации заболевания [1,5,8].</w:t>
      </w:r>
    </w:p>
    <w:p w:rsidR="005674FC" w:rsidRPr="005674FC" w:rsidRDefault="005674FC" w:rsidP="005674FC">
      <w:pPr>
        <w:spacing w:before="750" w:after="450" w:line="240" w:lineRule="auto"/>
        <w:outlineLvl w:val="1"/>
        <w:rPr>
          <w:rFonts w:ascii="Times New Roman" w:eastAsia="Times New Roman" w:hAnsi="Times New Roman" w:cs="Times New Roman"/>
          <w:b/>
          <w:bCs/>
          <w:color w:val="222222"/>
          <w:sz w:val="33"/>
          <w:szCs w:val="33"/>
          <w:lang w:eastAsia="ru-RU"/>
        </w:rPr>
      </w:pPr>
      <w:r w:rsidRPr="005674FC">
        <w:rPr>
          <w:rFonts w:ascii="Times New Roman" w:eastAsia="Times New Roman" w:hAnsi="Times New Roman" w:cs="Times New Roman"/>
          <w:b/>
          <w:bCs/>
          <w:color w:val="222222"/>
          <w:sz w:val="33"/>
          <w:szCs w:val="33"/>
          <w:lang w:eastAsia="ru-RU"/>
        </w:rPr>
        <w:t>1.3 Эпидемиология заболевания или состояния (группы заболеваний или состояний)</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Удельный вес РБ среди всех злокачественных опухолей у детей составляет 2,5-4,5% и 90 – 95% от всех злокачественных опухолей глаза [2,9]. РБ встречается с частотой 1 на 15000 – 22000 живых новорожденных во всем мире. В 80% случаев это заболевание диагностируется в возрасте до 3 – 4 лет [10]. При одностороннем поражении чаще встречаются запущенные стадии заболевания, как правило, выявляется солитарный очаг опухоли. При односторонней РБ пик заболеваемости отмечается в возрасте 24 – 29 мес., при двусторонней — в первый год жизни, причем поражение парного глаза может развиваться метахронно.</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Наследственная РБ чаще представлена мультифокальной и/или двухсторонней опухолью и манифестирует в более раннем возрасте – до 12 мес. [3–5,11].</w:t>
      </w:r>
    </w:p>
    <w:p w:rsidR="005674FC" w:rsidRPr="005674FC" w:rsidRDefault="005674FC" w:rsidP="005674FC">
      <w:pPr>
        <w:spacing w:before="750" w:after="450" w:line="240" w:lineRule="auto"/>
        <w:outlineLvl w:val="1"/>
        <w:rPr>
          <w:rFonts w:ascii="Times New Roman" w:eastAsia="Times New Roman" w:hAnsi="Times New Roman" w:cs="Times New Roman"/>
          <w:b/>
          <w:bCs/>
          <w:color w:val="222222"/>
          <w:sz w:val="33"/>
          <w:szCs w:val="33"/>
          <w:lang w:eastAsia="ru-RU"/>
        </w:rPr>
      </w:pPr>
      <w:r w:rsidRPr="005674FC">
        <w:rPr>
          <w:rFonts w:ascii="Times New Roman" w:eastAsia="Times New Roman" w:hAnsi="Times New Roman" w:cs="Times New Roman"/>
          <w:b/>
          <w:bCs/>
          <w:color w:val="222222"/>
          <w:sz w:val="33"/>
          <w:szCs w:val="33"/>
          <w:lang w:eastAsia="ru-RU"/>
        </w:rPr>
        <w:lastRenderedPageBreak/>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С69.2</w:t>
      </w:r>
      <w:r w:rsidRPr="005674FC">
        <w:rPr>
          <w:rFonts w:ascii="Times New Roman" w:eastAsia="Times New Roman" w:hAnsi="Times New Roman" w:cs="Times New Roman"/>
          <w:b/>
          <w:bCs/>
          <w:color w:val="222222"/>
          <w:sz w:val="27"/>
          <w:szCs w:val="27"/>
          <w:lang w:eastAsia="ru-RU"/>
        </w:rPr>
        <w:t> – </w:t>
      </w:r>
      <w:r w:rsidRPr="005674FC">
        <w:rPr>
          <w:rFonts w:ascii="Times New Roman" w:eastAsia="Times New Roman" w:hAnsi="Times New Roman" w:cs="Times New Roman"/>
          <w:color w:val="222222"/>
          <w:sz w:val="27"/>
          <w:szCs w:val="27"/>
          <w:lang w:eastAsia="ru-RU"/>
        </w:rPr>
        <w:t>Злокачественное новообразование сетчатки</w:t>
      </w:r>
    </w:p>
    <w:p w:rsidR="005674FC" w:rsidRPr="005674FC" w:rsidRDefault="005674FC" w:rsidP="005674FC">
      <w:pPr>
        <w:spacing w:before="750" w:after="450" w:line="240" w:lineRule="auto"/>
        <w:outlineLvl w:val="1"/>
        <w:rPr>
          <w:rFonts w:ascii="Times New Roman" w:eastAsia="Times New Roman" w:hAnsi="Times New Roman" w:cs="Times New Roman"/>
          <w:b/>
          <w:bCs/>
          <w:color w:val="222222"/>
          <w:sz w:val="33"/>
          <w:szCs w:val="33"/>
          <w:lang w:eastAsia="ru-RU"/>
        </w:rPr>
      </w:pPr>
      <w:r w:rsidRPr="005674FC">
        <w:rPr>
          <w:rFonts w:ascii="Times New Roman" w:eastAsia="Times New Roman" w:hAnsi="Times New Roman" w:cs="Times New Roman"/>
          <w:b/>
          <w:bCs/>
          <w:color w:val="222222"/>
          <w:sz w:val="33"/>
          <w:szCs w:val="33"/>
          <w:lang w:eastAsia="ru-RU"/>
        </w:rPr>
        <w:t>1.5 Классификация заболевания или состояния (группы заболеваний или состояний)</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Международная классификация интраокулярной РБ по системе АВС была предложена в Амстердаме в 2001 г. с целью определения возможности и видов органосохраняющего лечения в зависимости от групповой принадлежности РБ, в случае двустороннего поражения – для каждого глаза отдельно.</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Классификация АВС (Амстердам, 2001):</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Группа А </w:t>
      </w:r>
      <w:r w:rsidRPr="005674FC">
        <w:rPr>
          <w:rFonts w:ascii="Times New Roman" w:eastAsia="Times New Roman" w:hAnsi="Times New Roman" w:cs="Times New Roman"/>
          <w:color w:val="222222"/>
          <w:sz w:val="27"/>
          <w:szCs w:val="27"/>
          <w:lang w:eastAsia="ru-RU"/>
        </w:rPr>
        <w:t>– Малые интраретинальные опухоли с максимальным размером 3 миллиметра (мм) и менее, расположенные не ближе, чем 1,5 мм от диска зрительного нерва (ДЗН) и 3 мм от центральной ямки.</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Группа В</w:t>
      </w:r>
      <w:r w:rsidRPr="005674FC">
        <w:rPr>
          <w:rFonts w:ascii="Times New Roman" w:eastAsia="Times New Roman" w:hAnsi="Times New Roman" w:cs="Times New Roman"/>
          <w:color w:val="222222"/>
          <w:sz w:val="27"/>
          <w:szCs w:val="27"/>
          <w:lang w:eastAsia="ru-RU"/>
        </w:rPr>
        <w:t> – Прочие отдельно лежащие опухоли, ограниченные сетчаткой, с наличием опухоль-ассоциированной субретинальной жидкости, менее, чем в 3 мм от основания опухоли, без субретинального опухолевого обсеменения.</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Группа С</w:t>
      </w:r>
      <w:r w:rsidRPr="005674FC">
        <w:rPr>
          <w:rFonts w:ascii="Times New Roman" w:eastAsia="Times New Roman" w:hAnsi="Times New Roman" w:cs="Times New Roman"/>
          <w:color w:val="222222"/>
          <w:sz w:val="27"/>
          <w:szCs w:val="27"/>
          <w:lang w:eastAsia="ru-RU"/>
        </w:rPr>
        <w:t> – Дискретные локальные опухоли с локальным опухолевым обсеменением стекловидного тела над опухолью или субретинальным обсеменением менее, чем в 3 мм от опухоли, с возможным наличием жидкости в субретинальном пространстве более 3 мм и менее 6 мм от основания опухоли.</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Группа D</w:t>
      </w:r>
      <w:r w:rsidRPr="005674FC">
        <w:rPr>
          <w:rFonts w:ascii="Times New Roman" w:eastAsia="Times New Roman" w:hAnsi="Times New Roman" w:cs="Times New Roman"/>
          <w:color w:val="222222"/>
          <w:sz w:val="27"/>
          <w:szCs w:val="27"/>
          <w:lang w:eastAsia="ru-RU"/>
        </w:rPr>
        <w:t> – Диффузно распространенная опухоль с наличием крупных опухолевых масс, множественных разнокалиберных опухолевых отсевов в стекловидном теле и/или субретинальном пространстве, более, чем в 3 мм от опухоли, с наличием субретинальной жидкости более 6 мм от основания опухоли, вплоть до тотальной отслойки сетчатки.</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Группа Е</w:t>
      </w:r>
      <w:r w:rsidRPr="005674FC">
        <w:rPr>
          <w:rFonts w:ascii="Times New Roman" w:eastAsia="Times New Roman" w:hAnsi="Times New Roman" w:cs="Times New Roman"/>
          <w:color w:val="222222"/>
          <w:sz w:val="27"/>
          <w:szCs w:val="27"/>
          <w:lang w:eastAsia="ru-RU"/>
        </w:rPr>
        <w:t xml:space="preserve"> - Наличие какого-либо из следующих факторов неблагоприятного прогноза: опухоль, прилежащая к хрусталику; опухоль, лежащая кпереди от передней поверхности стекловидного тела, захватывающая цилиарное тело или передний сегмент глаза; диффузная инфильтративная РБ; неоваскулярная </w:t>
      </w:r>
      <w:r w:rsidRPr="005674FC">
        <w:rPr>
          <w:rFonts w:ascii="Times New Roman" w:eastAsia="Times New Roman" w:hAnsi="Times New Roman" w:cs="Times New Roman"/>
          <w:color w:val="222222"/>
          <w:sz w:val="27"/>
          <w:szCs w:val="27"/>
          <w:lang w:eastAsia="ru-RU"/>
        </w:rPr>
        <w:lastRenderedPageBreak/>
        <w:t>глаукома; непрозрачность стекловидного тела из-за кровоизлияния; некроз опухоли с асептическим целлюлитом орбиты; фтизис глаза.</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При стадировании пациентов используется классификация TNM, 7-е издание (2010 г.). </w:t>
      </w:r>
      <w:r w:rsidRPr="005674FC">
        <w:rPr>
          <w:rFonts w:ascii="Times New Roman" w:eastAsia="Times New Roman" w:hAnsi="Times New Roman" w:cs="Times New Roman"/>
          <w:color w:val="222222"/>
          <w:sz w:val="27"/>
          <w:szCs w:val="27"/>
          <w:lang w:eastAsia="ru-RU"/>
        </w:rPr>
        <w:t>При возникновении билатеральных опухолей поражение каждого глаза классифицируется отдельно. Классификация не применима при полной спонтанной регрессии опухоли.</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TNM клиническая классификация:</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Т – первичная опухоль</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Т</w:t>
      </w:r>
      <w:r w:rsidRPr="005674FC">
        <w:rPr>
          <w:rFonts w:ascii="Times New Roman" w:eastAsia="Times New Roman" w:hAnsi="Times New Roman" w:cs="Times New Roman"/>
          <w:color w:val="222222"/>
          <w:sz w:val="20"/>
          <w:szCs w:val="20"/>
          <w:vertAlign w:val="subscript"/>
          <w:lang w:eastAsia="ru-RU"/>
        </w:rPr>
        <w:t>Х</w:t>
      </w:r>
      <w:r w:rsidRPr="005674FC">
        <w:rPr>
          <w:rFonts w:ascii="Times New Roman" w:eastAsia="Times New Roman" w:hAnsi="Times New Roman" w:cs="Times New Roman"/>
          <w:color w:val="222222"/>
          <w:sz w:val="27"/>
          <w:szCs w:val="27"/>
          <w:lang w:eastAsia="ru-RU"/>
        </w:rPr>
        <w:t> – недостаточно данных для оценки первичной опухоли</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Т</w:t>
      </w:r>
      <w:r w:rsidRPr="005674FC">
        <w:rPr>
          <w:rFonts w:ascii="Times New Roman" w:eastAsia="Times New Roman" w:hAnsi="Times New Roman" w:cs="Times New Roman"/>
          <w:color w:val="222222"/>
          <w:sz w:val="20"/>
          <w:szCs w:val="20"/>
          <w:vertAlign w:val="subscript"/>
          <w:lang w:eastAsia="ru-RU"/>
        </w:rPr>
        <w:t>О</w:t>
      </w:r>
      <w:r w:rsidRPr="005674FC">
        <w:rPr>
          <w:rFonts w:ascii="Times New Roman" w:eastAsia="Times New Roman" w:hAnsi="Times New Roman" w:cs="Times New Roman"/>
          <w:color w:val="222222"/>
          <w:sz w:val="27"/>
          <w:szCs w:val="27"/>
          <w:lang w:eastAsia="ru-RU"/>
        </w:rPr>
        <w:t> – первичная опухоль не определяется</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Т</w:t>
      </w:r>
      <w:r w:rsidRPr="005674FC">
        <w:rPr>
          <w:rFonts w:ascii="Times New Roman" w:eastAsia="Times New Roman" w:hAnsi="Times New Roman" w:cs="Times New Roman"/>
          <w:color w:val="222222"/>
          <w:sz w:val="20"/>
          <w:szCs w:val="20"/>
          <w:vertAlign w:val="subscript"/>
          <w:lang w:eastAsia="ru-RU"/>
        </w:rPr>
        <w:t>1</w:t>
      </w:r>
      <w:r w:rsidRPr="005674FC">
        <w:rPr>
          <w:rFonts w:ascii="Times New Roman" w:eastAsia="Times New Roman" w:hAnsi="Times New Roman" w:cs="Times New Roman"/>
          <w:color w:val="222222"/>
          <w:sz w:val="27"/>
          <w:szCs w:val="27"/>
          <w:lang w:eastAsia="ru-RU"/>
        </w:rPr>
        <w:t> – опухоль ограничена сетчаткой (отсутствует распространение опухоли в стекловидное тело, значительная отслойка сетчатки или жидкость под сетчаткой более 5 мм от основания опухоли)</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Т</w:t>
      </w:r>
      <w:r w:rsidRPr="005674FC">
        <w:rPr>
          <w:rFonts w:ascii="Times New Roman" w:eastAsia="Times New Roman" w:hAnsi="Times New Roman" w:cs="Times New Roman"/>
          <w:color w:val="222222"/>
          <w:sz w:val="20"/>
          <w:szCs w:val="20"/>
          <w:vertAlign w:val="subscript"/>
          <w:lang w:eastAsia="ru-RU"/>
        </w:rPr>
        <w:t>1а</w:t>
      </w:r>
      <w:r w:rsidRPr="005674FC">
        <w:rPr>
          <w:rFonts w:ascii="Times New Roman" w:eastAsia="Times New Roman" w:hAnsi="Times New Roman" w:cs="Times New Roman"/>
          <w:color w:val="222222"/>
          <w:sz w:val="27"/>
          <w:szCs w:val="27"/>
          <w:lang w:eastAsia="ru-RU"/>
        </w:rPr>
        <w:t> – любой глаз, в котором наибольшая опухоль меньше или равна 3 мм в толщину, нет опухоли, расположенной ближе, чем 1 ДД (1,5 мм) к диску зрительного нерва (ДЗН) или макуле</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T</w:t>
      </w:r>
      <w:r w:rsidRPr="005674FC">
        <w:rPr>
          <w:rFonts w:ascii="Times New Roman" w:eastAsia="Times New Roman" w:hAnsi="Times New Roman" w:cs="Times New Roman"/>
          <w:color w:val="222222"/>
          <w:sz w:val="20"/>
          <w:szCs w:val="20"/>
          <w:vertAlign w:val="subscript"/>
          <w:lang w:eastAsia="ru-RU"/>
        </w:rPr>
        <w:t>1b</w:t>
      </w:r>
      <w:r w:rsidRPr="005674FC">
        <w:rPr>
          <w:rFonts w:ascii="Times New Roman" w:eastAsia="Times New Roman" w:hAnsi="Times New Roman" w:cs="Times New Roman"/>
          <w:color w:val="222222"/>
          <w:sz w:val="27"/>
          <w:szCs w:val="27"/>
          <w:lang w:eastAsia="ru-RU"/>
        </w:rPr>
        <w:t> – любой глаз, где опухоль(и) ограничена(ы) сетчаткой независимо от локализации и размеров (более половины глаза)</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Т</w:t>
      </w:r>
      <w:r w:rsidRPr="005674FC">
        <w:rPr>
          <w:rFonts w:ascii="Times New Roman" w:eastAsia="Times New Roman" w:hAnsi="Times New Roman" w:cs="Times New Roman"/>
          <w:color w:val="222222"/>
          <w:sz w:val="20"/>
          <w:szCs w:val="20"/>
          <w:vertAlign w:val="subscript"/>
          <w:lang w:eastAsia="ru-RU"/>
        </w:rPr>
        <w:t>2</w:t>
      </w:r>
      <w:r w:rsidRPr="005674FC">
        <w:rPr>
          <w:rFonts w:ascii="Times New Roman" w:eastAsia="Times New Roman" w:hAnsi="Times New Roman" w:cs="Times New Roman"/>
          <w:color w:val="222222"/>
          <w:sz w:val="27"/>
          <w:szCs w:val="27"/>
          <w:lang w:eastAsia="ru-RU"/>
        </w:rPr>
        <w:t> – опухоль с выраженным распространением на прилежащие ткани или пространства (стекловидное тело или пространство под сетчаткой)</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Т</w:t>
      </w:r>
      <w:r w:rsidRPr="005674FC">
        <w:rPr>
          <w:rFonts w:ascii="Times New Roman" w:eastAsia="Times New Roman" w:hAnsi="Times New Roman" w:cs="Times New Roman"/>
          <w:color w:val="222222"/>
          <w:sz w:val="20"/>
          <w:szCs w:val="20"/>
          <w:vertAlign w:val="subscript"/>
          <w:lang w:eastAsia="ru-RU"/>
        </w:rPr>
        <w:t>2а</w:t>
      </w:r>
      <w:r w:rsidRPr="005674FC">
        <w:rPr>
          <w:rFonts w:ascii="Times New Roman" w:eastAsia="Times New Roman" w:hAnsi="Times New Roman" w:cs="Times New Roman"/>
          <w:color w:val="222222"/>
          <w:sz w:val="27"/>
          <w:szCs w:val="27"/>
          <w:lang w:eastAsia="ru-RU"/>
        </w:rPr>
        <w:t> – минимальная опухоль, распространяющаяся на стекловидное тело и/или пространство под сетчаткой: локальное или диффузное опухолевое обсеменение</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стекловидного тела или частичная, или полная отслойка сетчатки, но без групп образований, комочков, сосудистых масс в стекловидном теле или в пространстве под сетчаткой. Кольцевидные пятна в стекловидном теле или пространстве под сетчаткой допустимы. Опухоль может заполнять 2/3 объема глаза.</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Т</w:t>
      </w:r>
      <w:r w:rsidRPr="005674FC">
        <w:rPr>
          <w:rFonts w:ascii="Times New Roman" w:eastAsia="Times New Roman" w:hAnsi="Times New Roman" w:cs="Times New Roman"/>
          <w:color w:val="222222"/>
          <w:sz w:val="20"/>
          <w:szCs w:val="20"/>
          <w:vertAlign w:val="subscript"/>
          <w:lang w:eastAsia="ru-RU"/>
        </w:rPr>
        <w:t>2b</w:t>
      </w:r>
      <w:r w:rsidRPr="005674FC">
        <w:rPr>
          <w:rFonts w:ascii="Times New Roman" w:eastAsia="Times New Roman" w:hAnsi="Times New Roman" w:cs="Times New Roman"/>
          <w:color w:val="222222"/>
          <w:sz w:val="27"/>
          <w:szCs w:val="27"/>
          <w:lang w:eastAsia="ru-RU"/>
        </w:rPr>
        <w:t> – массивное опухолевое распространение на стекловидное тело и/или пространство под сетчаткой: обсеменение стекловидного тела и/или имплантация в пространство под сетчаткой, может состоять из сгруппировавшихся образований, комочков, сосудистых масс. Отслойка сетчатки может быть полной. Опухоль занимает 2/3 объема глаза.</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Т</w:t>
      </w:r>
      <w:r w:rsidRPr="005674FC">
        <w:rPr>
          <w:rFonts w:ascii="Times New Roman" w:eastAsia="Times New Roman" w:hAnsi="Times New Roman" w:cs="Times New Roman"/>
          <w:color w:val="222222"/>
          <w:sz w:val="20"/>
          <w:szCs w:val="20"/>
          <w:vertAlign w:val="subscript"/>
          <w:lang w:eastAsia="ru-RU"/>
        </w:rPr>
        <w:t>2c</w:t>
      </w:r>
      <w:r w:rsidRPr="005674FC">
        <w:rPr>
          <w:rFonts w:ascii="Times New Roman" w:eastAsia="Times New Roman" w:hAnsi="Times New Roman" w:cs="Times New Roman"/>
          <w:color w:val="222222"/>
          <w:sz w:val="27"/>
          <w:szCs w:val="27"/>
          <w:lang w:eastAsia="ru-RU"/>
        </w:rPr>
        <w:t> – опухоль заполняет более, чем две трети объема глаза или присутствуют один или несколько следующих признаков:</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 Опухоль связана с глаукомой, имеется неоваскуляризация или закрытый угол глаза;</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lastRenderedPageBreak/>
        <w:t>• Опухоль распространяется на передний сегмент;</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 Опухоль распространяется на ресничное тело;</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 Массивное кровоизлияние в стекловидное тело;</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 Опухоль контактирует с хрусталиком;</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 Массивный опухолевый некроз.</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Т</w:t>
      </w:r>
      <w:r w:rsidRPr="005674FC">
        <w:rPr>
          <w:rFonts w:ascii="Times New Roman" w:eastAsia="Times New Roman" w:hAnsi="Times New Roman" w:cs="Times New Roman"/>
          <w:color w:val="222222"/>
          <w:sz w:val="20"/>
          <w:szCs w:val="20"/>
          <w:vertAlign w:val="subscript"/>
          <w:lang w:eastAsia="ru-RU"/>
        </w:rPr>
        <w:t>З</w:t>
      </w:r>
      <w:r w:rsidRPr="005674FC">
        <w:rPr>
          <w:rFonts w:ascii="Times New Roman" w:eastAsia="Times New Roman" w:hAnsi="Times New Roman" w:cs="Times New Roman"/>
          <w:color w:val="222222"/>
          <w:sz w:val="27"/>
          <w:szCs w:val="27"/>
          <w:lang w:eastAsia="ru-RU"/>
        </w:rPr>
        <w:t> – опухоль распространяется на зрительный нерв или глазные оболочки</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Т</w:t>
      </w:r>
      <w:r w:rsidRPr="005674FC">
        <w:rPr>
          <w:rFonts w:ascii="Times New Roman" w:eastAsia="Times New Roman" w:hAnsi="Times New Roman" w:cs="Times New Roman"/>
          <w:color w:val="222222"/>
          <w:sz w:val="20"/>
          <w:szCs w:val="20"/>
          <w:vertAlign w:val="subscript"/>
          <w:lang w:eastAsia="ru-RU"/>
        </w:rPr>
        <w:t>4</w:t>
      </w:r>
      <w:r w:rsidRPr="005674FC">
        <w:rPr>
          <w:rFonts w:ascii="Times New Roman" w:eastAsia="Times New Roman" w:hAnsi="Times New Roman" w:cs="Times New Roman"/>
          <w:color w:val="222222"/>
          <w:sz w:val="27"/>
          <w:szCs w:val="27"/>
          <w:lang w:eastAsia="ru-RU"/>
        </w:rPr>
        <w:t> – распространение опухоли за пределы глаза</w:t>
      </w:r>
      <w:bookmarkStart w:id="0" w:name="_ftnref2"/>
      <w:bookmarkEnd w:id="0"/>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Префикс (m) может добавляться к категории Т, указывая множественность опухолей, например, Т2(m)</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N – регионарные лимфатические узлы</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М – отдаленные метастазы</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pTNM – патологоанатомическая классификация:</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рТ</w:t>
      </w:r>
      <w:r w:rsidRPr="005674FC">
        <w:rPr>
          <w:rFonts w:ascii="Times New Roman" w:eastAsia="Times New Roman" w:hAnsi="Times New Roman" w:cs="Times New Roman"/>
          <w:color w:val="222222"/>
          <w:sz w:val="20"/>
          <w:szCs w:val="20"/>
          <w:vertAlign w:val="subscript"/>
          <w:lang w:eastAsia="ru-RU"/>
        </w:rPr>
        <w:t>Х</w:t>
      </w:r>
      <w:r w:rsidRPr="005674FC">
        <w:rPr>
          <w:rFonts w:ascii="Times New Roman" w:eastAsia="Times New Roman" w:hAnsi="Times New Roman" w:cs="Times New Roman"/>
          <w:color w:val="222222"/>
          <w:sz w:val="27"/>
          <w:szCs w:val="27"/>
          <w:lang w:eastAsia="ru-RU"/>
        </w:rPr>
        <w:t> – недостаточно данных для оценки первичной опухоли</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рТ</w:t>
      </w:r>
      <w:r w:rsidRPr="005674FC">
        <w:rPr>
          <w:rFonts w:ascii="Times New Roman" w:eastAsia="Times New Roman" w:hAnsi="Times New Roman" w:cs="Times New Roman"/>
          <w:color w:val="222222"/>
          <w:sz w:val="20"/>
          <w:szCs w:val="20"/>
          <w:vertAlign w:val="subscript"/>
          <w:lang w:eastAsia="ru-RU"/>
        </w:rPr>
        <w:t>0 </w:t>
      </w:r>
      <w:r w:rsidRPr="005674FC">
        <w:rPr>
          <w:rFonts w:ascii="Times New Roman" w:eastAsia="Times New Roman" w:hAnsi="Times New Roman" w:cs="Times New Roman"/>
          <w:color w:val="222222"/>
          <w:sz w:val="27"/>
          <w:szCs w:val="27"/>
          <w:lang w:eastAsia="ru-RU"/>
        </w:rPr>
        <w:t>– первичная опухоль не определяется</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рТ</w:t>
      </w:r>
      <w:r w:rsidRPr="005674FC">
        <w:rPr>
          <w:rFonts w:ascii="Times New Roman" w:eastAsia="Times New Roman" w:hAnsi="Times New Roman" w:cs="Times New Roman"/>
          <w:color w:val="222222"/>
          <w:sz w:val="20"/>
          <w:szCs w:val="20"/>
          <w:vertAlign w:val="subscript"/>
          <w:lang w:eastAsia="ru-RU"/>
        </w:rPr>
        <w:t>1</w:t>
      </w:r>
      <w:r w:rsidRPr="005674FC">
        <w:rPr>
          <w:rFonts w:ascii="Times New Roman" w:eastAsia="Times New Roman" w:hAnsi="Times New Roman" w:cs="Times New Roman"/>
          <w:color w:val="222222"/>
          <w:sz w:val="27"/>
          <w:szCs w:val="27"/>
          <w:lang w:eastAsia="ru-RU"/>
        </w:rPr>
        <w:t> – опухоль ограничена сетчаткой, стекловидным телом или пространством под сетчаткой. Отсутствует распространение на глазной нерв или сосудистую оболочку</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рТ</w:t>
      </w:r>
      <w:r w:rsidRPr="005674FC">
        <w:rPr>
          <w:rFonts w:ascii="Times New Roman" w:eastAsia="Times New Roman" w:hAnsi="Times New Roman" w:cs="Times New Roman"/>
          <w:color w:val="222222"/>
          <w:sz w:val="20"/>
          <w:szCs w:val="20"/>
          <w:vertAlign w:val="subscript"/>
          <w:lang w:eastAsia="ru-RU"/>
        </w:rPr>
        <w:t>2</w:t>
      </w:r>
      <w:r w:rsidRPr="005674FC">
        <w:rPr>
          <w:rFonts w:ascii="Times New Roman" w:eastAsia="Times New Roman" w:hAnsi="Times New Roman" w:cs="Times New Roman"/>
          <w:color w:val="222222"/>
          <w:sz w:val="27"/>
          <w:szCs w:val="27"/>
          <w:lang w:eastAsia="ru-RU"/>
        </w:rPr>
        <w:t> – минимальное распространение на глазной нерв или оболочки глаза или ограниченная инвазия в сосудистую оболочку</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рТ</w:t>
      </w:r>
      <w:r w:rsidRPr="005674FC">
        <w:rPr>
          <w:rFonts w:ascii="Times New Roman" w:eastAsia="Times New Roman" w:hAnsi="Times New Roman" w:cs="Times New Roman"/>
          <w:color w:val="222222"/>
          <w:sz w:val="20"/>
          <w:szCs w:val="20"/>
          <w:vertAlign w:val="subscript"/>
          <w:lang w:eastAsia="ru-RU"/>
        </w:rPr>
        <w:t>2а</w:t>
      </w:r>
      <w:r w:rsidRPr="005674FC">
        <w:rPr>
          <w:rFonts w:ascii="Times New Roman" w:eastAsia="Times New Roman" w:hAnsi="Times New Roman" w:cs="Times New Roman"/>
          <w:color w:val="222222"/>
          <w:sz w:val="27"/>
          <w:szCs w:val="27"/>
          <w:lang w:eastAsia="ru-RU"/>
        </w:rPr>
        <w:t> – опухоль распространяется по глазному нерву, не прорастая решетчатой пластинки</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рТ</w:t>
      </w:r>
      <w:r w:rsidRPr="005674FC">
        <w:rPr>
          <w:rFonts w:ascii="Times New Roman" w:eastAsia="Times New Roman" w:hAnsi="Times New Roman" w:cs="Times New Roman"/>
          <w:color w:val="222222"/>
          <w:sz w:val="20"/>
          <w:szCs w:val="20"/>
          <w:vertAlign w:val="subscript"/>
          <w:lang w:eastAsia="ru-RU"/>
        </w:rPr>
        <w:t>2b</w:t>
      </w:r>
      <w:r w:rsidRPr="005674FC">
        <w:rPr>
          <w:rFonts w:ascii="Times New Roman" w:eastAsia="Times New Roman" w:hAnsi="Times New Roman" w:cs="Times New Roman"/>
          <w:color w:val="222222"/>
          <w:sz w:val="27"/>
          <w:szCs w:val="27"/>
          <w:lang w:eastAsia="ru-RU"/>
        </w:rPr>
        <w:t> – опухоль ограниченно распространяется на сосудистую оболочку</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рТ</w:t>
      </w:r>
      <w:r w:rsidRPr="005674FC">
        <w:rPr>
          <w:rFonts w:ascii="Times New Roman" w:eastAsia="Times New Roman" w:hAnsi="Times New Roman" w:cs="Times New Roman"/>
          <w:color w:val="222222"/>
          <w:sz w:val="20"/>
          <w:szCs w:val="20"/>
          <w:vertAlign w:val="subscript"/>
          <w:lang w:eastAsia="ru-RU"/>
        </w:rPr>
        <w:t>2с</w:t>
      </w:r>
      <w:r w:rsidRPr="005674FC">
        <w:rPr>
          <w:rFonts w:ascii="Times New Roman" w:eastAsia="Times New Roman" w:hAnsi="Times New Roman" w:cs="Times New Roman"/>
          <w:color w:val="222222"/>
          <w:sz w:val="27"/>
          <w:szCs w:val="27"/>
          <w:lang w:eastAsia="ru-RU"/>
        </w:rPr>
        <w:t> – опухоль распространяется по глазному нерву, не прорастая решетчатой пластинки и ограниченно поражает сосудистую оболочку</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рТ</w:t>
      </w:r>
      <w:r w:rsidRPr="005674FC">
        <w:rPr>
          <w:rFonts w:ascii="Times New Roman" w:eastAsia="Times New Roman" w:hAnsi="Times New Roman" w:cs="Times New Roman"/>
          <w:color w:val="222222"/>
          <w:sz w:val="20"/>
          <w:szCs w:val="20"/>
          <w:vertAlign w:val="subscript"/>
          <w:lang w:eastAsia="ru-RU"/>
        </w:rPr>
        <w:t>З</w:t>
      </w:r>
      <w:r w:rsidRPr="005674FC">
        <w:rPr>
          <w:rFonts w:ascii="Times New Roman" w:eastAsia="Times New Roman" w:hAnsi="Times New Roman" w:cs="Times New Roman"/>
          <w:color w:val="222222"/>
          <w:sz w:val="27"/>
          <w:szCs w:val="27"/>
          <w:lang w:eastAsia="ru-RU"/>
        </w:rPr>
        <w:t> – выраженное распространение опухоли по глазному нерву или оболочкам глаза, или массивная инвазия в сосудистую оболочку</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рТ</w:t>
      </w:r>
      <w:r w:rsidRPr="005674FC">
        <w:rPr>
          <w:rFonts w:ascii="Times New Roman" w:eastAsia="Times New Roman" w:hAnsi="Times New Roman" w:cs="Times New Roman"/>
          <w:color w:val="222222"/>
          <w:sz w:val="20"/>
          <w:szCs w:val="20"/>
          <w:vertAlign w:val="subscript"/>
          <w:lang w:eastAsia="ru-RU"/>
        </w:rPr>
        <w:t>За</w:t>
      </w:r>
      <w:r w:rsidRPr="005674FC">
        <w:rPr>
          <w:rFonts w:ascii="Times New Roman" w:eastAsia="Times New Roman" w:hAnsi="Times New Roman" w:cs="Times New Roman"/>
          <w:color w:val="222222"/>
          <w:sz w:val="27"/>
          <w:szCs w:val="27"/>
          <w:lang w:eastAsia="ru-RU"/>
        </w:rPr>
        <w:t> – опухоль распространяется по глазному нерву до уровня решетчатой пластинки, но, не достигая линии резекции</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рТ</w:t>
      </w:r>
      <w:r w:rsidRPr="005674FC">
        <w:rPr>
          <w:rFonts w:ascii="Times New Roman" w:eastAsia="Times New Roman" w:hAnsi="Times New Roman" w:cs="Times New Roman"/>
          <w:color w:val="222222"/>
          <w:sz w:val="20"/>
          <w:szCs w:val="20"/>
          <w:vertAlign w:val="subscript"/>
          <w:lang w:eastAsia="ru-RU"/>
        </w:rPr>
        <w:t>Зb</w:t>
      </w:r>
      <w:r w:rsidRPr="005674FC">
        <w:rPr>
          <w:rFonts w:ascii="Times New Roman" w:eastAsia="Times New Roman" w:hAnsi="Times New Roman" w:cs="Times New Roman"/>
          <w:color w:val="222222"/>
          <w:sz w:val="27"/>
          <w:szCs w:val="27"/>
          <w:lang w:eastAsia="ru-RU"/>
        </w:rPr>
        <w:t> – опухоль массивно распространяется на сосудистую оболочку</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lastRenderedPageBreak/>
        <w:t>рТ</w:t>
      </w:r>
      <w:r w:rsidRPr="005674FC">
        <w:rPr>
          <w:rFonts w:ascii="Times New Roman" w:eastAsia="Times New Roman" w:hAnsi="Times New Roman" w:cs="Times New Roman"/>
          <w:color w:val="222222"/>
          <w:sz w:val="20"/>
          <w:szCs w:val="20"/>
          <w:vertAlign w:val="subscript"/>
          <w:lang w:eastAsia="ru-RU"/>
        </w:rPr>
        <w:t>Зс</w:t>
      </w:r>
      <w:r w:rsidRPr="005674FC">
        <w:rPr>
          <w:rFonts w:ascii="Times New Roman" w:eastAsia="Times New Roman" w:hAnsi="Times New Roman" w:cs="Times New Roman"/>
          <w:color w:val="222222"/>
          <w:sz w:val="27"/>
          <w:szCs w:val="27"/>
          <w:lang w:eastAsia="ru-RU"/>
        </w:rPr>
        <w:t> – опухоль распространяется по зрительному нерву до уровня решетчатой пластинки, но не достигает уровня резекции и массивно поражает сосудистую оболочку</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рТ</w:t>
      </w:r>
      <w:r w:rsidRPr="005674FC">
        <w:rPr>
          <w:rFonts w:ascii="Times New Roman" w:eastAsia="Times New Roman" w:hAnsi="Times New Roman" w:cs="Times New Roman"/>
          <w:color w:val="222222"/>
          <w:sz w:val="20"/>
          <w:szCs w:val="20"/>
          <w:vertAlign w:val="subscript"/>
          <w:lang w:eastAsia="ru-RU"/>
        </w:rPr>
        <w:t>4</w:t>
      </w:r>
      <w:r w:rsidRPr="005674FC">
        <w:rPr>
          <w:rFonts w:ascii="Times New Roman" w:eastAsia="Times New Roman" w:hAnsi="Times New Roman" w:cs="Times New Roman"/>
          <w:color w:val="222222"/>
          <w:sz w:val="27"/>
          <w:szCs w:val="27"/>
          <w:lang w:eastAsia="ru-RU"/>
        </w:rPr>
        <w:t> – распространение опухоли за пределы глаза, включая:</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 по глазному нерву до линии резекции;</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 через склеру на орбиту;</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 на переднюю и заднюю часть орбиты;</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 в головной мозг;</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 в субарахноидальное пространство зрительного нерва;</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 на верхушку орбиты;</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 на перекресток зрительных нервов.</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pN – регионарные лимфатические узлы – соответствуют N категориям.</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рМ – отдаленные метастазы</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рМ</w:t>
      </w:r>
      <w:r w:rsidRPr="005674FC">
        <w:rPr>
          <w:rFonts w:ascii="Times New Roman" w:eastAsia="Times New Roman" w:hAnsi="Times New Roman" w:cs="Times New Roman"/>
          <w:color w:val="222222"/>
          <w:sz w:val="20"/>
          <w:szCs w:val="20"/>
          <w:vertAlign w:val="subscript"/>
          <w:lang w:eastAsia="ru-RU"/>
        </w:rPr>
        <w:t>Х </w:t>
      </w:r>
      <w:r w:rsidRPr="005674FC">
        <w:rPr>
          <w:rFonts w:ascii="Times New Roman" w:eastAsia="Times New Roman" w:hAnsi="Times New Roman" w:cs="Times New Roman"/>
          <w:color w:val="222222"/>
          <w:sz w:val="27"/>
          <w:szCs w:val="27"/>
          <w:lang w:eastAsia="ru-RU"/>
        </w:rPr>
        <w:t>– недостаточно данных для определения отдаленных метастазов</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рМ</w:t>
      </w:r>
      <w:r w:rsidRPr="005674FC">
        <w:rPr>
          <w:rFonts w:ascii="Times New Roman" w:eastAsia="Times New Roman" w:hAnsi="Times New Roman" w:cs="Times New Roman"/>
          <w:color w:val="222222"/>
          <w:sz w:val="20"/>
          <w:szCs w:val="20"/>
          <w:vertAlign w:val="subscript"/>
          <w:lang w:eastAsia="ru-RU"/>
        </w:rPr>
        <w:t>0</w:t>
      </w:r>
      <w:r w:rsidRPr="005674FC">
        <w:rPr>
          <w:rFonts w:ascii="Times New Roman" w:eastAsia="Times New Roman" w:hAnsi="Times New Roman" w:cs="Times New Roman"/>
          <w:color w:val="222222"/>
          <w:sz w:val="27"/>
          <w:szCs w:val="27"/>
          <w:lang w:eastAsia="ru-RU"/>
        </w:rPr>
        <w:t> – нет признаков отдаленных метастазов</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рМ</w:t>
      </w:r>
      <w:r w:rsidRPr="005674FC">
        <w:rPr>
          <w:rFonts w:ascii="Times New Roman" w:eastAsia="Times New Roman" w:hAnsi="Times New Roman" w:cs="Times New Roman"/>
          <w:color w:val="222222"/>
          <w:sz w:val="20"/>
          <w:szCs w:val="20"/>
          <w:vertAlign w:val="subscript"/>
          <w:lang w:eastAsia="ru-RU"/>
        </w:rPr>
        <w:t>1</w:t>
      </w:r>
      <w:r w:rsidRPr="005674FC">
        <w:rPr>
          <w:rFonts w:ascii="Times New Roman" w:eastAsia="Times New Roman" w:hAnsi="Times New Roman" w:cs="Times New Roman"/>
          <w:color w:val="222222"/>
          <w:sz w:val="27"/>
          <w:szCs w:val="27"/>
          <w:lang w:eastAsia="ru-RU"/>
        </w:rPr>
        <w:t> – имеются отдаленные метастазы</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pM</w:t>
      </w:r>
      <w:r w:rsidRPr="005674FC">
        <w:rPr>
          <w:rFonts w:ascii="Times New Roman" w:eastAsia="Times New Roman" w:hAnsi="Times New Roman" w:cs="Times New Roman"/>
          <w:color w:val="222222"/>
          <w:sz w:val="20"/>
          <w:szCs w:val="20"/>
          <w:vertAlign w:val="subscript"/>
          <w:lang w:eastAsia="ru-RU"/>
        </w:rPr>
        <w:t>la</w:t>
      </w:r>
      <w:r w:rsidRPr="005674FC">
        <w:rPr>
          <w:rFonts w:ascii="Times New Roman" w:eastAsia="Times New Roman" w:hAnsi="Times New Roman" w:cs="Times New Roman"/>
          <w:color w:val="222222"/>
          <w:sz w:val="27"/>
          <w:szCs w:val="27"/>
          <w:lang w:eastAsia="ru-RU"/>
        </w:rPr>
        <w:t> – в костный мозг</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pM</w:t>
      </w:r>
      <w:r w:rsidRPr="005674FC">
        <w:rPr>
          <w:rFonts w:ascii="Times New Roman" w:eastAsia="Times New Roman" w:hAnsi="Times New Roman" w:cs="Times New Roman"/>
          <w:color w:val="222222"/>
          <w:sz w:val="20"/>
          <w:szCs w:val="20"/>
          <w:vertAlign w:val="subscript"/>
          <w:lang w:eastAsia="ru-RU"/>
        </w:rPr>
        <w:t>lb</w:t>
      </w:r>
      <w:r w:rsidRPr="005674FC">
        <w:rPr>
          <w:rFonts w:ascii="Times New Roman" w:eastAsia="Times New Roman" w:hAnsi="Times New Roman" w:cs="Times New Roman"/>
          <w:color w:val="222222"/>
          <w:sz w:val="27"/>
          <w:szCs w:val="27"/>
          <w:lang w:eastAsia="ru-RU"/>
        </w:rPr>
        <w:t> – прочие локализации</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TNM 8: Обновленная версия классификации TNM для стадирования РБ, разработанная Американским объединенным комитетом по раку (AJCC), 2018</w:t>
      </w:r>
      <w:r w:rsidRPr="005674FC">
        <w:rPr>
          <w:rFonts w:ascii="Times New Roman" w:eastAsia="Times New Roman" w:hAnsi="Times New Roman" w:cs="Times New Roman"/>
          <w:color w:val="222222"/>
          <w:sz w:val="27"/>
          <w:szCs w:val="27"/>
          <w:lang w:eastAsia="ru-RU"/>
        </w:rPr>
        <w:t>.</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Клиническая классификация:</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T – первичная опухоль</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cTx – недостаточно данных для оценки первичной опухоли</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cT0 – первичная опухоль(и) не определяется(ются)</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сT1 – интраокулярная опухоль(и) ограничена(ы) сетчаткой с уровнем субретинальной жидкостью не более 5 мм от основания опухоли</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lastRenderedPageBreak/>
        <w:t>cT1a – опухоль(и) меньше или равна(ы) 3 мм в диаметре и располагается(ются) не менее, чем в 1.5мм от ДЗН и макулы</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cT1b – опухоль(и) больше 3 мм в диаметре или ближе, чем в 1.5мм от ДЗН и макулы</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cT2 – интраокулярная опухоль(и) с отслойкой сетчатки, отсевами в стекловидном теле или субретинальными отсевами</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cT2a – уровень субретинальной жидкости более 5 мм от основания опухоли</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cT2b – опухоль(и) с отсевами в стекловидном теле и/или в субретинальном пространстве</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cT3 – запущенная внутриглазная опухоль(и)</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cT3a – с атрофией или субатрофией глаза</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cT3b – с массивным опухолевым распространением на плоскую часть цилиарного тела, цилиарное тело, хрусталик, радужку или переднюю камеру</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cT3c – повышение внутриглазного давления с неоваскуляризацией и/или с развитием буфтальма</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cT3d – гифема или массивное кровоизлияние в стекловидном теле</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cT3e – асептическое воспаление орбитальной клетчатки</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cT4 – экстраокулярная опухоль с распространением на ткани орбиты, включая зрительный нерв</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cT4a – вовлечение ретробульбарной части зрительного нерва или его утолщения по протяжению или вовлечение тканей орбиты, подтвержденное лучевыми методами диагностики</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cT4b – экстраокулярная опухоль с клинически доказанным проптозом и опухолью в орбите</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 N – регионарные лимфатические узлы</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сNx – недостаточно данных для оценки поражения регионарных лимфатических узлов</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lastRenderedPageBreak/>
        <w:t>сN0 – отсутствие метастатического поражения регионарных лимфатических узлов</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cN1 – доказанное метастатическое поражение предушных, подчелюстных и шейных лимфоузлов</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M – отдаленные метастазы</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сM0 – нет симптомов или признаков интракраниального или другого дистанционного метастазирования</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cM1 – дистанционное метастазирование с гистологическим подтверждением</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cM1a – дистанционное метастазирование, (например, с поражением костей, печени), подтвержденное клинически или лучевыми методами диагностики</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cM1b – опухоль поражает центральную нервную систему по данным лучевых методов диагностики (исключение: трилатеральная РБ)</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pM1 – дистанционные метастазы с гистологическим подтверждением</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pM1a – все дистанционные метастазы, подтвержденные гистологическим исследованием</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pM1b – гистологически подтверждение наличия опухоли в паренхиме ЦНС или в ликворе</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H – генетические особенности</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Hx – не известно или недостаточно данных для оценки мутации в гене </w:t>
      </w:r>
      <w:r w:rsidRPr="005674FC">
        <w:rPr>
          <w:rFonts w:ascii="Times New Roman" w:eastAsia="Times New Roman" w:hAnsi="Times New Roman" w:cs="Times New Roman"/>
          <w:i/>
          <w:iCs/>
          <w:color w:val="333333"/>
          <w:sz w:val="27"/>
          <w:szCs w:val="27"/>
          <w:lang w:eastAsia="ru-RU"/>
        </w:rPr>
        <w:t>RB1</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H0 – отсутствие мутаций в гене </w:t>
      </w:r>
      <w:r w:rsidRPr="005674FC">
        <w:rPr>
          <w:rFonts w:ascii="Times New Roman" w:eastAsia="Times New Roman" w:hAnsi="Times New Roman" w:cs="Times New Roman"/>
          <w:i/>
          <w:iCs/>
          <w:color w:val="333333"/>
          <w:sz w:val="27"/>
          <w:szCs w:val="27"/>
          <w:lang w:eastAsia="ru-RU"/>
        </w:rPr>
        <w:t>RB1</w:t>
      </w:r>
      <w:r w:rsidRPr="005674FC">
        <w:rPr>
          <w:rFonts w:ascii="Times New Roman" w:eastAsia="Times New Roman" w:hAnsi="Times New Roman" w:cs="Times New Roman"/>
          <w:color w:val="222222"/>
          <w:sz w:val="27"/>
          <w:szCs w:val="27"/>
          <w:lang w:eastAsia="ru-RU"/>
        </w:rPr>
        <w:t>, подтверждено высокочувствительным молекулярно-генетическим анализом крови</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H1 – двусторонняя РБ, РБ с внутричерепной срединной эмбриональной опухолью ЦНС (в том числе трилатеральная РБ), пациент с семейной формой РБ или мутация в гене </w:t>
      </w:r>
      <w:r w:rsidRPr="005674FC">
        <w:rPr>
          <w:rFonts w:ascii="Times New Roman" w:eastAsia="Times New Roman" w:hAnsi="Times New Roman" w:cs="Times New Roman"/>
          <w:i/>
          <w:iCs/>
          <w:color w:val="333333"/>
          <w:sz w:val="27"/>
          <w:szCs w:val="27"/>
          <w:lang w:eastAsia="ru-RU"/>
        </w:rPr>
        <w:t>RB1</w:t>
      </w:r>
      <w:r w:rsidRPr="005674FC">
        <w:rPr>
          <w:rFonts w:ascii="Times New Roman" w:eastAsia="Times New Roman" w:hAnsi="Times New Roman" w:cs="Times New Roman"/>
          <w:color w:val="222222"/>
          <w:sz w:val="27"/>
          <w:szCs w:val="27"/>
          <w:lang w:eastAsia="ru-RU"/>
        </w:rPr>
        <w:t> подтверждена высокочувствительным молекулярно-генетическим анализом крови</w:t>
      </w:r>
    </w:p>
    <w:p w:rsidR="005674FC" w:rsidRPr="005674FC" w:rsidRDefault="005674FC" w:rsidP="005674FC">
      <w:pPr>
        <w:spacing w:before="750" w:after="450" w:line="240" w:lineRule="auto"/>
        <w:outlineLvl w:val="1"/>
        <w:rPr>
          <w:rFonts w:ascii="Times New Roman" w:eastAsia="Times New Roman" w:hAnsi="Times New Roman" w:cs="Times New Roman"/>
          <w:b/>
          <w:bCs/>
          <w:color w:val="222222"/>
          <w:sz w:val="33"/>
          <w:szCs w:val="33"/>
          <w:lang w:eastAsia="ru-RU"/>
        </w:rPr>
      </w:pPr>
      <w:r w:rsidRPr="005674FC">
        <w:rPr>
          <w:rFonts w:ascii="Times New Roman" w:eastAsia="Times New Roman" w:hAnsi="Times New Roman" w:cs="Times New Roman"/>
          <w:b/>
          <w:bCs/>
          <w:color w:val="222222"/>
          <w:sz w:val="33"/>
          <w:szCs w:val="33"/>
          <w:lang w:eastAsia="ru-RU"/>
        </w:rPr>
        <w:t>1.6 Клиническая картина заболевания или состояния (группы заболеваний или состояний)</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lastRenderedPageBreak/>
        <w:t>Заболевание зачастую протекает бессимптомно и манифестирует, когда опухоль распространяется на центральную часть сетчатки или увеличивается в размерах, влияющих на зрение. Ранним симптомом развития опухоли при её локализации в центральном отделе сетчатки может быть косоглазие. Наиболее распространенным симптомом поздней стадии заболевания является свечение зрачка – лейкокория или симптом «кошачьего глаза», что возникает в результате отражения света от поверхности опухолевого очага. Кроме этого, поздними симптомами заболевания являются: паралитический мидриаз (стойкое расширение зрачка и отсутствие световой реакции), возникающий вследствие вторичной отслойки сетчатки; гемофтальм – кровоизлияние в стекловидное тело; опухоли, распространяющейся до передних отделов стекловидного тела, рубеоз радужки (патологический рост сосудов – неоваскуляризация – на радужке и в углу передней камеры – пространстве межу роговицей и радужкой), при котором сетчатка испытывает недостаток в кислороде, что приводит к образованию патологических сосудов. Новообразованные сосуды блокируют отток водянистой влаги из глаза, вызывая подъем внутриглазного давления (ВГД), что приводит к развитию вторичной неоваскулярной глаукомы, и, как следствие, к увеличению глаза в размере – буфтальму, при этом наблюдается покраснение и боль в глазу, симптом псевдогипопиона, при прорастании опухоли в орбиту наблюдается экзофтальм [1,9,11,12].</w:t>
      </w:r>
    </w:p>
    <w:p w:rsidR="005674FC" w:rsidRPr="005674FC" w:rsidRDefault="005674FC" w:rsidP="005674F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74FC">
        <w:rPr>
          <w:rFonts w:ascii="Times New Roman" w:eastAsia="Times New Roman" w:hAnsi="Times New Roman" w:cs="Times New Roman"/>
          <w:b/>
          <w:bCs/>
          <w:color w:val="000000"/>
          <w:kern w:val="36"/>
          <w:sz w:val="48"/>
          <w:szCs w:val="48"/>
          <w:lang w:eastAsia="ru-RU"/>
        </w:rPr>
        <w:t>2. Диагностика</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Дифференциальная диагностика РБ проводится с передним и задним увеитом различной этиологии, ретинитом Коатса, катарактой, ретинопатией недоношенных и отслойкой сетчатки, глаукомой, кистами стекловидного тела, гемофтальмом, миелиновыми волокнами, колобомой ДЗН, глиомой зрительного нерва.</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 xml:space="preserve">Как правило, ошибочный диагноз увеита ставится при эндофитном и смешанном характере роста опухоли, когда опухолевые отсевы в стекловидное тело или в переднюю камеру оцениваются как воспалительные преципитаты. Наличие кровоизлияний на сетчатке, кальцификата в очаге в 15-20% случаев может привести к постановке диагноза ретинита Коатса в поздней стадии. Диагноз отслойки сетчатки, ретинопатии недоношенных, катаракты, как правило, ставят при экзофитном характере роста РБ. Реже встречаются </w:t>
      </w:r>
      <w:r w:rsidRPr="005674FC">
        <w:rPr>
          <w:rFonts w:ascii="Times New Roman" w:eastAsia="Times New Roman" w:hAnsi="Times New Roman" w:cs="Times New Roman"/>
          <w:i/>
          <w:iCs/>
          <w:color w:val="333333"/>
          <w:sz w:val="27"/>
          <w:szCs w:val="27"/>
          <w:lang w:eastAsia="ru-RU"/>
        </w:rPr>
        <w:lastRenderedPageBreak/>
        <w:t>такие ошибочные диагнозы, как глаукома, кисты стекловидного тела, гемофтальм, миелиновые волокна, колобома ДЗН, глиома зрительного нерва и другие.</w:t>
      </w:r>
    </w:p>
    <w:p w:rsidR="005674FC" w:rsidRPr="005674FC" w:rsidRDefault="005674FC" w:rsidP="005674FC">
      <w:pPr>
        <w:spacing w:before="750" w:after="450" w:line="240" w:lineRule="auto"/>
        <w:outlineLvl w:val="1"/>
        <w:rPr>
          <w:rFonts w:ascii="Times New Roman" w:eastAsia="Times New Roman" w:hAnsi="Times New Roman" w:cs="Times New Roman"/>
          <w:b/>
          <w:bCs/>
          <w:color w:val="222222"/>
          <w:sz w:val="33"/>
          <w:szCs w:val="33"/>
          <w:lang w:eastAsia="ru-RU"/>
        </w:rPr>
      </w:pPr>
      <w:r w:rsidRPr="005674FC">
        <w:rPr>
          <w:rFonts w:ascii="Times New Roman" w:eastAsia="Times New Roman" w:hAnsi="Times New Roman" w:cs="Times New Roman"/>
          <w:b/>
          <w:bCs/>
          <w:color w:val="222222"/>
          <w:sz w:val="33"/>
          <w:szCs w:val="33"/>
          <w:lang w:eastAsia="ru-RU"/>
        </w:rPr>
        <w:t>2.1 Жалобы и анамнез</w:t>
      </w:r>
    </w:p>
    <w:p w:rsidR="005674FC" w:rsidRPr="005674FC" w:rsidRDefault="005674FC" w:rsidP="005674FC">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 Рекомендуется тщательный сбор анамнеза врачом детским онкологом и офтальмологом у родителей или законных представителей с целью выявления наследственной предрасположенности, оценки состояния здоровья сиблингов (родных братьев и сестер) [1,5,8,11,13].</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Комментарии: </w:t>
      </w:r>
      <w:r w:rsidRPr="005674FC">
        <w:rPr>
          <w:rFonts w:ascii="Times New Roman" w:eastAsia="Times New Roman" w:hAnsi="Times New Roman" w:cs="Times New Roman"/>
          <w:i/>
          <w:iCs/>
          <w:color w:val="333333"/>
          <w:sz w:val="27"/>
          <w:szCs w:val="27"/>
          <w:lang w:eastAsia="ru-RU"/>
        </w:rPr>
        <w:t>уточняют течение беременности, родов и состояние здоровья новорожденного, возможное проживание членов семьи в экологически неблагоприятной зоне.</w:t>
      </w:r>
    </w:p>
    <w:p w:rsidR="005674FC" w:rsidRPr="005674FC" w:rsidRDefault="005674FC" w:rsidP="005674FC">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Рекомендуется установить врачом офтальмологом наличие (отсутствие) лейкокории, косоглазия, паралитического мидриаза, рубеоза радужки, вторичной неоваскулярной глаукомы, буфтальма, покраснения и болей в глазу, симптомов псевдогипопиона, экзофтальма [1,5,11,13].</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Комментарии: </w:t>
      </w:r>
      <w:r w:rsidRPr="005674FC">
        <w:rPr>
          <w:rFonts w:ascii="Times New Roman" w:eastAsia="Times New Roman" w:hAnsi="Times New Roman" w:cs="Times New Roman"/>
          <w:b/>
          <w:bCs/>
          <w:i/>
          <w:iCs/>
          <w:color w:val="333333"/>
          <w:sz w:val="27"/>
          <w:szCs w:val="27"/>
          <w:lang w:eastAsia="ru-RU"/>
        </w:rPr>
        <w:t>необходимо установить характерные клинические признаки для ретинобластомы, подробное описание в разделе 1.6 Клиническая картина</w:t>
      </w:r>
    </w:p>
    <w:p w:rsidR="005674FC" w:rsidRPr="005674FC" w:rsidRDefault="005674FC" w:rsidP="005674FC">
      <w:pPr>
        <w:spacing w:before="750" w:after="450" w:line="240" w:lineRule="auto"/>
        <w:outlineLvl w:val="1"/>
        <w:rPr>
          <w:rFonts w:ascii="Times New Roman" w:eastAsia="Times New Roman" w:hAnsi="Times New Roman" w:cs="Times New Roman"/>
          <w:b/>
          <w:bCs/>
          <w:color w:val="222222"/>
          <w:sz w:val="33"/>
          <w:szCs w:val="33"/>
          <w:lang w:eastAsia="ru-RU"/>
        </w:rPr>
      </w:pPr>
      <w:r w:rsidRPr="005674FC">
        <w:rPr>
          <w:rFonts w:ascii="Times New Roman" w:eastAsia="Times New Roman" w:hAnsi="Times New Roman" w:cs="Times New Roman"/>
          <w:b/>
          <w:bCs/>
          <w:color w:val="222222"/>
          <w:sz w:val="33"/>
          <w:szCs w:val="33"/>
          <w:lang w:eastAsia="ru-RU"/>
        </w:rPr>
        <w:t>2.2 Физикальное обследование</w:t>
      </w:r>
    </w:p>
    <w:p w:rsidR="005674FC" w:rsidRPr="005674FC" w:rsidRDefault="005674FC" w:rsidP="005674FC">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Рекомендуется оценить врачом офтальмологом состояние век, положение глаз и объем их движений, фиксацию взгляда каждого глаза на неподвижном предмете, реакцию зрачка на световой раздражитель, уровень ВГД [1,5,11].</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674FC" w:rsidRPr="005674FC" w:rsidRDefault="005674FC" w:rsidP="005674FC">
      <w:pPr>
        <w:spacing w:before="750" w:after="450" w:line="240" w:lineRule="auto"/>
        <w:outlineLvl w:val="1"/>
        <w:rPr>
          <w:rFonts w:ascii="Times New Roman" w:eastAsia="Times New Roman" w:hAnsi="Times New Roman" w:cs="Times New Roman"/>
          <w:b/>
          <w:bCs/>
          <w:color w:val="222222"/>
          <w:sz w:val="33"/>
          <w:szCs w:val="33"/>
          <w:lang w:eastAsia="ru-RU"/>
        </w:rPr>
      </w:pPr>
      <w:r w:rsidRPr="005674FC">
        <w:rPr>
          <w:rFonts w:ascii="Times New Roman" w:eastAsia="Times New Roman" w:hAnsi="Times New Roman" w:cs="Times New Roman"/>
          <w:b/>
          <w:bCs/>
          <w:color w:val="222222"/>
          <w:sz w:val="33"/>
          <w:szCs w:val="33"/>
          <w:lang w:eastAsia="ru-RU"/>
        </w:rPr>
        <w:t>2.3 Лабораторные диагностические исследования</w:t>
      </w:r>
    </w:p>
    <w:p w:rsidR="005674FC" w:rsidRPr="005674FC" w:rsidRDefault="005674FC" w:rsidP="005674FC">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lastRenderedPageBreak/>
        <w:t>Рекомендуется провести молекулярно-генетическое исследование мутаций в гене RBI в биопсийном (операционном) материале и/или в крови пациенту и всем родственникам пациента первой степени родства (братьям, сестрам, родителям) с целью выявления наследственной природы заболевания [4].</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5674FC" w:rsidRPr="005674FC" w:rsidRDefault="005674FC" w:rsidP="005674FC">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Рекомендуется патолого-анатомическое исследование биопсийного (операционного) материала глазного яблока, его придаточного аппарата, глазницы, удаленных при операции, или иных удаленных органов и тканей с применением гистохимических методов с целью определения типа опухоли и распространенности патологического процесса [14].</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5674FC" w:rsidRPr="005674FC" w:rsidRDefault="005674FC" w:rsidP="005674FC">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Рекомендуется всем пациентам при установлении диагноза  и при планировании любого вида лечения неспецифическая лабораторная диагностика, которая </w:t>
      </w:r>
      <w:r w:rsidRPr="005674FC">
        <w:rPr>
          <w:rFonts w:ascii="Times New Roman" w:eastAsia="Times New Roman" w:hAnsi="Times New Roman" w:cs="Times New Roman"/>
          <w:i/>
          <w:iCs/>
          <w:color w:val="333333"/>
          <w:sz w:val="27"/>
          <w:szCs w:val="27"/>
          <w:lang w:eastAsia="ru-RU"/>
        </w:rPr>
        <w:t>включает в себя общий (клинический) анализ мочи, общий (клинический) анализ крови, анализ крови биохимический общетерапевтический (с определением содержания белка, билирубина, мочевины, креатинина, аспартатаминотрансфераза (АСT), аланинаминотрансфераза (AЛТ), лактатдегидрогеназа (ЛДГ), щелочная фосфатаза (ЩФ), Na +, K +, Са +, Cl-), а также коагулограмму [15,16]</w:t>
      </w:r>
      <w:r w:rsidRPr="005674FC">
        <w:rPr>
          <w:rFonts w:ascii="Times New Roman" w:eastAsia="Times New Roman" w:hAnsi="Times New Roman" w:cs="Times New Roman"/>
          <w:color w:val="222222"/>
          <w:sz w:val="27"/>
          <w:szCs w:val="27"/>
          <w:lang w:eastAsia="ru-RU"/>
        </w:rPr>
        <w:t>.</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5674FC" w:rsidRPr="005674FC" w:rsidRDefault="005674FC" w:rsidP="005674FC">
      <w:pPr>
        <w:spacing w:before="750" w:after="450" w:line="240" w:lineRule="auto"/>
        <w:outlineLvl w:val="1"/>
        <w:rPr>
          <w:rFonts w:ascii="Times New Roman" w:eastAsia="Times New Roman" w:hAnsi="Times New Roman" w:cs="Times New Roman"/>
          <w:b/>
          <w:bCs/>
          <w:color w:val="222222"/>
          <w:sz w:val="33"/>
          <w:szCs w:val="33"/>
          <w:lang w:eastAsia="ru-RU"/>
        </w:rPr>
      </w:pPr>
      <w:r w:rsidRPr="005674FC">
        <w:rPr>
          <w:rFonts w:ascii="Times New Roman" w:eastAsia="Times New Roman" w:hAnsi="Times New Roman" w:cs="Times New Roman"/>
          <w:b/>
          <w:bCs/>
          <w:color w:val="222222"/>
          <w:sz w:val="33"/>
          <w:szCs w:val="33"/>
          <w:lang w:eastAsia="ru-RU"/>
        </w:rPr>
        <w:t>2.4 Инструментальные диагностические исследования</w:t>
      </w:r>
    </w:p>
    <w:p w:rsidR="005674FC" w:rsidRPr="005674FC" w:rsidRDefault="005674FC" w:rsidP="005674FC">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Рекомендуется всем пациентам следующие методы офтальмологической инструментальной диагностики: визометрия, тонометрия, биомикроскопия, сканирование глазного дна с помощью ретинальной камеры, прямая и обратная офтальмоскопия при максимальном мидриазе под общей анестезией с использованием офтальмоскопа </w:t>
      </w:r>
      <w:r w:rsidRPr="005674FC">
        <w:rPr>
          <w:rFonts w:ascii="Times New Roman" w:eastAsia="Times New Roman" w:hAnsi="Times New Roman" w:cs="Times New Roman"/>
          <w:i/>
          <w:iCs/>
          <w:color w:val="333333"/>
          <w:sz w:val="27"/>
          <w:szCs w:val="27"/>
          <w:lang w:eastAsia="ru-RU"/>
        </w:rPr>
        <w:t>для подтверждения диагноза РБ, уточнения внутриглазного распространения, наличия вторичных осложнений опухолевого процесса, оценки сохранившихся зрительных функций [5,11]</w:t>
      </w:r>
      <w:r w:rsidRPr="005674FC">
        <w:rPr>
          <w:rFonts w:ascii="Times New Roman" w:eastAsia="Times New Roman" w:hAnsi="Times New Roman" w:cs="Times New Roman"/>
          <w:color w:val="222222"/>
          <w:sz w:val="27"/>
          <w:szCs w:val="27"/>
          <w:lang w:eastAsia="ru-RU"/>
        </w:rPr>
        <w:t>.</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5674FC" w:rsidRPr="005674FC" w:rsidRDefault="005674FC" w:rsidP="005674FC">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lastRenderedPageBreak/>
        <w:t>Рекомендуется УЗИ глаз всем пациентам </w:t>
      </w:r>
      <w:r w:rsidRPr="005674FC">
        <w:rPr>
          <w:rFonts w:ascii="Times New Roman" w:eastAsia="Times New Roman" w:hAnsi="Times New Roman" w:cs="Times New Roman"/>
          <w:i/>
          <w:iCs/>
          <w:color w:val="333333"/>
          <w:sz w:val="27"/>
          <w:szCs w:val="27"/>
          <w:lang w:eastAsia="ru-RU"/>
        </w:rPr>
        <w:t>с целью выявления внутриглазных патологических образований, оценки распространенности опухолевого процесса, определения интенсивности обсеменения стекловидного тела (локальное, диффузное), интраокулярной локализации патологического образования и его размеров, особенностей кровотока, сохранности оболочек глаза, вторичной отслойки сетчатки, гемофтальма [17,18]</w:t>
      </w:r>
      <w:r w:rsidRPr="005674FC">
        <w:rPr>
          <w:rFonts w:ascii="Times New Roman" w:eastAsia="Times New Roman" w:hAnsi="Times New Roman" w:cs="Times New Roman"/>
          <w:color w:val="222222"/>
          <w:sz w:val="27"/>
          <w:szCs w:val="27"/>
          <w:lang w:eastAsia="ru-RU"/>
        </w:rPr>
        <w:t>.</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Комментарий: </w:t>
      </w:r>
      <w:r w:rsidRPr="005674FC">
        <w:rPr>
          <w:rFonts w:ascii="Times New Roman" w:eastAsia="Times New Roman" w:hAnsi="Times New Roman" w:cs="Times New Roman"/>
          <w:b/>
          <w:bCs/>
          <w:i/>
          <w:iCs/>
          <w:color w:val="333333"/>
          <w:sz w:val="27"/>
          <w:szCs w:val="27"/>
          <w:lang w:eastAsia="ru-RU"/>
        </w:rPr>
        <w:t>в том числе </w:t>
      </w:r>
      <w:r w:rsidRPr="005674FC">
        <w:rPr>
          <w:rFonts w:ascii="Times New Roman" w:eastAsia="Times New Roman" w:hAnsi="Times New Roman" w:cs="Times New Roman"/>
          <w:i/>
          <w:iCs/>
          <w:color w:val="333333"/>
          <w:sz w:val="27"/>
          <w:szCs w:val="27"/>
          <w:lang w:eastAsia="ru-RU"/>
        </w:rPr>
        <w:t>перед началом каждого курса химиотерапии и лучевой терапии.</w:t>
      </w:r>
    </w:p>
    <w:p w:rsidR="005674FC" w:rsidRPr="005674FC" w:rsidRDefault="005674FC" w:rsidP="005674FC">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ОКТ рекомендуется пациентам при РБ групп А и В с целью подтверждения диагноза, дифференциальной диагностики других патологических процессов сетчатки, определения формирования хориоретинального рубца и выявления продолженного или скрытого роста РБ [19].</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5674FC" w:rsidRPr="005674FC" w:rsidRDefault="005674FC" w:rsidP="005674FC">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Электрофизиологические методы, включающие электроретинографию и регистрацию зрительных вызванных потенциалов коры головного мозга, рекомендуется применять у пациентов с РБ с целью оценки функций сетчатки, зрительного нерва и зрительных областей коры головного мозга после органосохраняющего лечения [20].</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С</w:t>
      </w:r>
      <w:r w:rsidRPr="005674FC">
        <w:rPr>
          <w:rFonts w:ascii="Times New Roman" w:eastAsia="Times New Roman" w:hAnsi="Times New Roman" w:cs="Times New Roman"/>
          <w:color w:val="222222"/>
          <w:sz w:val="27"/>
          <w:szCs w:val="27"/>
          <w:lang w:eastAsia="ru-RU"/>
        </w:rPr>
        <w:t> </w:t>
      </w:r>
      <w:r w:rsidRPr="005674FC">
        <w:rPr>
          <w:rFonts w:ascii="Times New Roman" w:eastAsia="Times New Roman" w:hAnsi="Times New Roman" w:cs="Times New Roman"/>
          <w:b/>
          <w:bCs/>
          <w:color w:val="222222"/>
          <w:sz w:val="27"/>
          <w:szCs w:val="27"/>
          <w:lang w:eastAsia="ru-RU"/>
        </w:rPr>
        <w:t>(уровень достоверности доказательств – 4)</w:t>
      </w:r>
    </w:p>
    <w:p w:rsidR="005674FC" w:rsidRPr="005674FC" w:rsidRDefault="005674FC" w:rsidP="005674FC">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Рекомендуется МРТ орбит и головного мозга с контрастным усилением пациентам с РБ с целью исключения экстраокулярного роста опухоли, трилатеральной РБ, метастазов, второй опухоли и иной патологии ЦНС при первичной диагностике, оценки эффективности лечения в случае экстраокулярного роста опухоли и при диспансерном контроле [11,16,18].</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674FC" w:rsidRPr="005674FC" w:rsidRDefault="005674FC" w:rsidP="005674FC">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Рекомендуется выполнить </w:t>
      </w:r>
      <w:r w:rsidRPr="005674FC">
        <w:rPr>
          <w:rFonts w:ascii="Times New Roman" w:eastAsia="Times New Roman" w:hAnsi="Times New Roman" w:cs="Times New Roman"/>
          <w:color w:val="222222"/>
          <w:sz w:val="27"/>
          <w:szCs w:val="27"/>
          <w:lang w:eastAsia="ru-RU"/>
        </w:rPr>
        <w:t>ультразвуковое исследование глаз и орбит перед началом каждого курса полихимиотерапии или лучевой терапии с целью оценки динамики опухолевого процесса [18].</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5674FC" w:rsidRPr="005674FC" w:rsidRDefault="005674FC" w:rsidP="005674FC">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lastRenderedPageBreak/>
        <w:t>Рекомендуется компьютерная томография (КТ) органов грудной клетки пациентам с РБ с целью исключения патологии органов грудной клетки, в том числе метастазов </w:t>
      </w:r>
      <w:r w:rsidRPr="005674FC">
        <w:rPr>
          <w:rFonts w:ascii="Times New Roman" w:eastAsia="Times New Roman" w:hAnsi="Times New Roman" w:cs="Times New Roman"/>
          <w:i/>
          <w:iCs/>
          <w:color w:val="333333"/>
          <w:sz w:val="27"/>
          <w:szCs w:val="27"/>
          <w:lang w:eastAsia="ru-RU"/>
        </w:rPr>
        <w:t>[4,5,11,21]</w:t>
      </w:r>
      <w:r w:rsidRPr="005674FC">
        <w:rPr>
          <w:rFonts w:ascii="Times New Roman" w:eastAsia="Times New Roman" w:hAnsi="Times New Roman" w:cs="Times New Roman"/>
          <w:color w:val="222222"/>
          <w:sz w:val="27"/>
          <w:szCs w:val="27"/>
          <w:lang w:eastAsia="ru-RU"/>
        </w:rPr>
        <w:t>.</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5674FC" w:rsidRPr="005674FC" w:rsidRDefault="005674FC" w:rsidP="005674FC">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Рекомендуется ультразвуковое исследование (УЗИ) органов брюшной полости, забрюшинного пространства, шейных лимфатических узлов для исключения патологии и метастатического поражения </w:t>
      </w:r>
      <w:r w:rsidRPr="005674FC">
        <w:rPr>
          <w:rFonts w:ascii="Times New Roman" w:eastAsia="Times New Roman" w:hAnsi="Times New Roman" w:cs="Times New Roman"/>
          <w:i/>
          <w:iCs/>
          <w:color w:val="333333"/>
          <w:sz w:val="27"/>
          <w:szCs w:val="27"/>
          <w:lang w:eastAsia="ru-RU"/>
        </w:rPr>
        <w:t>[4,5,11,16]</w:t>
      </w:r>
      <w:r w:rsidRPr="005674FC">
        <w:rPr>
          <w:rFonts w:ascii="Times New Roman" w:eastAsia="Times New Roman" w:hAnsi="Times New Roman" w:cs="Times New Roman"/>
          <w:color w:val="222222"/>
          <w:sz w:val="27"/>
          <w:szCs w:val="27"/>
          <w:lang w:eastAsia="ru-RU"/>
        </w:rPr>
        <w:t>.</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5674FC" w:rsidRPr="005674FC" w:rsidRDefault="005674FC" w:rsidP="005674FC">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Рекомендуется при подозрении у пациента с экстраокулярной формой РБ с целью выявления экстраокулярных очагов РБ расширенное обследование, которое включает </w:t>
      </w:r>
      <w:r w:rsidRPr="005674FC">
        <w:rPr>
          <w:rFonts w:ascii="Times New Roman" w:eastAsia="Times New Roman" w:hAnsi="Times New Roman" w:cs="Times New Roman"/>
          <w:i/>
          <w:iCs/>
          <w:color w:val="333333"/>
          <w:sz w:val="27"/>
          <w:szCs w:val="27"/>
          <w:lang w:eastAsia="ru-RU"/>
        </w:rPr>
        <w:t>[5,11,16,21–23]</w:t>
      </w:r>
      <w:r w:rsidRPr="005674FC">
        <w:rPr>
          <w:rFonts w:ascii="Times New Roman" w:eastAsia="Times New Roman" w:hAnsi="Times New Roman" w:cs="Times New Roman"/>
          <w:color w:val="222222"/>
          <w:sz w:val="27"/>
          <w:szCs w:val="27"/>
          <w:lang w:eastAsia="ru-RU"/>
        </w:rPr>
        <w:t>:</w:t>
      </w:r>
    </w:p>
    <w:p w:rsidR="005674FC" w:rsidRPr="005674FC" w:rsidRDefault="005674FC" w:rsidP="005674FC">
      <w:pPr>
        <w:numPr>
          <w:ilvl w:val="1"/>
          <w:numId w:val="17"/>
        </w:numPr>
        <w:spacing w:after="0" w:line="390" w:lineRule="atLeast"/>
        <w:ind w:left="63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сцинтиграфию с туморотропными диагностическими радиофармацевтическими средствами полипозиционную</w:t>
      </w:r>
      <w:r w:rsidRPr="005674FC">
        <w:rPr>
          <w:rFonts w:ascii="Times New Roman" w:eastAsia="Times New Roman" w:hAnsi="Times New Roman" w:cs="Times New Roman"/>
          <w:i/>
          <w:iCs/>
          <w:color w:val="333333"/>
          <w:sz w:val="27"/>
          <w:szCs w:val="27"/>
          <w:lang w:eastAsia="ru-RU"/>
        </w:rPr>
        <w:t> (с рафиофармпрепаратом технеция 99-m-пирофосфатом [99mTс] для костей и с галлия [67Ga] цитратом (</w:t>
      </w:r>
      <w:r w:rsidRPr="005674FC">
        <w:rPr>
          <w:rFonts w:ascii="Times New Roman" w:eastAsia="Times New Roman" w:hAnsi="Times New Roman" w:cs="Times New Roman"/>
          <w:i/>
          <w:iCs/>
          <w:color w:val="333333"/>
          <w:sz w:val="20"/>
          <w:szCs w:val="20"/>
          <w:vertAlign w:val="superscript"/>
          <w:lang w:eastAsia="ru-RU"/>
        </w:rPr>
        <w:t>67</w:t>
      </w:r>
      <w:r w:rsidRPr="005674FC">
        <w:rPr>
          <w:rFonts w:ascii="Times New Roman" w:eastAsia="Times New Roman" w:hAnsi="Times New Roman" w:cs="Times New Roman"/>
          <w:i/>
          <w:iCs/>
          <w:color w:val="333333"/>
          <w:sz w:val="27"/>
          <w:szCs w:val="27"/>
          <w:lang w:eastAsia="ru-RU"/>
        </w:rPr>
        <w:t>Ga) для мягких тканей) (для пациентов старше 1 года);</w:t>
      </w:r>
    </w:p>
    <w:p w:rsidR="005674FC" w:rsidRPr="005674FC" w:rsidRDefault="005674FC" w:rsidP="005674FC">
      <w:pPr>
        <w:numPr>
          <w:ilvl w:val="1"/>
          <w:numId w:val="17"/>
        </w:numPr>
        <w:spacing w:after="0" w:line="390" w:lineRule="atLeast"/>
        <w:ind w:left="63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рентгенографию костей с очагами патологического накопления </w:t>
      </w:r>
      <w:r w:rsidRPr="005674FC">
        <w:rPr>
          <w:rFonts w:ascii="Times New Roman" w:eastAsia="Times New Roman" w:hAnsi="Times New Roman" w:cs="Times New Roman"/>
          <w:i/>
          <w:iCs/>
          <w:color w:val="333333"/>
          <w:sz w:val="20"/>
          <w:szCs w:val="20"/>
          <w:vertAlign w:val="superscript"/>
          <w:lang w:eastAsia="ru-RU"/>
        </w:rPr>
        <w:t>99</w:t>
      </w:r>
      <w:r w:rsidRPr="005674FC">
        <w:rPr>
          <w:rFonts w:ascii="Times New Roman" w:eastAsia="Times New Roman" w:hAnsi="Times New Roman" w:cs="Times New Roman"/>
          <w:i/>
          <w:iCs/>
          <w:color w:val="333333"/>
          <w:sz w:val="27"/>
          <w:szCs w:val="27"/>
          <w:lang w:eastAsia="ru-RU"/>
        </w:rPr>
        <w:t>Tc;</w:t>
      </w:r>
    </w:p>
    <w:p w:rsidR="005674FC" w:rsidRPr="005674FC" w:rsidRDefault="005674FC" w:rsidP="005674FC">
      <w:pPr>
        <w:numPr>
          <w:ilvl w:val="1"/>
          <w:numId w:val="17"/>
        </w:numPr>
        <w:spacing w:after="0" w:line="390" w:lineRule="atLeast"/>
        <w:ind w:left="63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спинномозговую пункцию с последующим цитологическим исследованием спинномозговой жидкости;</w:t>
      </w:r>
    </w:p>
    <w:p w:rsidR="005674FC" w:rsidRPr="005674FC" w:rsidRDefault="005674FC" w:rsidP="005674FC">
      <w:pPr>
        <w:numPr>
          <w:ilvl w:val="1"/>
          <w:numId w:val="17"/>
        </w:numPr>
        <w:spacing w:after="0" w:line="390" w:lineRule="atLeast"/>
        <w:ind w:left="63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Получение цитологического препарата костного мозга путем пункции (не менее, чем из 2-х точек) с последующим цитологическим исследованием мазка костного мозга (миелограмма) (по 3 образца из каждой точки);</w:t>
      </w:r>
    </w:p>
    <w:p w:rsidR="005674FC" w:rsidRPr="005674FC" w:rsidRDefault="005674FC" w:rsidP="005674FC">
      <w:pPr>
        <w:numPr>
          <w:ilvl w:val="1"/>
          <w:numId w:val="17"/>
        </w:numPr>
        <w:spacing w:after="0" w:line="390" w:lineRule="atLeast"/>
        <w:ind w:left="63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пункционную биопсию всех доступных пункции опухолевых очагов с последующим </w:t>
      </w:r>
      <w:r w:rsidRPr="005674FC">
        <w:rPr>
          <w:rFonts w:ascii="Times New Roman" w:eastAsia="Times New Roman" w:hAnsi="Times New Roman" w:cs="Times New Roman"/>
          <w:color w:val="222222"/>
          <w:sz w:val="27"/>
          <w:szCs w:val="27"/>
          <w:lang w:eastAsia="ru-RU"/>
        </w:rPr>
        <w:t>цитологическим исследованием микропрепарата пунктатов опухолей</w:t>
      </w:r>
      <w:r w:rsidRPr="005674FC">
        <w:rPr>
          <w:rFonts w:ascii="Times New Roman" w:eastAsia="Times New Roman" w:hAnsi="Times New Roman" w:cs="Times New Roman"/>
          <w:i/>
          <w:iCs/>
          <w:color w:val="333333"/>
          <w:sz w:val="27"/>
          <w:szCs w:val="27"/>
          <w:lang w:eastAsia="ru-RU"/>
        </w:rPr>
        <w:t>.</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 </w:t>
      </w:r>
      <w:r w:rsidRPr="005674F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5674FC" w:rsidRPr="005674FC" w:rsidRDefault="005674FC" w:rsidP="005674FC">
      <w:pPr>
        <w:spacing w:before="750" w:after="450" w:line="240" w:lineRule="auto"/>
        <w:outlineLvl w:val="1"/>
        <w:rPr>
          <w:rFonts w:ascii="Times New Roman" w:eastAsia="Times New Roman" w:hAnsi="Times New Roman" w:cs="Times New Roman"/>
          <w:b/>
          <w:bCs/>
          <w:color w:val="222222"/>
          <w:sz w:val="33"/>
          <w:szCs w:val="33"/>
          <w:lang w:eastAsia="ru-RU"/>
        </w:rPr>
      </w:pPr>
      <w:r w:rsidRPr="005674FC">
        <w:rPr>
          <w:rFonts w:ascii="Times New Roman" w:eastAsia="Times New Roman" w:hAnsi="Times New Roman" w:cs="Times New Roman"/>
          <w:b/>
          <w:bCs/>
          <w:color w:val="222222"/>
          <w:sz w:val="33"/>
          <w:szCs w:val="33"/>
          <w:lang w:eastAsia="ru-RU"/>
        </w:rPr>
        <w:t>2.5 Иные диагностические исследования</w:t>
      </w:r>
    </w:p>
    <w:p w:rsidR="005674FC" w:rsidRPr="005674FC" w:rsidRDefault="005674FC" w:rsidP="005674FC">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Рекомендуется консультация врача-генетика на этапе первичной диагностики пациенту и всем родственникам первой степени родства </w:t>
      </w:r>
      <w:r w:rsidRPr="005674FC">
        <w:rPr>
          <w:rFonts w:ascii="Times New Roman" w:eastAsia="Times New Roman" w:hAnsi="Times New Roman" w:cs="Times New Roman"/>
          <w:i/>
          <w:iCs/>
          <w:color w:val="333333"/>
          <w:sz w:val="27"/>
          <w:szCs w:val="27"/>
          <w:lang w:eastAsia="ru-RU"/>
        </w:rPr>
        <w:t>[4,5,11]</w:t>
      </w:r>
      <w:r w:rsidRPr="005674FC">
        <w:rPr>
          <w:rFonts w:ascii="Times New Roman" w:eastAsia="Times New Roman" w:hAnsi="Times New Roman" w:cs="Times New Roman"/>
          <w:color w:val="222222"/>
          <w:sz w:val="27"/>
          <w:szCs w:val="27"/>
          <w:lang w:eastAsia="ru-RU"/>
        </w:rPr>
        <w:t>.</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5674FC" w:rsidRPr="005674FC" w:rsidRDefault="005674FC" w:rsidP="005674FC">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lastRenderedPageBreak/>
        <w:t>Рекомендуется комплексное молекулярно-генетическое обследование пациентам и родственникам первой степени родства при выявлении герминальной мутации у пациентов [24].</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Комментарии: </w:t>
      </w:r>
      <w:r w:rsidRPr="005674FC">
        <w:rPr>
          <w:rFonts w:ascii="Times New Roman" w:eastAsia="Times New Roman" w:hAnsi="Times New Roman" w:cs="Times New Roman"/>
          <w:i/>
          <w:iCs/>
          <w:color w:val="333333"/>
          <w:sz w:val="27"/>
          <w:szCs w:val="27"/>
          <w:lang w:eastAsia="ru-RU"/>
        </w:rPr>
        <w:t>Комплексное молекулярно-генетическое обследование включает: методы таргетного высокопроизводительного параллельного секвенирования ДНК для поиска точковых мутаций и коротких инсерций/делеций; мультиплексную амплификацию лигированных зондов (MLPA) для выявления протяженных делеций в гене RB1.</w:t>
      </w:r>
    </w:p>
    <w:p w:rsidR="005674FC" w:rsidRPr="005674FC" w:rsidRDefault="005674FC" w:rsidP="005674F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74FC">
        <w:rPr>
          <w:rFonts w:ascii="Times New Roman" w:eastAsia="Times New Roman" w:hAnsi="Times New Roman" w:cs="Times New Roman"/>
          <w:b/>
          <w:bCs/>
          <w:color w:val="000000"/>
          <w:kern w:val="36"/>
          <w:sz w:val="48"/>
          <w:szCs w:val="48"/>
          <w:lang w:eastAsia="ru-RU"/>
        </w:rPr>
        <w:t>3. Лечение</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Тактика лечения зависит от возраста пациента, стадии заболевания, размера и локализации опухоли, характера роста опухоли, </w:t>
      </w:r>
      <w:r w:rsidRPr="005674FC">
        <w:rPr>
          <w:rFonts w:ascii="Times New Roman" w:eastAsia="Times New Roman" w:hAnsi="Times New Roman" w:cs="Times New Roman"/>
          <w:i/>
          <w:iCs/>
          <w:color w:val="333333"/>
          <w:sz w:val="27"/>
          <w:szCs w:val="27"/>
          <w:lang w:eastAsia="ru-RU"/>
        </w:rPr>
        <w:t>наличия одно- и двустороннего поражения, вторичных осложнений опухолевого процесса (атрофия или субатрофия глаза, катаракта,  повышение внутриглазного давления с неоваскуляризацией радужки и/или с развитием буфтальма;  гифема; гемофтальм; псевдогипопион), наследственности.</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Лечение РБ должно быть мультидисциплинарным: для принятия решения о назначении химиотерапии пациент должен быть консультирован врачом-детским онкологом, для принятия решения о назначении транспупиллярной термотерапии или криодеструкции или брахитерапии необходима также консультация врача-офтальмолога, для назначения и проведения лучевой терапии – врача-радиолога.</w:t>
      </w:r>
    </w:p>
    <w:p w:rsidR="005674FC" w:rsidRPr="005674FC" w:rsidRDefault="005674FC" w:rsidP="005674FC">
      <w:pPr>
        <w:spacing w:before="750" w:after="450" w:line="240" w:lineRule="auto"/>
        <w:outlineLvl w:val="1"/>
        <w:rPr>
          <w:rFonts w:ascii="Times New Roman" w:eastAsia="Times New Roman" w:hAnsi="Times New Roman" w:cs="Times New Roman"/>
          <w:b/>
          <w:bCs/>
          <w:color w:val="222222"/>
          <w:sz w:val="33"/>
          <w:szCs w:val="33"/>
          <w:lang w:eastAsia="ru-RU"/>
        </w:rPr>
      </w:pPr>
      <w:r w:rsidRPr="005674FC">
        <w:rPr>
          <w:rFonts w:ascii="Times New Roman" w:eastAsia="Times New Roman" w:hAnsi="Times New Roman" w:cs="Times New Roman"/>
          <w:b/>
          <w:bCs/>
          <w:color w:val="222222"/>
          <w:sz w:val="33"/>
          <w:szCs w:val="33"/>
          <w:lang w:eastAsia="ru-RU"/>
        </w:rPr>
        <w:t>3.1 Органосохраняющее лечение интраокулярной РБ</w:t>
      </w:r>
    </w:p>
    <w:p w:rsidR="005674FC" w:rsidRPr="005674FC" w:rsidRDefault="005674FC" w:rsidP="005674FC">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Пациентам с интраокулярной РБ группы А рекомендуется локальная офтальмологическая терапия</w:t>
      </w:r>
      <w:r w:rsidRPr="005674FC">
        <w:rPr>
          <w:rFonts w:ascii="Times New Roman" w:eastAsia="Times New Roman" w:hAnsi="Times New Roman" w:cs="Times New Roman"/>
          <w:b/>
          <w:bCs/>
          <w:color w:val="222222"/>
          <w:sz w:val="27"/>
          <w:szCs w:val="27"/>
          <w:lang w:eastAsia="ru-RU"/>
        </w:rPr>
        <w:t> (</w:t>
      </w:r>
      <w:r w:rsidRPr="005674FC">
        <w:rPr>
          <w:rFonts w:ascii="Times New Roman" w:eastAsia="Times New Roman" w:hAnsi="Times New Roman" w:cs="Times New Roman"/>
          <w:color w:val="222222"/>
          <w:sz w:val="27"/>
          <w:szCs w:val="27"/>
          <w:lang w:eastAsia="ru-RU"/>
        </w:rPr>
        <w:t>ЛокТ</w:t>
      </w:r>
      <w:r w:rsidRPr="005674FC">
        <w:rPr>
          <w:rFonts w:ascii="Times New Roman" w:eastAsia="Times New Roman" w:hAnsi="Times New Roman" w:cs="Times New Roman"/>
          <w:b/>
          <w:bCs/>
          <w:color w:val="222222"/>
          <w:sz w:val="27"/>
          <w:szCs w:val="27"/>
          <w:lang w:eastAsia="ru-RU"/>
        </w:rPr>
        <w:t>) с целью разрушения внутриглазной опухоли [25,26].</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lastRenderedPageBreak/>
        <w:t>Комментарии:</w:t>
      </w:r>
      <w:r w:rsidRPr="005674FC">
        <w:rPr>
          <w:rFonts w:ascii="Times New Roman" w:eastAsia="Times New Roman" w:hAnsi="Times New Roman" w:cs="Times New Roman"/>
          <w:color w:val="222222"/>
          <w:sz w:val="27"/>
          <w:szCs w:val="27"/>
          <w:lang w:eastAsia="ru-RU"/>
        </w:rPr>
        <w:t> </w:t>
      </w:r>
      <w:r w:rsidRPr="005674FC">
        <w:rPr>
          <w:rFonts w:ascii="Times New Roman" w:eastAsia="Times New Roman" w:hAnsi="Times New Roman" w:cs="Times New Roman"/>
          <w:i/>
          <w:iCs/>
          <w:color w:val="333333"/>
          <w:sz w:val="27"/>
          <w:szCs w:val="27"/>
          <w:lang w:eastAsia="ru-RU"/>
        </w:rPr>
        <w:t>данной категории пациентов полихимиотерапия (ПХТ) не рекомендуется.</w:t>
      </w:r>
      <w:r w:rsidRPr="005674FC">
        <w:rPr>
          <w:rFonts w:ascii="Times New Roman" w:eastAsia="Times New Roman" w:hAnsi="Times New Roman" w:cs="Times New Roman"/>
          <w:color w:val="222222"/>
          <w:sz w:val="27"/>
          <w:szCs w:val="27"/>
          <w:lang w:eastAsia="ru-RU"/>
        </w:rPr>
        <w:t> </w:t>
      </w:r>
      <w:r w:rsidRPr="005674FC">
        <w:rPr>
          <w:rFonts w:ascii="Times New Roman" w:eastAsia="Times New Roman" w:hAnsi="Times New Roman" w:cs="Times New Roman"/>
          <w:i/>
          <w:iCs/>
          <w:color w:val="333333"/>
          <w:sz w:val="27"/>
          <w:szCs w:val="27"/>
          <w:lang w:eastAsia="ru-RU"/>
        </w:rPr>
        <w:t>Методы ЛокТ (криотерапия, термотерапия, лазеротерапия) эффективны при лечении пациентов с опухолями небольшого размера, но менее эффективны в лечении распространенных процессов.</w:t>
      </w:r>
    </w:p>
    <w:p w:rsidR="005674FC" w:rsidRPr="005674FC" w:rsidRDefault="005674FC" w:rsidP="005674FC">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Рекомендуется пациентам с РБ группы В до 6 курсов двухкомпонентной системной ПХТ в комбинации с ЛокТ или до 3 курсов селективной интраартериальной химиотерапии (СИАХТ) [21,27–30].</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Комментарии:</w:t>
      </w:r>
      <w:r w:rsidRPr="005674FC">
        <w:rPr>
          <w:rFonts w:ascii="Times New Roman" w:eastAsia="Times New Roman" w:hAnsi="Times New Roman" w:cs="Times New Roman"/>
          <w:color w:val="222222"/>
          <w:sz w:val="27"/>
          <w:szCs w:val="27"/>
          <w:lang w:eastAsia="ru-RU"/>
        </w:rPr>
        <w:t> </w:t>
      </w:r>
      <w:r w:rsidRPr="005674FC">
        <w:rPr>
          <w:rFonts w:ascii="Times New Roman" w:eastAsia="Times New Roman" w:hAnsi="Times New Roman" w:cs="Times New Roman"/>
          <w:i/>
          <w:iCs/>
          <w:color w:val="333333"/>
          <w:sz w:val="27"/>
          <w:szCs w:val="27"/>
          <w:lang w:eastAsia="ru-RU"/>
        </w:rPr>
        <w:t>к данной группе относят пациентов с односторонней РБ – опухоль(ли) группы В в одном глазу; двусторонней РБ – опухоль(ли) группы В в обоих глазах; двусторонней РБ – опухоль группы А в одном глазу и опухоль(ли) группы В в другом глазу; двусторонней РБ – опухоль группы Е в удаленном глазу и опухоль(ли) группы В в оставшемся глазу на момент энуклеации более пораженного глаза с гистологическими факторами стандартного риска. Рекомендуется согласовывать назначение ПХТ с врачом – детским онкологом детских онкологических клиник.</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Двухкомпонентная системная ПХТ (продолжительность 1 курса 21 день) [29]:</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#Винкристин** – 0,05 мг/кг в/в в 1-й день</w:t>
      </w:r>
      <w:bookmarkStart w:id="1" w:name="_ftnref3"/>
      <w:bookmarkEnd w:id="1"/>
      <w:r w:rsidRPr="005674FC">
        <w:rPr>
          <w:rFonts w:ascii="Times New Roman" w:eastAsia="Times New Roman" w:hAnsi="Times New Roman" w:cs="Times New Roman"/>
          <w:i/>
          <w:iCs/>
          <w:color w:val="333333"/>
          <w:sz w:val="27"/>
          <w:szCs w:val="27"/>
          <w:lang w:eastAsia="ru-RU"/>
        </w:rPr>
        <w:t> (здесь и далее – разовая доза винкристина** не должна превышать 2 мг);</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#Карбоплатин** – 560 мг/м</w:t>
      </w:r>
      <w:r w:rsidRPr="005674FC">
        <w:rPr>
          <w:rFonts w:ascii="Times New Roman" w:eastAsia="Times New Roman" w:hAnsi="Times New Roman" w:cs="Times New Roman"/>
          <w:i/>
          <w:iCs/>
          <w:color w:val="333333"/>
          <w:sz w:val="20"/>
          <w:szCs w:val="20"/>
          <w:vertAlign w:val="superscript"/>
          <w:lang w:eastAsia="ru-RU"/>
        </w:rPr>
        <w:t>2 </w:t>
      </w:r>
      <w:r w:rsidRPr="005674FC">
        <w:rPr>
          <w:rFonts w:ascii="Times New Roman" w:eastAsia="Times New Roman" w:hAnsi="Times New Roman" w:cs="Times New Roman"/>
          <w:i/>
          <w:iCs/>
          <w:color w:val="333333"/>
          <w:sz w:val="27"/>
          <w:szCs w:val="27"/>
          <w:lang w:eastAsia="ru-RU"/>
        </w:rPr>
        <w:t>в/в в 1-й день (для детей тяжелее 12 кг) или 18,7 мг/кг (для детей легче 12 кг [31]).</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Для оценки ответа на системную ПХТ пациентам проводится один курс химиотерапии по описанной выше схеме без дополнительного локального лечения. После первого курса выполняется офтальмоскопия с оценкой эффекта, что повторяется не реже, чем через каждые 2 курса лечения. Всего назначается до 6 курсов. Начиная со 2-го курса системная ПХТ после 2 курса сочетается с дополнительным локальным лечением. ЛокТ (криодеструкция, лазерное лечение, брахитерапия) проводится в офтальмологических отделениях онкологического профиля [27].</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Для первичной СИАХТ используется от 3 до 7,5 мг #мелфалана** для каждого глаза в возрастных дозировках </w:t>
      </w:r>
      <w:r w:rsidRPr="005674FC">
        <w:rPr>
          <w:rFonts w:ascii="Times New Roman" w:eastAsia="Times New Roman" w:hAnsi="Times New Roman" w:cs="Times New Roman"/>
          <w:color w:val="222222"/>
          <w:sz w:val="27"/>
          <w:szCs w:val="27"/>
          <w:lang w:eastAsia="ru-RU"/>
        </w:rPr>
        <w:t>[28,30]</w:t>
      </w:r>
      <w:r w:rsidRPr="005674FC">
        <w:rPr>
          <w:rFonts w:ascii="Times New Roman" w:eastAsia="Times New Roman" w:hAnsi="Times New Roman" w:cs="Times New Roman"/>
          <w:i/>
          <w:iCs/>
          <w:color w:val="333333"/>
          <w:sz w:val="27"/>
          <w:szCs w:val="27"/>
          <w:lang w:eastAsia="ru-RU"/>
        </w:rPr>
        <w:t>.</w:t>
      </w:r>
    </w:p>
    <w:p w:rsidR="005674FC" w:rsidRPr="005674FC" w:rsidRDefault="005674FC" w:rsidP="005674FC">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Пациентам с отсутствием регрессии  или при внутриглазной прогрессии опухоли на фоне лечения рекомендуется ЛокХТ чередовать с ЛокТ [32].</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C</w:t>
      </w:r>
      <w:r w:rsidRPr="005674FC">
        <w:rPr>
          <w:rFonts w:ascii="Times New Roman" w:eastAsia="Times New Roman" w:hAnsi="Times New Roman" w:cs="Times New Roman"/>
          <w:color w:val="222222"/>
          <w:sz w:val="27"/>
          <w:szCs w:val="27"/>
          <w:lang w:eastAsia="ru-RU"/>
        </w:rPr>
        <w:t> </w:t>
      </w:r>
      <w:r w:rsidRPr="005674FC">
        <w:rPr>
          <w:rFonts w:ascii="Times New Roman" w:eastAsia="Times New Roman" w:hAnsi="Times New Roman" w:cs="Times New Roman"/>
          <w:b/>
          <w:bCs/>
          <w:color w:val="222222"/>
          <w:sz w:val="27"/>
          <w:szCs w:val="27"/>
          <w:lang w:eastAsia="ru-RU"/>
        </w:rPr>
        <w:t>(уровень достоверности доказательств – 5).</w:t>
      </w:r>
    </w:p>
    <w:p w:rsidR="005674FC" w:rsidRPr="005674FC" w:rsidRDefault="005674FC" w:rsidP="005674FC">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lastRenderedPageBreak/>
        <w:t>Пациентам с продолжающейся внутриглазной прогрессией опухоли после использования ПХТ, ЛокХТ и ЛокТ, не позволяющей повторно применять органосохраняющие методы лечения из-за угрозы экстраокулярного распространения опухоли, рекомендуется стандартное лечение, включающее энуклеацию глаза [32–34].</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5674FC" w:rsidRPr="005674FC" w:rsidRDefault="005674FC" w:rsidP="005674FC">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Рекомендуется рассмотреть вопрос о назначении второй линии системной ПХТ при прогрессии или отсутствии эффекта на проведенное лечение [35].</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5674FC" w:rsidRPr="005674FC" w:rsidRDefault="005674FC" w:rsidP="005674FC">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Рекомендуется до 6 курсов трехкомпонентной ПХТ или 3 курса СИАХТ в среднем для лечения каждого глаза пациентам с интраокулярной РБ групп С и Д [36].</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Комментарий:</w:t>
      </w:r>
      <w:r w:rsidRPr="005674FC">
        <w:rPr>
          <w:rFonts w:ascii="Times New Roman" w:eastAsia="Times New Roman" w:hAnsi="Times New Roman" w:cs="Times New Roman"/>
          <w:color w:val="222222"/>
          <w:sz w:val="27"/>
          <w:szCs w:val="27"/>
          <w:lang w:eastAsia="ru-RU"/>
        </w:rPr>
        <w:t> </w:t>
      </w:r>
      <w:r w:rsidRPr="005674FC">
        <w:rPr>
          <w:rFonts w:ascii="Times New Roman" w:eastAsia="Times New Roman" w:hAnsi="Times New Roman" w:cs="Times New Roman"/>
          <w:i/>
          <w:iCs/>
          <w:color w:val="333333"/>
          <w:sz w:val="27"/>
          <w:szCs w:val="27"/>
          <w:lang w:eastAsia="ru-RU"/>
        </w:rPr>
        <w:t>к данным группам относят пациентов с одно- и двусторонней РБ, у которых, как минимум, в одном глазу отмечается распространение опухоли в соответствии с классификацией для групп С или D, подтвержденная в ходе офтальмологического осмотра, проведенного не позднее трех недель до момента включения в исследование. Пациентам может быть проведена энуклеация одного глаза, если опухоль во втором глазу имеет распространение, характерное для групп С или D, при этом в анамнезе у пациентов отсутствует химио- или лучевая терапии. Лечения показано пациентам, у которых выявлены патоморфологические критерии стандартного и среднего риска в удаленном глазу.</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Трехкомпонентная системная ПХТ</w:t>
      </w:r>
      <w:r w:rsidRPr="005674FC">
        <w:rPr>
          <w:rFonts w:ascii="Times New Roman" w:eastAsia="Times New Roman" w:hAnsi="Times New Roman" w:cs="Times New Roman"/>
          <w:color w:val="222222"/>
          <w:sz w:val="27"/>
          <w:szCs w:val="27"/>
          <w:lang w:eastAsia="ru-RU"/>
        </w:rPr>
        <w:t> [7]</w:t>
      </w:r>
      <w:r w:rsidRPr="005674FC">
        <w:rPr>
          <w:rFonts w:ascii="Times New Roman" w:eastAsia="Times New Roman" w:hAnsi="Times New Roman" w:cs="Times New Roman"/>
          <w:i/>
          <w:iCs/>
          <w:color w:val="333333"/>
          <w:sz w:val="27"/>
          <w:szCs w:val="27"/>
          <w:lang w:eastAsia="ru-RU"/>
        </w:rPr>
        <w:t>:</w:t>
      </w:r>
    </w:p>
    <w:p w:rsidR="005674FC" w:rsidRPr="005674FC" w:rsidRDefault="005674FC" w:rsidP="005674FC">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#Винкристин** — 1,5 мг/м</w:t>
      </w:r>
      <w:r w:rsidRPr="005674FC">
        <w:rPr>
          <w:rFonts w:ascii="Times New Roman" w:eastAsia="Times New Roman" w:hAnsi="Times New Roman" w:cs="Times New Roman"/>
          <w:i/>
          <w:iCs/>
          <w:color w:val="333333"/>
          <w:sz w:val="20"/>
          <w:szCs w:val="20"/>
          <w:vertAlign w:val="superscript"/>
          <w:lang w:eastAsia="ru-RU"/>
        </w:rPr>
        <w:t>2</w:t>
      </w:r>
      <w:r w:rsidRPr="005674FC">
        <w:rPr>
          <w:rFonts w:ascii="Times New Roman" w:eastAsia="Times New Roman" w:hAnsi="Times New Roman" w:cs="Times New Roman"/>
          <w:i/>
          <w:iCs/>
          <w:color w:val="333333"/>
          <w:sz w:val="27"/>
          <w:szCs w:val="27"/>
          <w:lang w:eastAsia="ru-RU"/>
        </w:rPr>
        <w:t> в/в в 1-й день;</w:t>
      </w:r>
    </w:p>
    <w:p w:rsidR="005674FC" w:rsidRPr="005674FC" w:rsidRDefault="005674FC" w:rsidP="005674FC">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#Этопозид** — 150 мг/м</w:t>
      </w:r>
      <w:r w:rsidRPr="005674FC">
        <w:rPr>
          <w:rFonts w:ascii="Times New Roman" w:eastAsia="Times New Roman" w:hAnsi="Times New Roman" w:cs="Times New Roman"/>
          <w:i/>
          <w:iCs/>
          <w:color w:val="333333"/>
          <w:sz w:val="20"/>
          <w:szCs w:val="20"/>
          <w:vertAlign w:val="superscript"/>
          <w:lang w:eastAsia="ru-RU"/>
        </w:rPr>
        <w:t>2 </w:t>
      </w:r>
      <w:r w:rsidRPr="005674FC">
        <w:rPr>
          <w:rFonts w:ascii="Times New Roman" w:eastAsia="Times New Roman" w:hAnsi="Times New Roman" w:cs="Times New Roman"/>
          <w:i/>
          <w:iCs/>
          <w:color w:val="333333"/>
          <w:sz w:val="27"/>
          <w:szCs w:val="27"/>
          <w:lang w:eastAsia="ru-RU"/>
        </w:rPr>
        <w:t>в/в в 1 -й и 2-й дни;</w:t>
      </w:r>
    </w:p>
    <w:p w:rsidR="005674FC" w:rsidRPr="005674FC" w:rsidRDefault="005674FC" w:rsidP="005674FC">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#Карбоплатин** — 560 мг/м</w:t>
      </w:r>
      <w:r w:rsidRPr="005674FC">
        <w:rPr>
          <w:rFonts w:ascii="Times New Roman" w:eastAsia="Times New Roman" w:hAnsi="Times New Roman" w:cs="Times New Roman"/>
          <w:i/>
          <w:iCs/>
          <w:color w:val="333333"/>
          <w:sz w:val="20"/>
          <w:szCs w:val="20"/>
          <w:vertAlign w:val="superscript"/>
          <w:lang w:eastAsia="ru-RU"/>
        </w:rPr>
        <w:t>2</w:t>
      </w:r>
      <w:r w:rsidRPr="005674FC">
        <w:rPr>
          <w:rFonts w:ascii="Times New Roman" w:eastAsia="Times New Roman" w:hAnsi="Times New Roman" w:cs="Times New Roman"/>
          <w:i/>
          <w:iCs/>
          <w:color w:val="333333"/>
          <w:sz w:val="27"/>
          <w:szCs w:val="27"/>
          <w:lang w:eastAsia="ru-RU"/>
        </w:rPr>
        <w:t> в/в в 1-й день.</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Пациентам в возрасте до 36 мес. дозу рассчитывают на 1 кг массы тела:</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#винкристин** — 0,05 мг/кг, #карбоплатин **— 18,6 мг/кг, #этопозид** — 5 мг/кг</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ЛокТ могут быть впервые проведены после завершения 2 курса системной ПХТ (с 21 по 28 день) до локальной химиотерапии (ЛокХТ). Со 2 по 4 курсы системной ПХТ, сочетающиеся с локальной химиотерапией, ЛокТ проводится перед ЛокХТ.</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lastRenderedPageBreak/>
        <w:t>Брахитерапия и криодеструкция не должны проводиться одновременно с селективной интраартериальной химиотерапией (СИАХТ), а также менее, чем за 1 мес. до или после СИАХТ. При первичной СИАХТ без применения трехкомпонентной ПХТ используется от 3 до 7,5 мг #мелфалана**  для каждого глаза в зависимости от возраста </w:t>
      </w:r>
      <w:r w:rsidRPr="005674FC">
        <w:rPr>
          <w:rFonts w:ascii="Times New Roman" w:eastAsia="Times New Roman" w:hAnsi="Times New Roman" w:cs="Times New Roman"/>
          <w:color w:val="222222"/>
          <w:sz w:val="27"/>
          <w:szCs w:val="27"/>
          <w:lang w:eastAsia="ru-RU"/>
        </w:rPr>
        <w:t>[28,30]</w:t>
      </w:r>
      <w:r w:rsidRPr="005674FC">
        <w:rPr>
          <w:rFonts w:ascii="Times New Roman" w:eastAsia="Times New Roman" w:hAnsi="Times New Roman" w:cs="Times New Roman"/>
          <w:i/>
          <w:iCs/>
          <w:color w:val="333333"/>
          <w:sz w:val="27"/>
          <w:szCs w:val="27"/>
          <w:lang w:eastAsia="ru-RU"/>
        </w:rPr>
        <w:t>.</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Процедура СИАХТ должна проводиться в условиях медицинского учреждения федерального уровня в рентгенхирургической операционной отделения интервенционной радиологии с использованием современного анестезиологического пособия не ранее 21 дня и не позднее 28 дня от момента начала предыдущего курса полихимиотерапии. Лазерное лечение может сочетаться с ЛокХТ. При необходимости ЛокТ и ЛокХТ повторяется.</w:t>
      </w:r>
    </w:p>
    <w:p w:rsidR="005674FC" w:rsidRPr="005674FC" w:rsidRDefault="005674FC" w:rsidP="005674FC">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Рекомендуется назначение второй линии системной ПХТ химиопрепаратами, широко используемыми в лечении пациентов с детскими солидными опухолями, в том числе РБ в случае  прогрессии (рецидиве) или отсутствии эффекта на проведенное лечение в случае невозможности ЛокХТ, а также после энуклеации в соответствии с гистологическими критериями среднего и высокого риска [21].</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Комментарии: </w:t>
      </w:r>
      <w:r w:rsidRPr="005674FC">
        <w:rPr>
          <w:rFonts w:ascii="Times New Roman" w:eastAsia="Times New Roman" w:hAnsi="Times New Roman" w:cs="Times New Roman"/>
          <w:i/>
          <w:iCs/>
          <w:color w:val="333333"/>
          <w:sz w:val="27"/>
          <w:szCs w:val="27"/>
          <w:lang w:eastAsia="ru-RU"/>
        </w:rPr>
        <w:t>Перечисленные ниже препараты используются в практике лечения пациентов с РБ.</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Вторая линии ПХТ:</w:t>
      </w:r>
    </w:p>
    <w:p w:rsidR="005674FC" w:rsidRPr="005674FC" w:rsidRDefault="005674FC" w:rsidP="005674FC">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#Ифосфамид** 1,8 г/м</w:t>
      </w:r>
      <w:r w:rsidRPr="005674FC">
        <w:rPr>
          <w:rFonts w:ascii="Times New Roman" w:eastAsia="Times New Roman" w:hAnsi="Times New Roman" w:cs="Times New Roman"/>
          <w:i/>
          <w:iCs/>
          <w:color w:val="333333"/>
          <w:sz w:val="20"/>
          <w:szCs w:val="20"/>
          <w:vertAlign w:val="superscript"/>
          <w:lang w:eastAsia="ru-RU"/>
        </w:rPr>
        <w:t>2</w:t>
      </w:r>
      <w:r w:rsidRPr="005674FC">
        <w:rPr>
          <w:rFonts w:ascii="Times New Roman" w:eastAsia="Times New Roman" w:hAnsi="Times New Roman" w:cs="Times New Roman"/>
          <w:i/>
          <w:iCs/>
          <w:color w:val="333333"/>
          <w:sz w:val="27"/>
          <w:szCs w:val="27"/>
          <w:lang w:eastAsia="ru-RU"/>
        </w:rPr>
        <w:t> (при массе тела до 12 кг – 60 мг/кг) в/в в 1, 2, 3, 4 и 5-й дни</w:t>
      </w:r>
    </w:p>
    <w:p w:rsidR="005674FC" w:rsidRPr="005674FC" w:rsidRDefault="005674FC" w:rsidP="005674FC">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Доксорубицин** 20 мг/м</w:t>
      </w:r>
      <w:r w:rsidRPr="005674FC">
        <w:rPr>
          <w:rFonts w:ascii="Times New Roman" w:eastAsia="Times New Roman" w:hAnsi="Times New Roman" w:cs="Times New Roman"/>
          <w:i/>
          <w:iCs/>
          <w:color w:val="333333"/>
          <w:sz w:val="20"/>
          <w:szCs w:val="20"/>
          <w:vertAlign w:val="superscript"/>
          <w:lang w:eastAsia="ru-RU"/>
        </w:rPr>
        <w:t>2</w:t>
      </w:r>
      <w:r w:rsidRPr="005674FC">
        <w:rPr>
          <w:rFonts w:ascii="Times New Roman" w:eastAsia="Times New Roman" w:hAnsi="Times New Roman" w:cs="Times New Roman"/>
          <w:i/>
          <w:iCs/>
          <w:color w:val="333333"/>
          <w:sz w:val="27"/>
          <w:szCs w:val="27"/>
          <w:lang w:eastAsia="ru-RU"/>
        </w:rPr>
        <w:t> (при массе тела до 12 кг – 1 мг/кг) в/в во 2 и 4-й дни</w:t>
      </w:r>
    </w:p>
    <w:p w:rsidR="005674FC" w:rsidRPr="005674FC" w:rsidRDefault="005674FC" w:rsidP="005674FC">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#Винкристин ** 1, 5 мг/м</w:t>
      </w:r>
      <w:r w:rsidRPr="005674FC">
        <w:rPr>
          <w:rFonts w:ascii="Times New Roman" w:eastAsia="Times New Roman" w:hAnsi="Times New Roman" w:cs="Times New Roman"/>
          <w:i/>
          <w:iCs/>
          <w:color w:val="333333"/>
          <w:sz w:val="20"/>
          <w:szCs w:val="20"/>
          <w:vertAlign w:val="superscript"/>
          <w:lang w:eastAsia="ru-RU"/>
        </w:rPr>
        <w:t>2</w:t>
      </w:r>
      <w:r w:rsidRPr="005674FC">
        <w:rPr>
          <w:rFonts w:ascii="Times New Roman" w:eastAsia="Times New Roman" w:hAnsi="Times New Roman" w:cs="Times New Roman"/>
          <w:i/>
          <w:iCs/>
          <w:color w:val="333333"/>
          <w:sz w:val="27"/>
          <w:szCs w:val="27"/>
          <w:lang w:eastAsia="ru-RU"/>
        </w:rPr>
        <w:t> (в возрасте до 36 месяцев – 0,05 мг/кг) в/в в 1, 8 и 15-й дни.</w:t>
      </w:r>
    </w:p>
    <w:p w:rsidR="005674FC" w:rsidRPr="005674FC" w:rsidRDefault="005674FC" w:rsidP="005674FC">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Селективную интраартериальную химиотерапию (СИАХТ) в составе трехкомпонентной ПХТ рекомендуется проводить не ранее, чем после 1 курса системной ПХТ [35].   </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Комментарий:</w:t>
      </w:r>
      <w:r w:rsidRPr="005674FC">
        <w:rPr>
          <w:rFonts w:ascii="Times New Roman" w:eastAsia="Times New Roman" w:hAnsi="Times New Roman" w:cs="Times New Roman"/>
          <w:color w:val="222222"/>
          <w:sz w:val="27"/>
          <w:szCs w:val="27"/>
          <w:lang w:eastAsia="ru-RU"/>
        </w:rPr>
        <w:t> </w:t>
      </w:r>
      <w:r w:rsidRPr="005674FC">
        <w:rPr>
          <w:rFonts w:ascii="Times New Roman" w:eastAsia="Times New Roman" w:hAnsi="Times New Roman" w:cs="Times New Roman"/>
          <w:i/>
          <w:iCs/>
          <w:color w:val="333333"/>
          <w:sz w:val="27"/>
          <w:szCs w:val="27"/>
          <w:lang w:eastAsia="ru-RU"/>
        </w:rPr>
        <w:t>СИАХТ позволяет минимизировать системное воздействие химиотерапии на организм, при этом в опухоли достигается высокая концентрация химиопрепаратов.</w:t>
      </w:r>
    </w:p>
    <w:p w:rsidR="005674FC" w:rsidRPr="005674FC" w:rsidRDefault="005674FC" w:rsidP="005674FC">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lastRenderedPageBreak/>
        <w:t>Рекомендуется применять СИАХТ при первичных интраокулярных РБ групп В, С, D, а также при рецидивных и резистентных интраокулярных РБ в качестве альтернативы ЛТ и энуклеации [28,35,37–44].</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Комментарии:</w:t>
      </w:r>
      <w:r w:rsidRPr="005674FC">
        <w:rPr>
          <w:rFonts w:ascii="Times New Roman" w:eastAsia="Times New Roman" w:hAnsi="Times New Roman" w:cs="Times New Roman"/>
          <w:color w:val="222222"/>
          <w:sz w:val="27"/>
          <w:szCs w:val="27"/>
          <w:lang w:eastAsia="ru-RU"/>
        </w:rPr>
        <w:t> </w:t>
      </w:r>
      <w:r w:rsidRPr="005674FC">
        <w:rPr>
          <w:rFonts w:ascii="Times New Roman" w:eastAsia="Times New Roman" w:hAnsi="Times New Roman" w:cs="Times New Roman"/>
          <w:i/>
          <w:iCs/>
          <w:color w:val="333333"/>
          <w:sz w:val="27"/>
          <w:szCs w:val="27"/>
          <w:lang w:eastAsia="ru-RU"/>
        </w:rPr>
        <w:t>при резистентных и рецидивных интраокулярных РБ при СИАХТ применяются два и более химиопрепарата (#мелфалан**, #карбоплатин**) - при отсутствии вторичных осложнений опухолевого процесса: атрофия или субатрофия глаза; катаракта;  повышение внутриглазного давления с неоваскуляризацией радужки и/или с развитием буфтальма;  гифема;  гемофтальм; псевдогипопион.</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В каждом случае возможность проведения СИАХТ определяется после консультации врача - офтальмолога и врача - детского онколога, методику доставки химиопрепарата к опухоли определяет врач-радиолог или врач-радиотерапевт.</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Существуют две методики проведения СИАХТ:</w:t>
      </w:r>
    </w:p>
    <w:p w:rsidR="005674FC" w:rsidRPr="005674FC" w:rsidRDefault="005674FC" w:rsidP="005674FC">
      <w:pPr>
        <w:numPr>
          <w:ilvl w:val="0"/>
          <w:numId w:val="31"/>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Микрокатетерная техника – суперселективная катетеризация с помощью микрокатетера глазной артерии/коллатеральных ветвей наружной сонной артерии при гемодинамическом перераспределении кровотока;</w:t>
      </w:r>
    </w:p>
    <w:p w:rsidR="005674FC" w:rsidRPr="005674FC" w:rsidRDefault="005674FC" w:rsidP="005674FC">
      <w:pPr>
        <w:numPr>
          <w:ilvl w:val="0"/>
          <w:numId w:val="31"/>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Микробаллонная техника – с помощью специального окклюдера внутрисосудистого производится временная остановка кровотока в бассейне внутренней сонной артерии дистальнее места отхождения глазной (левой или правой) артерии с введением химиопрепарата проксимальнее окклюдера.</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Возможные осложнения и побочные эффекты:</w:t>
      </w:r>
    </w:p>
    <w:p w:rsidR="005674FC" w:rsidRPr="005674FC" w:rsidRDefault="005674FC" w:rsidP="005674FC">
      <w:pPr>
        <w:numPr>
          <w:ilvl w:val="0"/>
          <w:numId w:val="32"/>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Транзиторный отек и гиперемия век разной степени выраженности;</w:t>
      </w:r>
    </w:p>
    <w:p w:rsidR="005674FC" w:rsidRPr="005674FC" w:rsidRDefault="005674FC" w:rsidP="005674FC">
      <w:pPr>
        <w:numPr>
          <w:ilvl w:val="0"/>
          <w:numId w:val="32"/>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Транзиторная инъекция конъюнктивы глазного яблока;</w:t>
      </w:r>
    </w:p>
    <w:p w:rsidR="005674FC" w:rsidRPr="005674FC" w:rsidRDefault="005674FC" w:rsidP="005674FC">
      <w:pPr>
        <w:numPr>
          <w:ilvl w:val="0"/>
          <w:numId w:val="32"/>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Кратковременная анизокория;</w:t>
      </w:r>
    </w:p>
    <w:p w:rsidR="005674FC" w:rsidRPr="005674FC" w:rsidRDefault="005674FC" w:rsidP="005674FC">
      <w:pPr>
        <w:numPr>
          <w:ilvl w:val="0"/>
          <w:numId w:val="32"/>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Спазм центральной артерии сетчатки (ЦАС);</w:t>
      </w:r>
    </w:p>
    <w:p w:rsidR="005674FC" w:rsidRPr="005674FC" w:rsidRDefault="005674FC" w:rsidP="005674FC">
      <w:pPr>
        <w:numPr>
          <w:ilvl w:val="0"/>
          <w:numId w:val="32"/>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Тотальная отслойка сетчатки;</w:t>
      </w:r>
    </w:p>
    <w:p w:rsidR="005674FC" w:rsidRPr="005674FC" w:rsidRDefault="005674FC" w:rsidP="005674FC">
      <w:pPr>
        <w:numPr>
          <w:ilvl w:val="0"/>
          <w:numId w:val="32"/>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Экзофтальм;</w:t>
      </w:r>
    </w:p>
    <w:p w:rsidR="005674FC" w:rsidRPr="005674FC" w:rsidRDefault="005674FC" w:rsidP="005674FC">
      <w:pPr>
        <w:numPr>
          <w:ilvl w:val="0"/>
          <w:numId w:val="32"/>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Синдром «верхушки орбиты»;</w:t>
      </w:r>
    </w:p>
    <w:p w:rsidR="005674FC" w:rsidRPr="005674FC" w:rsidRDefault="005674FC" w:rsidP="005674FC">
      <w:pPr>
        <w:numPr>
          <w:ilvl w:val="0"/>
          <w:numId w:val="32"/>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Девиация глаза;</w:t>
      </w:r>
    </w:p>
    <w:p w:rsidR="005674FC" w:rsidRPr="005674FC" w:rsidRDefault="005674FC" w:rsidP="005674FC">
      <w:pPr>
        <w:numPr>
          <w:ilvl w:val="0"/>
          <w:numId w:val="32"/>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Атрофия ДЗН;</w:t>
      </w:r>
    </w:p>
    <w:p w:rsidR="005674FC" w:rsidRPr="005674FC" w:rsidRDefault="005674FC" w:rsidP="005674FC">
      <w:pPr>
        <w:numPr>
          <w:ilvl w:val="0"/>
          <w:numId w:val="32"/>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Хориоретинальная атрофия;</w:t>
      </w:r>
    </w:p>
    <w:p w:rsidR="005674FC" w:rsidRPr="005674FC" w:rsidRDefault="005674FC" w:rsidP="005674FC">
      <w:pPr>
        <w:numPr>
          <w:ilvl w:val="0"/>
          <w:numId w:val="32"/>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Острое нарушение мозгового кровообращения.</w:t>
      </w:r>
    </w:p>
    <w:p w:rsidR="005674FC" w:rsidRPr="005674FC" w:rsidRDefault="005674FC" w:rsidP="005674FC">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lastRenderedPageBreak/>
        <w:t>Интравитеральная химиотерапия (ИВХТ) рекомендуется при эндофитном и смешанном характере роста опухоли, с отсевами в стекловидном теле, а также при появлении новых ретинальных очагов и отсевов в стекловидном теле на фоне и по окончании лечения [35,45,46].</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Комментарии:</w:t>
      </w:r>
      <w:r w:rsidRPr="005674FC">
        <w:rPr>
          <w:rFonts w:ascii="Times New Roman" w:eastAsia="Times New Roman" w:hAnsi="Times New Roman" w:cs="Times New Roman"/>
          <w:color w:val="222222"/>
          <w:sz w:val="27"/>
          <w:szCs w:val="27"/>
          <w:lang w:eastAsia="ru-RU"/>
        </w:rPr>
        <w:t> </w:t>
      </w:r>
      <w:r w:rsidRPr="005674FC">
        <w:rPr>
          <w:rFonts w:ascii="Times New Roman" w:eastAsia="Times New Roman" w:hAnsi="Times New Roman" w:cs="Times New Roman"/>
          <w:i/>
          <w:iCs/>
          <w:color w:val="333333"/>
          <w:sz w:val="27"/>
          <w:szCs w:val="27"/>
          <w:lang w:eastAsia="ru-RU"/>
        </w:rPr>
        <w:t>ИВХТ – введение химиопрепарата в стекловидное тело проводится в медицинском учреждении федерального уровня в условиях операционной отделения офтальмоонкологического профиля. Осложнения: хориоретинальная дистрофия различной степени вплоть до атрофии, кольцевидное помутнение задней капсулы хрусталика, снижение остроты зрения</w:t>
      </w:r>
    </w:p>
    <w:p w:rsidR="005674FC" w:rsidRPr="005674FC" w:rsidRDefault="005674FC" w:rsidP="005674FC">
      <w:pPr>
        <w:spacing w:before="750" w:after="450" w:line="240" w:lineRule="auto"/>
        <w:outlineLvl w:val="1"/>
        <w:rPr>
          <w:rFonts w:ascii="Times New Roman" w:eastAsia="Times New Roman" w:hAnsi="Times New Roman" w:cs="Times New Roman"/>
          <w:b/>
          <w:bCs/>
          <w:color w:val="222222"/>
          <w:sz w:val="33"/>
          <w:szCs w:val="33"/>
          <w:lang w:eastAsia="ru-RU"/>
        </w:rPr>
      </w:pPr>
      <w:r w:rsidRPr="005674FC">
        <w:rPr>
          <w:rFonts w:ascii="Times New Roman" w:eastAsia="Times New Roman" w:hAnsi="Times New Roman" w:cs="Times New Roman"/>
          <w:b/>
          <w:bCs/>
          <w:color w:val="222222"/>
          <w:sz w:val="33"/>
          <w:szCs w:val="33"/>
          <w:lang w:eastAsia="ru-RU"/>
        </w:rPr>
        <w:t>3.2. Лечение детей с односторонней РБ после первичной энуклеации</w:t>
      </w:r>
    </w:p>
    <w:p w:rsidR="005674FC" w:rsidRPr="005674FC" w:rsidRDefault="005674FC" w:rsidP="005674FC">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Рекомендуется определение критериев гистологического риска для планирования лечения в случае энуклеации глаза, поскольку они являются основными факторами прогноза при первичном удалении глаза у пациентов группы Е (табл. 1) [25,35,47–53].</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Комментарии:</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i/>
          <w:iCs/>
          <w:color w:val="333333"/>
          <w:sz w:val="27"/>
          <w:szCs w:val="27"/>
          <w:lang w:eastAsia="ru-RU"/>
        </w:rPr>
        <w:t>Таблица 1 </w:t>
      </w:r>
      <w:r w:rsidRPr="005674FC">
        <w:rPr>
          <w:rFonts w:ascii="Times New Roman" w:eastAsia="Times New Roman" w:hAnsi="Times New Roman" w:cs="Times New Roman"/>
          <w:i/>
          <w:iCs/>
          <w:color w:val="333333"/>
          <w:sz w:val="27"/>
          <w:szCs w:val="27"/>
          <w:lang w:eastAsia="ru-RU"/>
        </w:rPr>
        <w:t>– Гистологические критерии и их характеристики</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48"/>
        <w:gridCol w:w="6791"/>
      </w:tblGrid>
      <w:tr w:rsidR="005674FC" w:rsidRPr="005674FC" w:rsidTr="005674FC">
        <w:tc>
          <w:tcPr>
            <w:tcW w:w="13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i/>
                <w:iCs/>
                <w:color w:val="333333"/>
                <w:sz w:val="27"/>
                <w:szCs w:val="27"/>
                <w:lang w:eastAsia="ru-RU"/>
              </w:rPr>
              <w:t>Группа риска</w:t>
            </w:r>
          </w:p>
        </w:tc>
        <w:tc>
          <w:tcPr>
            <w:tcW w:w="36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i/>
                <w:iCs/>
                <w:color w:val="333333"/>
                <w:sz w:val="27"/>
                <w:szCs w:val="27"/>
                <w:lang w:eastAsia="ru-RU"/>
              </w:rPr>
              <w:t>Критерии и их характеристики</w:t>
            </w:r>
          </w:p>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i/>
                <w:iCs/>
                <w:color w:val="333333"/>
                <w:sz w:val="27"/>
                <w:szCs w:val="27"/>
                <w:lang w:eastAsia="ru-RU"/>
              </w:rPr>
              <w:t> </w:t>
            </w:r>
          </w:p>
        </w:tc>
      </w:tr>
      <w:tr w:rsidR="005674FC" w:rsidRPr="005674FC" w:rsidTr="005674FC">
        <w:tc>
          <w:tcPr>
            <w:tcW w:w="13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i/>
                <w:iCs/>
                <w:color w:val="333333"/>
                <w:sz w:val="27"/>
                <w:szCs w:val="27"/>
                <w:lang w:eastAsia="ru-RU"/>
              </w:rPr>
              <w:t>Стандартный риск</w:t>
            </w:r>
          </w:p>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i/>
                <w:iCs/>
                <w:color w:val="333333"/>
                <w:sz w:val="27"/>
                <w:szCs w:val="27"/>
                <w:lang w:eastAsia="ru-RU"/>
              </w:rPr>
              <w:t> </w:t>
            </w:r>
          </w:p>
        </w:tc>
        <w:tc>
          <w:tcPr>
            <w:tcW w:w="36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i/>
                <w:iCs/>
                <w:color w:val="333333"/>
                <w:sz w:val="27"/>
                <w:szCs w:val="27"/>
                <w:lang w:eastAsia="ru-RU"/>
              </w:rPr>
              <w:t>Отсутствие или минимальная опухолевая инвазия хориоидеи или преламинарная инвазия зрительного нерва</w:t>
            </w:r>
          </w:p>
        </w:tc>
      </w:tr>
      <w:tr w:rsidR="005674FC" w:rsidRPr="005674FC" w:rsidTr="005674FC">
        <w:tc>
          <w:tcPr>
            <w:tcW w:w="13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i/>
                <w:iCs/>
                <w:color w:val="333333"/>
                <w:sz w:val="27"/>
                <w:szCs w:val="27"/>
                <w:lang w:eastAsia="ru-RU"/>
              </w:rPr>
              <w:t>Средний риск</w:t>
            </w:r>
          </w:p>
        </w:tc>
        <w:tc>
          <w:tcPr>
            <w:tcW w:w="36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i/>
                <w:iCs/>
                <w:color w:val="333333"/>
                <w:sz w:val="27"/>
                <w:szCs w:val="27"/>
                <w:lang w:eastAsia="ru-RU"/>
              </w:rPr>
              <w:t>Опухолевая инвазия передней камеры глаза, радужки, цилиарного тела, массивная инвазия хориоидеи, интра- и ретроламинарная опухолевая инвазия зрительного нерва</w:t>
            </w:r>
          </w:p>
        </w:tc>
      </w:tr>
      <w:tr w:rsidR="005674FC" w:rsidRPr="005674FC" w:rsidTr="005674FC">
        <w:tc>
          <w:tcPr>
            <w:tcW w:w="13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i/>
                <w:iCs/>
                <w:color w:val="333333"/>
                <w:sz w:val="27"/>
                <w:szCs w:val="27"/>
                <w:lang w:eastAsia="ru-RU"/>
              </w:rPr>
              <w:lastRenderedPageBreak/>
              <w:t>Высокий риск</w:t>
            </w:r>
          </w:p>
        </w:tc>
        <w:tc>
          <w:tcPr>
            <w:tcW w:w="36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i/>
                <w:iCs/>
                <w:color w:val="333333"/>
                <w:sz w:val="27"/>
                <w:szCs w:val="27"/>
                <w:lang w:eastAsia="ru-RU"/>
              </w:rPr>
              <w:t>Инвазия опухолью линии резекции зрительного нерва и экстрасклеральное распространение опухоли</w:t>
            </w:r>
          </w:p>
        </w:tc>
      </w:tr>
    </w:tbl>
    <w:p w:rsidR="005674FC" w:rsidRPr="005674FC" w:rsidRDefault="005674FC" w:rsidP="005674FC">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В случае выявления гистологических факторов стандартного риска рекомендуется диспансерное наблюдение пожизненно [35]</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Комментарии:</w:t>
      </w:r>
      <w:r w:rsidRPr="005674FC">
        <w:rPr>
          <w:rFonts w:ascii="Times New Roman" w:eastAsia="Times New Roman" w:hAnsi="Times New Roman" w:cs="Times New Roman"/>
          <w:i/>
          <w:iCs/>
          <w:color w:val="333333"/>
          <w:sz w:val="27"/>
          <w:szCs w:val="27"/>
          <w:lang w:eastAsia="ru-RU"/>
        </w:rPr>
        <w:t> адъювантная ПХТ не целесообразна при стандартном риске.</w:t>
      </w:r>
    </w:p>
    <w:p w:rsidR="005674FC" w:rsidRPr="005674FC" w:rsidRDefault="005674FC" w:rsidP="005674FC">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Пациентам из группы среднего риска с о</w:t>
      </w:r>
      <w:r w:rsidRPr="005674FC">
        <w:rPr>
          <w:rFonts w:ascii="Times New Roman" w:eastAsia="Times New Roman" w:hAnsi="Times New Roman" w:cs="Times New Roman"/>
          <w:i/>
          <w:iCs/>
          <w:color w:val="333333"/>
          <w:sz w:val="27"/>
          <w:szCs w:val="27"/>
          <w:lang w:eastAsia="ru-RU"/>
        </w:rPr>
        <w:t>пухолевой инвазией передней камеры глаза, радужки, цилиарного тела, массивной инвазии хориоидеи, интра- и ретроламинарной опухолевой инвазией зрительного нерва</w:t>
      </w:r>
      <w:r w:rsidRPr="005674FC">
        <w:rPr>
          <w:rFonts w:ascii="Times New Roman" w:eastAsia="Times New Roman" w:hAnsi="Times New Roman" w:cs="Times New Roman"/>
          <w:color w:val="222222"/>
          <w:sz w:val="27"/>
          <w:szCs w:val="27"/>
          <w:lang w:eastAsia="ru-RU"/>
        </w:rPr>
        <w:t> рекомендуются 6 циклов адъювантной ПХТ [49].</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Комментарии:</w:t>
      </w:r>
      <w:r w:rsidRPr="005674FC">
        <w:rPr>
          <w:rFonts w:ascii="Times New Roman" w:eastAsia="Times New Roman" w:hAnsi="Times New Roman" w:cs="Times New Roman"/>
          <w:color w:val="222222"/>
          <w:sz w:val="27"/>
          <w:szCs w:val="27"/>
          <w:lang w:eastAsia="ru-RU"/>
        </w:rPr>
        <w:t> </w:t>
      </w:r>
      <w:r w:rsidRPr="005674FC">
        <w:rPr>
          <w:rFonts w:ascii="Times New Roman" w:eastAsia="Times New Roman" w:hAnsi="Times New Roman" w:cs="Times New Roman"/>
          <w:i/>
          <w:iCs/>
          <w:color w:val="333333"/>
          <w:sz w:val="27"/>
          <w:szCs w:val="27"/>
          <w:lang w:eastAsia="ru-RU"/>
        </w:rPr>
        <w:t>используются препараты </w:t>
      </w:r>
      <w:r w:rsidRPr="005674FC">
        <w:rPr>
          <w:rFonts w:ascii="Times New Roman" w:eastAsia="Times New Roman" w:hAnsi="Times New Roman" w:cs="Times New Roman"/>
          <w:color w:val="222222"/>
          <w:sz w:val="27"/>
          <w:szCs w:val="27"/>
          <w:lang w:eastAsia="ru-RU"/>
        </w:rPr>
        <w:t>#</w:t>
      </w:r>
      <w:r w:rsidRPr="005674FC">
        <w:rPr>
          <w:rFonts w:ascii="Times New Roman" w:eastAsia="Times New Roman" w:hAnsi="Times New Roman" w:cs="Times New Roman"/>
          <w:i/>
          <w:iCs/>
          <w:color w:val="333333"/>
          <w:sz w:val="27"/>
          <w:szCs w:val="27"/>
          <w:lang w:eastAsia="ru-RU"/>
        </w:rPr>
        <w:t>винкристин** (1,5 мг/м</w:t>
      </w:r>
      <w:r w:rsidRPr="005674FC">
        <w:rPr>
          <w:rFonts w:ascii="Times New Roman" w:eastAsia="Times New Roman" w:hAnsi="Times New Roman" w:cs="Times New Roman"/>
          <w:i/>
          <w:iCs/>
          <w:color w:val="333333"/>
          <w:sz w:val="20"/>
          <w:szCs w:val="20"/>
          <w:vertAlign w:val="superscript"/>
          <w:lang w:eastAsia="ru-RU"/>
        </w:rPr>
        <w:t>2</w:t>
      </w:r>
      <w:r w:rsidRPr="005674FC">
        <w:rPr>
          <w:rFonts w:ascii="Times New Roman" w:eastAsia="Times New Roman" w:hAnsi="Times New Roman" w:cs="Times New Roman"/>
          <w:i/>
          <w:iCs/>
          <w:color w:val="333333"/>
          <w:sz w:val="27"/>
          <w:szCs w:val="27"/>
          <w:lang w:eastAsia="ru-RU"/>
        </w:rPr>
        <w:t> (не более 2 мг), день 1), #этопозид** (150 мг/м</w:t>
      </w:r>
      <w:r w:rsidRPr="005674FC">
        <w:rPr>
          <w:rFonts w:ascii="Times New Roman" w:eastAsia="Times New Roman" w:hAnsi="Times New Roman" w:cs="Times New Roman"/>
          <w:i/>
          <w:iCs/>
          <w:color w:val="333333"/>
          <w:sz w:val="20"/>
          <w:szCs w:val="20"/>
          <w:vertAlign w:val="superscript"/>
          <w:lang w:eastAsia="ru-RU"/>
        </w:rPr>
        <w:t>2</w:t>
      </w:r>
      <w:r w:rsidRPr="005674FC">
        <w:rPr>
          <w:rFonts w:ascii="Times New Roman" w:eastAsia="Times New Roman" w:hAnsi="Times New Roman" w:cs="Times New Roman"/>
          <w:i/>
          <w:iCs/>
          <w:color w:val="333333"/>
          <w:sz w:val="27"/>
          <w:szCs w:val="27"/>
          <w:lang w:eastAsia="ru-RU"/>
        </w:rPr>
        <w:t>, дни 1, 2) и #карбоплатин** (560 мг/м</w:t>
      </w:r>
      <w:r w:rsidRPr="005674FC">
        <w:rPr>
          <w:rFonts w:ascii="Times New Roman" w:eastAsia="Times New Roman" w:hAnsi="Times New Roman" w:cs="Times New Roman"/>
          <w:i/>
          <w:iCs/>
          <w:color w:val="333333"/>
          <w:sz w:val="20"/>
          <w:szCs w:val="20"/>
          <w:vertAlign w:val="superscript"/>
          <w:lang w:eastAsia="ru-RU"/>
        </w:rPr>
        <w:t>2</w:t>
      </w:r>
      <w:r w:rsidRPr="005674FC">
        <w:rPr>
          <w:rFonts w:ascii="Times New Roman" w:eastAsia="Times New Roman" w:hAnsi="Times New Roman" w:cs="Times New Roman"/>
          <w:i/>
          <w:iCs/>
          <w:color w:val="333333"/>
          <w:sz w:val="27"/>
          <w:szCs w:val="27"/>
          <w:lang w:eastAsia="ru-RU"/>
        </w:rPr>
        <w:t>, день 1), цикл 21 день. Пациентам в возрасте до 36 мес. дозу рассчитывают на 1 кг массы тела: #винкристин** — 0,05 мг/кг, #карбоплатин **— 18,6 мг/кг, #этопозид** — 5 мг/кг</w:t>
      </w:r>
      <w:r w:rsidRPr="005674FC">
        <w:rPr>
          <w:rFonts w:ascii="Times New Roman" w:eastAsia="Times New Roman" w:hAnsi="Times New Roman" w:cs="Times New Roman"/>
          <w:color w:val="222222"/>
          <w:sz w:val="27"/>
          <w:szCs w:val="27"/>
          <w:lang w:eastAsia="ru-RU"/>
        </w:rPr>
        <w:t> </w:t>
      </w:r>
    </w:p>
    <w:p w:rsidR="005674FC" w:rsidRPr="005674FC" w:rsidRDefault="005674FC" w:rsidP="005674FC">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Рекомендуется дополнить адъювантную ПХТ в послеоперационном периоде ЛТ на орбиту в случае ретроламинарной опухолевой инвазии [35].</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5674FC" w:rsidRPr="005674FC" w:rsidRDefault="005674FC" w:rsidP="005674FC">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Рекомендуется пациентам группы высокого риска с экстрасклеральным распространением опухоли рекомендуется дополнить адъювантную  ПХТ в послеоперационном периоде ЛТ на орбиту [35].</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5674FC" w:rsidRPr="005674FC" w:rsidRDefault="005674FC" w:rsidP="005674FC">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Рекомендуется пациентам группы высокого риска с </w:t>
      </w:r>
      <w:r w:rsidRPr="005674FC">
        <w:rPr>
          <w:rFonts w:ascii="Times New Roman" w:eastAsia="Times New Roman" w:hAnsi="Times New Roman" w:cs="Times New Roman"/>
          <w:i/>
          <w:iCs/>
          <w:color w:val="333333"/>
          <w:sz w:val="27"/>
          <w:szCs w:val="27"/>
          <w:lang w:eastAsia="ru-RU"/>
        </w:rPr>
        <w:t>инвазией опухолью линии резекции зрительного нерва </w:t>
      </w:r>
      <w:r w:rsidRPr="005674FC">
        <w:rPr>
          <w:rFonts w:ascii="Times New Roman" w:eastAsia="Times New Roman" w:hAnsi="Times New Roman" w:cs="Times New Roman"/>
          <w:color w:val="222222"/>
          <w:sz w:val="27"/>
          <w:szCs w:val="27"/>
          <w:lang w:eastAsia="ru-RU"/>
        </w:rPr>
        <w:t>рекомендуется дополнить лечение вторичной прехизмальной резекцией зрительного нерва после 2 курсов адъювантной ПХТ с ЛТ на орбиту и 2 курсами адъювантной ПХТ в послеоперационном периоде [15].</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Комментарии:</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u w:val="single"/>
          <w:lang w:eastAsia="ru-RU"/>
        </w:rPr>
        <w:lastRenderedPageBreak/>
        <w:t>Схема ПХТ для группы высокого риска </w:t>
      </w:r>
      <w:r w:rsidRPr="005674FC">
        <w:rPr>
          <w:rFonts w:ascii="Times New Roman" w:eastAsia="Times New Roman" w:hAnsi="Times New Roman" w:cs="Times New Roman"/>
          <w:i/>
          <w:iCs/>
          <w:color w:val="333333"/>
          <w:sz w:val="27"/>
          <w:szCs w:val="27"/>
          <w:lang w:eastAsia="ru-RU"/>
        </w:rPr>
        <w:t>[15,21,54]</w:t>
      </w:r>
      <w:r w:rsidRPr="005674FC">
        <w:rPr>
          <w:rFonts w:ascii="Times New Roman" w:eastAsia="Times New Roman" w:hAnsi="Times New Roman" w:cs="Times New Roman"/>
          <w:i/>
          <w:iCs/>
          <w:color w:val="333333"/>
          <w:sz w:val="27"/>
          <w:szCs w:val="27"/>
          <w:u w:val="single"/>
          <w:lang w:eastAsia="ru-RU"/>
        </w:rPr>
        <w:t>:</w:t>
      </w:r>
    </w:p>
    <w:p w:rsidR="005674FC" w:rsidRPr="005674FC" w:rsidRDefault="005674FC" w:rsidP="005674FC">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циклофосфамид** 400 мг/м</w:t>
      </w:r>
      <w:r w:rsidRPr="005674FC">
        <w:rPr>
          <w:rFonts w:ascii="Times New Roman" w:eastAsia="Times New Roman" w:hAnsi="Times New Roman" w:cs="Times New Roman"/>
          <w:i/>
          <w:iCs/>
          <w:color w:val="333333"/>
          <w:sz w:val="20"/>
          <w:szCs w:val="20"/>
          <w:vertAlign w:val="superscript"/>
          <w:lang w:eastAsia="ru-RU"/>
        </w:rPr>
        <w:t>2</w:t>
      </w:r>
      <w:r w:rsidRPr="005674FC">
        <w:rPr>
          <w:rFonts w:ascii="Times New Roman" w:eastAsia="Times New Roman" w:hAnsi="Times New Roman" w:cs="Times New Roman"/>
          <w:i/>
          <w:iCs/>
          <w:color w:val="333333"/>
          <w:sz w:val="27"/>
          <w:szCs w:val="27"/>
          <w:lang w:eastAsia="ru-RU"/>
        </w:rPr>
        <w:t>/день (при весе до 12 кг – 13 мг/кг массы тела), дни 1-5, в/в капельно в 200 мл раствора 0,9% натрия хлорида** за 1 час;</w:t>
      </w:r>
    </w:p>
    <w:p w:rsidR="005674FC" w:rsidRPr="005674FC" w:rsidRDefault="005674FC" w:rsidP="005674FC">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#карбоплатин** 500 мг/м</w:t>
      </w:r>
      <w:r w:rsidRPr="005674FC">
        <w:rPr>
          <w:rFonts w:ascii="Times New Roman" w:eastAsia="Times New Roman" w:hAnsi="Times New Roman" w:cs="Times New Roman"/>
          <w:i/>
          <w:iCs/>
          <w:color w:val="333333"/>
          <w:sz w:val="20"/>
          <w:szCs w:val="20"/>
          <w:vertAlign w:val="superscript"/>
          <w:lang w:eastAsia="ru-RU"/>
        </w:rPr>
        <w:t>2</w:t>
      </w:r>
      <w:r w:rsidRPr="005674FC">
        <w:rPr>
          <w:rFonts w:ascii="Times New Roman" w:eastAsia="Times New Roman" w:hAnsi="Times New Roman" w:cs="Times New Roman"/>
          <w:i/>
          <w:iCs/>
          <w:color w:val="333333"/>
          <w:sz w:val="27"/>
          <w:szCs w:val="27"/>
          <w:lang w:eastAsia="ru-RU"/>
        </w:rPr>
        <w:t>/день (при весе до 12 кг – 12 мг/кг массы тела), день 5, в/в капельно в 400 мл раствора 0,9% натрия хлорида** за 6 часов;</w:t>
      </w:r>
    </w:p>
    <w:p w:rsidR="005674FC" w:rsidRPr="005674FC" w:rsidRDefault="005674FC" w:rsidP="005674FC">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#этопозид** 100мг/м</w:t>
      </w:r>
      <w:r w:rsidRPr="005674FC">
        <w:rPr>
          <w:rFonts w:ascii="Times New Roman" w:eastAsia="Times New Roman" w:hAnsi="Times New Roman" w:cs="Times New Roman"/>
          <w:i/>
          <w:iCs/>
          <w:color w:val="333333"/>
          <w:sz w:val="20"/>
          <w:szCs w:val="20"/>
          <w:vertAlign w:val="superscript"/>
          <w:lang w:eastAsia="ru-RU"/>
        </w:rPr>
        <w:t>2</w:t>
      </w:r>
      <w:r w:rsidRPr="005674FC">
        <w:rPr>
          <w:rFonts w:ascii="Times New Roman" w:eastAsia="Times New Roman" w:hAnsi="Times New Roman" w:cs="Times New Roman"/>
          <w:i/>
          <w:iCs/>
          <w:color w:val="333333"/>
          <w:sz w:val="27"/>
          <w:szCs w:val="27"/>
          <w:lang w:eastAsia="ru-RU"/>
        </w:rPr>
        <w:t>/день (при весе до 12 кг - 3,3мг/кг массы тела), дни 1-5, в/в капельно в 200 мл раствора 0,9% натрия хлорида** или 5% раствора декстрозы** за 1 час;</w:t>
      </w:r>
    </w:p>
    <w:p w:rsidR="005674FC" w:rsidRPr="005674FC" w:rsidRDefault="005674FC" w:rsidP="005674FC">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месна** – 400 мг/м</w:t>
      </w:r>
      <w:r w:rsidRPr="005674FC">
        <w:rPr>
          <w:rFonts w:ascii="Times New Roman" w:eastAsia="Times New Roman" w:hAnsi="Times New Roman" w:cs="Times New Roman"/>
          <w:i/>
          <w:iCs/>
          <w:color w:val="333333"/>
          <w:sz w:val="20"/>
          <w:szCs w:val="20"/>
          <w:vertAlign w:val="superscript"/>
          <w:lang w:eastAsia="ru-RU"/>
        </w:rPr>
        <w:t>2</w:t>
      </w:r>
      <w:r w:rsidRPr="005674FC">
        <w:rPr>
          <w:rFonts w:ascii="Times New Roman" w:eastAsia="Times New Roman" w:hAnsi="Times New Roman" w:cs="Times New Roman"/>
          <w:i/>
          <w:iCs/>
          <w:color w:val="333333"/>
          <w:sz w:val="27"/>
          <w:szCs w:val="27"/>
          <w:lang w:eastAsia="ru-RU"/>
        </w:rPr>
        <w:t>/день, дни 1-5, в/в капельно.</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Каждый курс ПХТ должен начинаться не позднее 21-28 дня от начала предыдущего.</w:t>
      </w:r>
      <w:r w:rsidRPr="005674FC">
        <w:rPr>
          <w:rFonts w:ascii="Times New Roman" w:eastAsia="Times New Roman" w:hAnsi="Times New Roman" w:cs="Times New Roman"/>
          <w:color w:val="222222"/>
          <w:sz w:val="27"/>
          <w:szCs w:val="27"/>
          <w:lang w:eastAsia="ru-RU"/>
        </w:rPr>
        <w:t> </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Прехиазмальная резекция зрительного нерва должна выполняться в медицинском учреждении федерального уровня в отделении нейроонкологического профиля.</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В клиническом анализе крови на момент начала очередного курса ПХТ уровень лейкоцитов должен быть &gt; 2,0х10</w:t>
      </w:r>
      <w:r w:rsidRPr="005674FC">
        <w:rPr>
          <w:rFonts w:ascii="Times New Roman" w:eastAsia="Times New Roman" w:hAnsi="Times New Roman" w:cs="Times New Roman"/>
          <w:i/>
          <w:iCs/>
          <w:color w:val="333333"/>
          <w:sz w:val="20"/>
          <w:szCs w:val="20"/>
          <w:vertAlign w:val="superscript"/>
          <w:lang w:eastAsia="ru-RU"/>
        </w:rPr>
        <w:t>9</w:t>
      </w:r>
      <w:r w:rsidRPr="005674FC">
        <w:rPr>
          <w:rFonts w:ascii="Times New Roman" w:eastAsia="Times New Roman" w:hAnsi="Times New Roman" w:cs="Times New Roman"/>
          <w:i/>
          <w:iCs/>
          <w:color w:val="333333"/>
          <w:sz w:val="27"/>
          <w:szCs w:val="27"/>
          <w:lang w:eastAsia="ru-RU"/>
        </w:rPr>
        <w:t>/л, тромбоцитов &gt; 75х10</w:t>
      </w:r>
      <w:r w:rsidRPr="005674FC">
        <w:rPr>
          <w:rFonts w:ascii="Times New Roman" w:eastAsia="Times New Roman" w:hAnsi="Times New Roman" w:cs="Times New Roman"/>
          <w:i/>
          <w:iCs/>
          <w:color w:val="333333"/>
          <w:sz w:val="20"/>
          <w:szCs w:val="20"/>
          <w:vertAlign w:val="superscript"/>
          <w:lang w:eastAsia="ru-RU"/>
        </w:rPr>
        <w:t>9</w:t>
      </w:r>
      <w:r w:rsidRPr="005674FC">
        <w:rPr>
          <w:rFonts w:ascii="Times New Roman" w:eastAsia="Times New Roman" w:hAnsi="Times New Roman" w:cs="Times New Roman"/>
          <w:i/>
          <w:iCs/>
          <w:color w:val="333333"/>
          <w:sz w:val="27"/>
          <w:szCs w:val="27"/>
          <w:lang w:eastAsia="ru-RU"/>
        </w:rPr>
        <w:t>/л. Если уровень тромбоцитов или лейкоцитов ниже, то начало очередного курса ПХТ откладывают до восстановления показателей крови.</w:t>
      </w:r>
    </w:p>
    <w:p w:rsidR="005674FC" w:rsidRPr="005674FC" w:rsidRDefault="005674FC" w:rsidP="005674FC">
      <w:pPr>
        <w:spacing w:before="750" w:after="450" w:line="240" w:lineRule="auto"/>
        <w:outlineLvl w:val="1"/>
        <w:rPr>
          <w:rFonts w:ascii="Times New Roman" w:eastAsia="Times New Roman" w:hAnsi="Times New Roman" w:cs="Times New Roman"/>
          <w:b/>
          <w:bCs/>
          <w:color w:val="222222"/>
          <w:sz w:val="33"/>
          <w:szCs w:val="33"/>
          <w:lang w:eastAsia="ru-RU"/>
        </w:rPr>
      </w:pPr>
      <w:r w:rsidRPr="005674FC">
        <w:rPr>
          <w:rFonts w:ascii="Times New Roman" w:eastAsia="Times New Roman" w:hAnsi="Times New Roman" w:cs="Times New Roman"/>
          <w:b/>
          <w:bCs/>
          <w:color w:val="222222"/>
          <w:sz w:val="33"/>
          <w:szCs w:val="33"/>
          <w:lang w:eastAsia="ru-RU"/>
        </w:rPr>
        <w:t>3.5 Хирургическое лечение</w:t>
      </w:r>
    </w:p>
    <w:p w:rsidR="005674FC" w:rsidRPr="005674FC" w:rsidRDefault="005674FC" w:rsidP="005674FC">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Рекомендуется выполнение первичной энуклеации с эндопротезированием анофтальмической орбиты при запущенной внутриглазной РБ (группа Е) и отсутствии экстраокулярного роста опухоли с наличием следующих показаний: атрофия или субатрофия глаза; массивное опухолевое распространение на плоскую часть цилиарного тела,  цилиарное тело, хрусталик,  радужку или переднюю камеру; повышение внутриглазного давления с неоваскуляризацией и/или с развитием буфтальма;  гифема или гемофтальм [55].</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Комментарии: </w:t>
      </w:r>
      <w:r w:rsidRPr="005674FC">
        <w:rPr>
          <w:rFonts w:ascii="Times New Roman" w:eastAsia="Times New Roman" w:hAnsi="Times New Roman" w:cs="Times New Roman"/>
          <w:b/>
          <w:bCs/>
          <w:i/>
          <w:iCs/>
          <w:color w:val="333333"/>
          <w:sz w:val="27"/>
          <w:szCs w:val="27"/>
          <w:lang w:eastAsia="ru-RU"/>
        </w:rPr>
        <w:t>Отсутствие экстраокулярного распространения опухоли за пределы глаза, в том числе по орбитальной и/или интракраниальной части зрительного нерва, необходимо подтверждать МРТ орбит и головного мозга с внутривенным контрастированием.</w:t>
      </w:r>
    </w:p>
    <w:p w:rsidR="005674FC" w:rsidRPr="005674FC" w:rsidRDefault="005674FC" w:rsidP="005674FC">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lastRenderedPageBreak/>
        <w:t>Прехиазмальная резекция зрительного нерва рекомендуется: при наличии опухолевых клеток в крае резекции зрительного нерва после первичной энуклеации у пациентов с интраокулярной РБ; при опухолевой инфильтрации по данным МРТ с контрастным усилением на всем протяжении  орбитальной и/или интракраниальной части зрительного нерва вплоть до хиазмы  [56].</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Комментарии: </w:t>
      </w:r>
      <w:r w:rsidRPr="005674FC">
        <w:rPr>
          <w:rFonts w:ascii="Times New Roman" w:eastAsia="Times New Roman" w:hAnsi="Times New Roman" w:cs="Times New Roman"/>
          <w:i/>
          <w:iCs/>
          <w:color w:val="333333"/>
          <w:sz w:val="27"/>
          <w:szCs w:val="27"/>
          <w:lang w:eastAsia="ru-RU"/>
        </w:rPr>
        <w:t>Данный вид операции включает в себя пересечение зрительного нерва у хиазмы с целью удаления его интракраниальной и интраорбитальной части и должен выполняться после предварительной ПХТ и в условиях нейроонкологического отделения медицинского учреждения федерального уровня.</w:t>
      </w:r>
    </w:p>
    <w:p w:rsidR="005674FC" w:rsidRPr="005674FC" w:rsidRDefault="005674FC" w:rsidP="005674FC">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Транспупиллярная термотерапия (термотерапия новообразований сетчатки, сосудистой оболочки глаза, А22.26.015) – разновидность лазерного лечения – рекомендуется при толщине опухоли не более 3,0 мм, в том числе при мультифокальном характере роста [8,11,26,54].</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5674FC" w:rsidRPr="005674FC" w:rsidRDefault="005674FC" w:rsidP="005674FC">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Криодеструкция - воздействие низкими температурами (холодом) на место расположения очага РБ рекомендуется при преэкваториальной локализации опухоли толщиной не более 4 мм [8,11,26,54].</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674FC" w:rsidRPr="005674FC" w:rsidRDefault="005674FC" w:rsidP="005674FC">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Брахитерапия - локальное облучение опухоли с помощью подшивания к склере радиоактивного офтальмоаппликатора (стронций-90, рутений-106) рекомендуется при толщине опухоли не более 6 мм [8,11,26,54,57].</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Комментарий:</w:t>
      </w:r>
      <w:r w:rsidRPr="005674FC">
        <w:rPr>
          <w:rFonts w:ascii="Times New Roman" w:eastAsia="Times New Roman" w:hAnsi="Times New Roman" w:cs="Times New Roman"/>
          <w:i/>
          <w:iCs/>
          <w:color w:val="333333"/>
          <w:sz w:val="27"/>
          <w:szCs w:val="27"/>
          <w:lang w:eastAsia="ru-RU"/>
        </w:rPr>
        <w:t> доза на вершину опухоли при использовании рутения-106 должна составлять не менее 80 – 90 Гр, при использовании стронция-96 – не менее 120 Гр.</w:t>
      </w:r>
    </w:p>
    <w:p w:rsidR="005674FC" w:rsidRPr="005674FC" w:rsidRDefault="005674FC" w:rsidP="005674FC">
      <w:pPr>
        <w:spacing w:before="750" w:after="450" w:line="240" w:lineRule="auto"/>
        <w:outlineLvl w:val="1"/>
        <w:rPr>
          <w:rFonts w:ascii="Times New Roman" w:eastAsia="Times New Roman" w:hAnsi="Times New Roman" w:cs="Times New Roman"/>
          <w:b/>
          <w:bCs/>
          <w:color w:val="222222"/>
          <w:sz w:val="33"/>
          <w:szCs w:val="33"/>
          <w:lang w:eastAsia="ru-RU"/>
        </w:rPr>
      </w:pPr>
      <w:r w:rsidRPr="005674FC">
        <w:rPr>
          <w:rFonts w:ascii="Times New Roman" w:eastAsia="Times New Roman" w:hAnsi="Times New Roman" w:cs="Times New Roman"/>
          <w:b/>
          <w:bCs/>
          <w:color w:val="222222"/>
          <w:sz w:val="33"/>
          <w:szCs w:val="33"/>
          <w:lang w:eastAsia="ru-RU"/>
        </w:rPr>
        <w:t>3.6 Дистанционная лучевая терапия (ЛТ)</w:t>
      </w:r>
    </w:p>
    <w:p w:rsidR="005674FC" w:rsidRPr="005674FC" w:rsidRDefault="005674FC" w:rsidP="005674FC">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 xml:space="preserve">ЛТ рекомендуется пациентам в случае выявления после энуклеации глаза ретроламинарной опухолевой инвазии зрительного нерва, экстрасклерального </w:t>
      </w:r>
      <w:r w:rsidRPr="005674FC">
        <w:rPr>
          <w:rFonts w:ascii="Times New Roman" w:eastAsia="Times New Roman" w:hAnsi="Times New Roman" w:cs="Times New Roman"/>
          <w:color w:val="222222"/>
          <w:sz w:val="27"/>
          <w:szCs w:val="27"/>
          <w:lang w:eastAsia="ru-RU"/>
        </w:rPr>
        <w:lastRenderedPageBreak/>
        <w:t>распространении опухоли и/или наличия клеток опухоли в крае резекции зрительного нерва [25,58].</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C </w:t>
      </w:r>
      <w:r w:rsidRPr="005674FC">
        <w:rPr>
          <w:rFonts w:ascii="Times New Roman" w:eastAsia="Times New Roman" w:hAnsi="Times New Roman" w:cs="Times New Roman"/>
          <w:color w:val="222222"/>
          <w:sz w:val="27"/>
          <w:szCs w:val="27"/>
          <w:lang w:eastAsia="ru-RU"/>
        </w:rPr>
        <w:t>(</w:t>
      </w:r>
      <w:r w:rsidRPr="005674FC">
        <w:rPr>
          <w:rFonts w:ascii="Times New Roman" w:eastAsia="Times New Roman" w:hAnsi="Times New Roman" w:cs="Times New Roman"/>
          <w:b/>
          <w:bCs/>
          <w:color w:val="222222"/>
          <w:sz w:val="27"/>
          <w:szCs w:val="27"/>
          <w:lang w:eastAsia="ru-RU"/>
        </w:rPr>
        <w:t>уровень достоверности доказательств – 4)</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Комментарии:</w:t>
      </w:r>
      <w:r w:rsidRPr="005674FC">
        <w:rPr>
          <w:rFonts w:ascii="Times New Roman" w:eastAsia="Times New Roman" w:hAnsi="Times New Roman" w:cs="Times New Roman"/>
          <w:color w:val="222222"/>
          <w:sz w:val="27"/>
          <w:szCs w:val="27"/>
          <w:lang w:eastAsia="ru-RU"/>
        </w:rPr>
        <w:t> </w:t>
      </w:r>
      <w:r w:rsidRPr="005674FC">
        <w:rPr>
          <w:rFonts w:ascii="Times New Roman" w:eastAsia="Times New Roman" w:hAnsi="Times New Roman" w:cs="Times New Roman"/>
          <w:i/>
          <w:iCs/>
          <w:color w:val="333333"/>
          <w:sz w:val="27"/>
          <w:szCs w:val="27"/>
          <w:lang w:eastAsia="ru-RU"/>
        </w:rPr>
        <w:t>целесообразно использование фотонного облучения линейных ускорителей (6 МэВ), но могут применяться и гамма-терапевтические установки – Co60 (1,25 МэВ).</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i/>
          <w:iCs/>
          <w:color w:val="333333"/>
          <w:sz w:val="27"/>
          <w:szCs w:val="27"/>
          <w:lang w:eastAsia="ru-RU"/>
        </w:rPr>
        <w:t>Рекомендованные дозы облучения: пациентам из групп среднего риска с ретроламинарным ростом опухоли и высокого риска ЛТ на область орбиты проводится в сроки, не превышающие 1 мес. после хирургического лечения, с использованием 25 ежедневных фракций разовыми очаговыми дозами (РОД) 2 Гр, 5 раз в неделю, что в суммарно очаговой дозе (СОД) составляет 50 Гр.</w:t>
      </w:r>
    </w:p>
    <w:p w:rsidR="005674FC" w:rsidRPr="005674FC" w:rsidRDefault="005674FC" w:rsidP="005674FC">
      <w:pPr>
        <w:spacing w:before="750" w:after="450" w:line="240" w:lineRule="auto"/>
        <w:outlineLvl w:val="1"/>
        <w:rPr>
          <w:rFonts w:ascii="Times New Roman" w:eastAsia="Times New Roman" w:hAnsi="Times New Roman" w:cs="Times New Roman"/>
          <w:b/>
          <w:bCs/>
          <w:color w:val="222222"/>
          <w:sz w:val="33"/>
          <w:szCs w:val="33"/>
          <w:lang w:eastAsia="ru-RU"/>
        </w:rPr>
      </w:pPr>
      <w:r w:rsidRPr="005674FC">
        <w:rPr>
          <w:rFonts w:ascii="Times New Roman" w:eastAsia="Times New Roman" w:hAnsi="Times New Roman" w:cs="Times New Roman"/>
          <w:b/>
          <w:bCs/>
          <w:color w:val="222222"/>
          <w:sz w:val="33"/>
          <w:szCs w:val="33"/>
          <w:lang w:eastAsia="ru-RU"/>
        </w:rPr>
        <w:t>3.7 Сопроводительная терапия</w:t>
      </w:r>
    </w:p>
    <w:p w:rsidR="005674FC" w:rsidRPr="005674FC" w:rsidRDefault="005674FC" w:rsidP="005674FC">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Рекомендуется установка всем пациентам порт-системы или центрального венозного катетера, введенного через периферическую вену (перед началом первого курса ПХТ), удаление центрального венозного катетера не позднее, чем через 6 мес. после его установка [16].</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5674FC" w:rsidRPr="005674FC" w:rsidRDefault="005674FC" w:rsidP="005674FC">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Рекомендуется применение блокаторов серотониновых 5HT3-рецепторов (код АТХ А04АА) для контроля тошноты и рвоты, возникающих на фоне ПХТ [16].</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i/>
          <w:iCs/>
          <w:color w:val="333333"/>
          <w:sz w:val="27"/>
          <w:szCs w:val="27"/>
          <w:lang w:eastAsia="ru-RU"/>
        </w:rPr>
        <w:t>Комментарии: </w:t>
      </w:r>
      <w:r w:rsidRPr="005674FC">
        <w:rPr>
          <w:rFonts w:ascii="Times New Roman" w:eastAsia="Times New Roman" w:hAnsi="Times New Roman" w:cs="Times New Roman"/>
          <w:i/>
          <w:iCs/>
          <w:color w:val="333333"/>
          <w:sz w:val="27"/>
          <w:szCs w:val="27"/>
          <w:lang w:eastAsia="ru-RU"/>
        </w:rPr>
        <w:t>Ондансетрон</w:t>
      </w:r>
      <w:r w:rsidRPr="005674FC">
        <w:rPr>
          <w:rFonts w:ascii="Times New Roman" w:eastAsia="Times New Roman" w:hAnsi="Times New Roman" w:cs="Times New Roman"/>
          <w:color w:val="222222"/>
          <w:sz w:val="27"/>
          <w:szCs w:val="27"/>
          <w:lang w:eastAsia="ru-RU"/>
        </w:rPr>
        <w:t>**</w:t>
      </w:r>
      <w:r w:rsidRPr="005674FC">
        <w:rPr>
          <w:rFonts w:ascii="Times New Roman" w:eastAsia="Times New Roman" w:hAnsi="Times New Roman" w:cs="Times New Roman"/>
          <w:i/>
          <w:iCs/>
          <w:color w:val="333333"/>
          <w:sz w:val="27"/>
          <w:szCs w:val="27"/>
          <w:lang w:eastAsia="ru-RU"/>
        </w:rPr>
        <w:t> эффективен при назначении в дозе 0,15 мг/кг за 30–60 минут до начала ПХТ. При проведении ПХТ средней эметогенности требуется его назначение три раза в сутки у детей с возраста старше 1 мес.</w:t>
      </w:r>
    </w:p>
    <w:p w:rsidR="005674FC" w:rsidRPr="005674FC" w:rsidRDefault="005674FC" w:rsidP="005674FC">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Рекомендуется облучение продуктов крови в дозе 25-30 Гр [16].</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Комментарии:</w:t>
      </w:r>
      <w:r w:rsidRPr="005674FC">
        <w:rPr>
          <w:rFonts w:ascii="Times New Roman" w:eastAsia="Times New Roman" w:hAnsi="Times New Roman" w:cs="Times New Roman"/>
          <w:color w:val="222222"/>
          <w:sz w:val="27"/>
          <w:szCs w:val="27"/>
          <w:lang w:eastAsia="ru-RU"/>
        </w:rPr>
        <w:t> </w:t>
      </w:r>
      <w:r w:rsidRPr="005674FC">
        <w:rPr>
          <w:rFonts w:ascii="Times New Roman" w:eastAsia="Times New Roman" w:hAnsi="Times New Roman" w:cs="Times New Roman"/>
          <w:i/>
          <w:iCs/>
          <w:color w:val="333333"/>
          <w:sz w:val="27"/>
          <w:szCs w:val="27"/>
          <w:lang w:eastAsia="ru-RU"/>
        </w:rPr>
        <w:t>При условии использования лейкоцитарных фильтров или получения тромбоконцентрата на сепараторах, снабженных лейкоцитарными фильтрами или ловушками, облучение компонентов крови можно не проводить. Трансфузия компонентов крови осуществляется без учета цитомегаловирусного статуса доноров и реципиентов.</w:t>
      </w:r>
    </w:p>
    <w:p w:rsidR="005674FC" w:rsidRPr="005674FC" w:rsidRDefault="005674FC" w:rsidP="005674FC">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lastRenderedPageBreak/>
        <w:t>Рекомендуется за 24 часа до начала ПХТ гидратация растворами, влияющими на водно-электролитный балланс (B05BB) [15].</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i/>
          <w:iCs/>
          <w:color w:val="333333"/>
          <w:sz w:val="27"/>
          <w:szCs w:val="27"/>
          <w:lang w:eastAsia="ru-RU"/>
        </w:rPr>
        <w:t>Комментарии: </w:t>
      </w:r>
      <w:r w:rsidRPr="005674FC">
        <w:rPr>
          <w:rFonts w:ascii="Times New Roman" w:eastAsia="Times New Roman" w:hAnsi="Times New Roman" w:cs="Times New Roman"/>
          <w:i/>
          <w:iCs/>
          <w:color w:val="333333"/>
          <w:sz w:val="27"/>
          <w:szCs w:val="27"/>
          <w:lang w:eastAsia="ru-RU"/>
        </w:rPr>
        <w:t>Объем инфузионной терапии на протяжении проведения ПХТ и в течение 2-4 дней после ее окончания должен быть равномерно распределен на 24 часа и составлять 3 л/м</w:t>
      </w:r>
      <w:r w:rsidRPr="005674FC">
        <w:rPr>
          <w:rFonts w:ascii="Times New Roman" w:eastAsia="Times New Roman" w:hAnsi="Times New Roman" w:cs="Times New Roman"/>
          <w:i/>
          <w:iCs/>
          <w:color w:val="333333"/>
          <w:sz w:val="20"/>
          <w:szCs w:val="20"/>
          <w:vertAlign w:val="superscript"/>
          <w:lang w:eastAsia="ru-RU"/>
        </w:rPr>
        <w:t>2</w:t>
      </w:r>
      <w:r w:rsidRPr="005674FC">
        <w:rPr>
          <w:rFonts w:ascii="Times New Roman" w:eastAsia="Times New Roman" w:hAnsi="Times New Roman" w:cs="Times New Roman"/>
          <w:i/>
          <w:iCs/>
          <w:color w:val="333333"/>
          <w:sz w:val="27"/>
          <w:szCs w:val="27"/>
          <w:lang w:eastAsia="ru-RU"/>
        </w:rPr>
        <w:t>/сутки поддерживается. При необходимости назначается фуросемид или другие диуретики в стандартных дозах. При слабой выраженности интоксикации и стабильного состояния пациента объем может быть в дальнейшем уменьшен до 2-2,5 л/м</w:t>
      </w:r>
      <w:r w:rsidRPr="005674FC">
        <w:rPr>
          <w:rFonts w:ascii="Times New Roman" w:eastAsia="Times New Roman" w:hAnsi="Times New Roman" w:cs="Times New Roman"/>
          <w:i/>
          <w:iCs/>
          <w:color w:val="333333"/>
          <w:sz w:val="20"/>
          <w:szCs w:val="20"/>
          <w:vertAlign w:val="superscript"/>
          <w:lang w:eastAsia="ru-RU"/>
        </w:rPr>
        <w:t>2</w:t>
      </w:r>
      <w:r w:rsidRPr="005674FC">
        <w:rPr>
          <w:rFonts w:ascii="Times New Roman" w:eastAsia="Times New Roman" w:hAnsi="Times New Roman" w:cs="Times New Roman"/>
          <w:i/>
          <w:iCs/>
          <w:color w:val="333333"/>
          <w:sz w:val="27"/>
          <w:szCs w:val="27"/>
          <w:lang w:eastAsia="ru-RU"/>
        </w:rPr>
        <w:t>/сутки.</w:t>
      </w:r>
    </w:p>
    <w:p w:rsidR="005674FC" w:rsidRPr="005674FC" w:rsidRDefault="005674FC" w:rsidP="005674FC">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Рекомендуется назначение антибактериальных лекарственных препаратов при фебрильной нейтропении [16].</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5674FC" w:rsidRPr="005674FC" w:rsidRDefault="005674FC" w:rsidP="005674F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74FC">
        <w:rPr>
          <w:rFonts w:ascii="Times New Roman" w:eastAsia="Times New Roman" w:hAnsi="Times New Roman" w:cs="Times New Roman"/>
          <w:b/>
          <w:bCs/>
          <w:color w:val="000000"/>
          <w:kern w:val="36"/>
          <w:sz w:val="48"/>
          <w:szCs w:val="48"/>
          <w:lang w:eastAsia="ru-RU"/>
        </w:rPr>
        <w:t>4. Реабилитация</w:t>
      </w:r>
    </w:p>
    <w:p w:rsidR="005674FC" w:rsidRPr="005674FC" w:rsidRDefault="005674FC" w:rsidP="005674FC">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Рекомендуются следующие реабилитационные мероприятия при выполнении энуклеации глаза: первичное эндопротезирование анофтальмической орбиты после энуклеации глаза  и наружное глазное протезирование [59].</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5674FC" w:rsidRPr="005674FC" w:rsidRDefault="005674FC" w:rsidP="005674F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74FC">
        <w:rPr>
          <w:rFonts w:ascii="Times New Roman" w:eastAsia="Times New Roman" w:hAnsi="Times New Roman" w:cs="Times New Roman"/>
          <w:b/>
          <w:bCs/>
          <w:color w:val="000000"/>
          <w:kern w:val="36"/>
          <w:sz w:val="48"/>
          <w:szCs w:val="48"/>
          <w:lang w:eastAsia="ru-RU"/>
        </w:rPr>
        <w:t>5. Профилактика</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Контрольные обследования после достижения ремиссии у пациентов с интраокулярной односторонней РБ после энуклеации:</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94"/>
        <w:gridCol w:w="492"/>
        <w:gridCol w:w="492"/>
        <w:gridCol w:w="492"/>
        <w:gridCol w:w="492"/>
        <w:gridCol w:w="684"/>
        <w:gridCol w:w="684"/>
        <w:gridCol w:w="684"/>
        <w:gridCol w:w="684"/>
        <w:gridCol w:w="684"/>
        <w:gridCol w:w="684"/>
        <w:gridCol w:w="684"/>
        <w:gridCol w:w="2283"/>
      </w:tblGrid>
      <w:tr w:rsidR="005674FC" w:rsidRPr="005674FC" w:rsidTr="005674F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Методы</w:t>
            </w:r>
          </w:p>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исследования</w:t>
            </w:r>
          </w:p>
        </w:tc>
        <w:tc>
          <w:tcPr>
            <w:tcW w:w="0" w:type="auto"/>
            <w:gridSpan w:val="1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Сроки контрольных обследований после достижения ремиссии, мес.</w:t>
            </w:r>
          </w:p>
        </w:tc>
      </w:tr>
      <w:tr w:rsidR="005674FC" w:rsidRPr="005674FC" w:rsidTr="005674F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674FC" w:rsidRPr="005674FC" w:rsidRDefault="005674FC" w:rsidP="005674F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Пожизненно</w:t>
            </w:r>
          </w:p>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1 раз в год</w:t>
            </w:r>
          </w:p>
        </w:tc>
      </w:tr>
      <w:tr w:rsidR="005674FC" w:rsidRPr="005674FC" w:rsidTr="005674F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lastRenderedPageBreak/>
              <w:t>Консультация детского онколога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r>
      <w:tr w:rsidR="005674FC" w:rsidRPr="005674FC" w:rsidTr="005674F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Офтальмологическое обследование с медикаментозным мидриазом и применением ретинальной камеры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r>
      <w:tr w:rsidR="005674FC" w:rsidRPr="005674FC" w:rsidTr="005674F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УЗИ глаз и орбит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r>
      <w:tr w:rsidR="005674FC" w:rsidRPr="005674FC" w:rsidTr="005674F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МРТ орбит и глаз с в\в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r>
      <w:tr w:rsidR="005674FC" w:rsidRPr="005674FC" w:rsidTr="005674F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УЗИ регионарных лимфатических узлов и органов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r>
      <w:tr w:rsidR="005674FC" w:rsidRPr="005674FC" w:rsidTr="005674F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КТ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r>
    </w:tbl>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 </w:t>
      </w:r>
      <w:r w:rsidRPr="005674FC">
        <w:rPr>
          <w:rFonts w:ascii="Times New Roman" w:eastAsia="Times New Roman" w:hAnsi="Times New Roman" w:cs="Times New Roman"/>
          <w:color w:val="222222"/>
          <w:sz w:val="27"/>
          <w:szCs w:val="27"/>
          <w:lang w:eastAsia="ru-RU"/>
        </w:rPr>
        <w:t>по показаниям    </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Контрольные обследования после достижения ремиссии у пациентов с интраокулярной односторонней РБ после органосохраняющего лечения и у пациентов с двусторонней РБ:</w:t>
      </w:r>
    </w:p>
    <w:tbl>
      <w:tblPr>
        <w:tblW w:w="1250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94"/>
        <w:gridCol w:w="492"/>
        <w:gridCol w:w="492"/>
        <w:gridCol w:w="492"/>
        <w:gridCol w:w="492"/>
        <w:gridCol w:w="684"/>
        <w:gridCol w:w="684"/>
        <w:gridCol w:w="684"/>
        <w:gridCol w:w="684"/>
        <w:gridCol w:w="684"/>
        <w:gridCol w:w="684"/>
        <w:gridCol w:w="684"/>
        <w:gridCol w:w="684"/>
        <w:gridCol w:w="684"/>
        <w:gridCol w:w="684"/>
        <w:gridCol w:w="684"/>
        <w:gridCol w:w="684"/>
        <w:gridCol w:w="684"/>
        <w:gridCol w:w="2283"/>
      </w:tblGrid>
      <w:tr w:rsidR="005674FC" w:rsidRPr="005674FC" w:rsidTr="005674F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Методы</w:t>
            </w:r>
          </w:p>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исследования</w:t>
            </w:r>
          </w:p>
        </w:tc>
        <w:tc>
          <w:tcPr>
            <w:tcW w:w="0" w:type="auto"/>
            <w:gridSpan w:val="1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Сроки контрольных обследований после достижения ремиссии, мес.</w:t>
            </w:r>
          </w:p>
        </w:tc>
      </w:tr>
      <w:tr w:rsidR="005674FC" w:rsidRPr="005674FC" w:rsidTr="005674F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674FC" w:rsidRPr="005674FC" w:rsidRDefault="005674FC" w:rsidP="005674F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Пожизненно 1 раз в год</w:t>
            </w:r>
          </w:p>
        </w:tc>
      </w:tr>
      <w:tr w:rsidR="005674FC" w:rsidRPr="005674FC" w:rsidTr="005674F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Консультация детского онколога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r>
      <w:tr w:rsidR="005674FC" w:rsidRPr="005674FC" w:rsidTr="005674F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Офтальмологическое обследование с медикаментозным мидриазом и применением ретинальной камеры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r>
      <w:tr w:rsidR="005674FC" w:rsidRPr="005674FC" w:rsidTr="005674F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lastRenderedPageBreak/>
              <w:t>УЗИ глаз и орбит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r>
      <w:tr w:rsidR="005674FC" w:rsidRPr="005674FC" w:rsidTr="005674F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МРТ орбит и глаз с в\в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r>
      <w:tr w:rsidR="005674FC" w:rsidRPr="005674FC" w:rsidTr="005674F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УЗИ регионарных лимфатических узлов и органов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r>
      <w:tr w:rsidR="005674FC" w:rsidRPr="005674FC" w:rsidTr="005674F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КТ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r>
    </w:tbl>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*по показаниям</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Контрольные обследования после достижения ремиссии у пациентов с семейной формой РБ, выявленной генетической мутацией при интраокулярной односторонней РБ после органосохраняющего лечения:</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94"/>
        <w:gridCol w:w="492"/>
        <w:gridCol w:w="492"/>
        <w:gridCol w:w="492"/>
        <w:gridCol w:w="492"/>
        <w:gridCol w:w="684"/>
        <w:gridCol w:w="684"/>
        <w:gridCol w:w="684"/>
        <w:gridCol w:w="684"/>
        <w:gridCol w:w="684"/>
        <w:gridCol w:w="684"/>
        <w:gridCol w:w="684"/>
        <w:gridCol w:w="684"/>
        <w:gridCol w:w="684"/>
        <w:gridCol w:w="684"/>
        <w:gridCol w:w="2283"/>
      </w:tblGrid>
      <w:tr w:rsidR="005674FC" w:rsidRPr="005674FC" w:rsidTr="005674F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Методы</w:t>
            </w:r>
          </w:p>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исследования</w:t>
            </w:r>
          </w:p>
        </w:tc>
        <w:tc>
          <w:tcPr>
            <w:tcW w:w="0" w:type="auto"/>
            <w:gridSpan w:val="1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Сроки контрольных обследований после достижения ремиссии, мес.</w:t>
            </w:r>
          </w:p>
        </w:tc>
      </w:tr>
      <w:tr w:rsidR="005674FC" w:rsidRPr="005674FC" w:rsidTr="005674F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674FC" w:rsidRPr="005674FC" w:rsidRDefault="005674FC" w:rsidP="005674F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Пожизненно 1 раз в год</w:t>
            </w:r>
          </w:p>
        </w:tc>
      </w:tr>
      <w:tr w:rsidR="005674FC" w:rsidRPr="005674FC" w:rsidTr="005674F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Консультация детского онколога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r>
      <w:tr w:rsidR="005674FC" w:rsidRPr="005674FC" w:rsidTr="005674F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Офтальмологическое обследование с медикаментозным мидриазом с применением ретинальной камеры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r>
      <w:tr w:rsidR="005674FC" w:rsidRPr="005674FC" w:rsidTr="005674F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УЗИ глаз и орбит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r>
      <w:tr w:rsidR="005674FC" w:rsidRPr="005674FC" w:rsidTr="005674F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МРТ орбит и глаз с в\в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r>
      <w:tr w:rsidR="005674FC" w:rsidRPr="005674FC" w:rsidTr="005674F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 xml:space="preserve">УЗИ регионарных лимфатических </w:t>
            </w:r>
            <w:r w:rsidRPr="005674FC">
              <w:rPr>
                <w:rFonts w:ascii="Verdana" w:eastAsia="Times New Roman" w:hAnsi="Verdana" w:cs="Times New Roman"/>
                <w:sz w:val="27"/>
                <w:szCs w:val="27"/>
                <w:lang w:eastAsia="ru-RU"/>
              </w:rPr>
              <w:lastRenderedPageBreak/>
              <w:t>узлов и органов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lastRenderedPageBreak/>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r>
      <w:tr w:rsidR="005674FC" w:rsidRPr="005674FC" w:rsidTr="005674F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КТ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r>
    </w:tbl>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 </w:t>
      </w:r>
      <w:r w:rsidRPr="005674FC">
        <w:rPr>
          <w:rFonts w:ascii="Times New Roman" w:eastAsia="Times New Roman" w:hAnsi="Times New Roman" w:cs="Times New Roman"/>
          <w:color w:val="222222"/>
          <w:sz w:val="27"/>
          <w:szCs w:val="27"/>
          <w:lang w:eastAsia="ru-RU"/>
        </w:rPr>
        <w:t>по показаниям</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Контрольные обследования после достижения ремиссии у пациентов с экстраокулярной формой РБ:</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17"/>
        <w:gridCol w:w="390"/>
        <w:gridCol w:w="391"/>
        <w:gridCol w:w="391"/>
        <w:gridCol w:w="391"/>
        <w:gridCol w:w="482"/>
        <w:gridCol w:w="482"/>
        <w:gridCol w:w="482"/>
        <w:gridCol w:w="482"/>
        <w:gridCol w:w="482"/>
        <w:gridCol w:w="482"/>
        <w:gridCol w:w="482"/>
        <w:gridCol w:w="482"/>
        <w:gridCol w:w="482"/>
        <w:gridCol w:w="482"/>
        <w:gridCol w:w="1239"/>
      </w:tblGrid>
      <w:tr w:rsidR="005674FC" w:rsidRPr="005674FC" w:rsidTr="005674FC">
        <w:tc>
          <w:tcPr>
            <w:tcW w:w="2600" w:type="pct"/>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Методы</w:t>
            </w:r>
          </w:p>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исследования</w:t>
            </w:r>
          </w:p>
        </w:tc>
        <w:tc>
          <w:tcPr>
            <w:tcW w:w="2350" w:type="pct"/>
            <w:gridSpan w:val="1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Сроки контрольных обследований после достижения ремиссии, мес.</w:t>
            </w:r>
          </w:p>
        </w:tc>
      </w:tr>
      <w:tr w:rsidR="005674FC" w:rsidRPr="005674FC" w:rsidTr="005674F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674FC" w:rsidRPr="005674FC" w:rsidRDefault="005674FC" w:rsidP="005674FC">
            <w:pPr>
              <w:spacing w:after="0" w:line="240" w:lineRule="auto"/>
              <w:rPr>
                <w:rFonts w:ascii="Verdana" w:eastAsia="Times New Roman" w:hAnsi="Verdana" w:cs="Times New Roman"/>
                <w:sz w:val="27"/>
                <w:szCs w:val="27"/>
                <w:lang w:eastAsia="ru-RU"/>
              </w:rPr>
            </w:pPr>
          </w:p>
        </w:tc>
        <w:tc>
          <w:tcPr>
            <w:tcW w:w="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1</w:t>
            </w:r>
          </w:p>
        </w:tc>
        <w:tc>
          <w:tcPr>
            <w:tcW w:w="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3</w:t>
            </w:r>
          </w:p>
        </w:tc>
        <w:tc>
          <w:tcPr>
            <w:tcW w:w="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6</w:t>
            </w:r>
          </w:p>
        </w:tc>
        <w:tc>
          <w:tcPr>
            <w:tcW w:w="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9</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12</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16</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20</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24</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30</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36</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42</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48</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54</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60</w:t>
            </w:r>
          </w:p>
        </w:tc>
        <w:tc>
          <w:tcPr>
            <w:tcW w:w="7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Пожизненно 1 раз в год</w:t>
            </w:r>
          </w:p>
        </w:tc>
      </w:tr>
      <w:tr w:rsidR="005674FC" w:rsidRPr="005674FC" w:rsidTr="005674FC">
        <w:tc>
          <w:tcPr>
            <w:tcW w:w="26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Консультация детского онколога</w:t>
            </w:r>
          </w:p>
        </w:tc>
        <w:tc>
          <w:tcPr>
            <w:tcW w:w="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7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r>
      <w:tr w:rsidR="005674FC" w:rsidRPr="005674FC" w:rsidTr="005674FC">
        <w:tc>
          <w:tcPr>
            <w:tcW w:w="26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Офтальмологическое обследование с медикаментозным мидриазом и применением ретинальной камеры</w:t>
            </w:r>
          </w:p>
        </w:tc>
        <w:tc>
          <w:tcPr>
            <w:tcW w:w="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7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r>
      <w:tr w:rsidR="005674FC" w:rsidRPr="005674FC" w:rsidTr="005674FC">
        <w:tc>
          <w:tcPr>
            <w:tcW w:w="26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УЗИ глаз и орбит</w:t>
            </w:r>
          </w:p>
        </w:tc>
        <w:tc>
          <w:tcPr>
            <w:tcW w:w="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7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r>
      <w:tr w:rsidR="005674FC" w:rsidRPr="005674FC" w:rsidTr="005674FC">
        <w:tc>
          <w:tcPr>
            <w:tcW w:w="26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lastRenderedPageBreak/>
              <w:t>МРТ орбит и глаз с в\в контрастированием</w:t>
            </w:r>
          </w:p>
        </w:tc>
        <w:tc>
          <w:tcPr>
            <w:tcW w:w="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7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r>
      <w:tr w:rsidR="005674FC" w:rsidRPr="005674FC" w:rsidTr="005674FC">
        <w:tc>
          <w:tcPr>
            <w:tcW w:w="26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УЗИ регионарных лимфатических узлов и органов брюшной полости</w:t>
            </w:r>
          </w:p>
        </w:tc>
        <w:tc>
          <w:tcPr>
            <w:tcW w:w="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7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r>
      <w:tr w:rsidR="005674FC" w:rsidRPr="005674FC" w:rsidTr="005674FC">
        <w:tc>
          <w:tcPr>
            <w:tcW w:w="26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КТ органов грудной клетки</w:t>
            </w:r>
          </w:p>
        </w:tc>
        <w:tc>
          <w:tcPr>
            <w:tcW w:w="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7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r>
      <w:tr w:rsidR="005674FC" w:rsidRPr="005674FC" w:rsidTr="005674FC">
        <w:tc>
          <w:tcPr>
            <w:tcW w:w="26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Сцинтиграфия костей с </w:t>
            </w:r>
            <w:r w:rsidRPr="005674FC">
              <w:rPr>
                <w:rFonts w:ascii="Verdana" w:eastAsia="Times New Roman" w:hAnsi="Verdana" w:cs="Times New Roman"/>
                <w:sz w:val="12"/>
                <w:szCs w:val="12"/>
                <w:vertAlign w:val="superscript"/>
                <w:lang w:eastAsia="ru-RU"/>
              </w:rPr>
              <w:t>99</w:t>
            </w:r>
            <w:r w:rsidRPr="005674FC">
              <w:rPr>
                <w:rFonts w:ascii="Verdana" w:eastAsia="Times New Roman" w:hAnsi="Verdana" w:cs="Times New Roman"/>
                <w:sz w:val="27"/>
                <w:szCs w:val="27"/>
                <w:lang w:eastAsia="ru-RU"/>
              </w:rPr>
              <w:t>Tc и мягких тканей с </w:t>
            </w:r>
            <w:r w:rsidRPr="005674FC">
              <w:rPr>
                <w:rFonts w:ascii="Verdana" w:eastAsia="Times New Roman" w:hAnsi="Verdana" w:cs="Times New Roman"/>
                <w:sz w:val="12"/>
                <w:szCs w:val="12"/>
                <w:vertAlign w:val="superscript"/>
                <w:lang w:eastAsia="ru-RU"/>
              </w:rPr>
              <w:t>67</w:t>
            </w:r>
            <w:r w:rsidRPr="005674FC">
              <w:rPr>
                <w:rFonts w:ascii="Verdana" w:eastAsia="Times New Roman" w:hAnsi="Verdana" w:cs="Times New Roman"/>
                <w:sz w:val="27"/>
                <w:szCs w:val="27"/>
                <w:lang w:eastAsia="ru-RU"/>
              </w:rPr>
              <w:t>Ga, костно-мозговая пункция с цитологией, если первично выявлялись метастазы в костях и мягких тканях</w:t>
            </w:r>
          </w:p>
        </w:tc>
        <w:tc>
          <w:tcPr>
            <w:tcW w:w="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х</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c>
          <w:tcPr>
            <w:tcW w:w="7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r>
    </w:tbl>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 </w:t>
      </w:r>
      <w:r w:rsidRPr="005674FC">
        <w:rPr>
          <w:rFonts w:ascii="Times New Roman" w:eastAsia="Times New Roman" w:hAnsi="Times New Roman" w:cs="Times New Roman"/>
          <w:color w:val="222222"/>
          <w:sz w:val="27"/>
          <w:szCs w:val="27"/>
          <w:lang w:eastAsia="ru-RU"/>
        </w:rPr>
        <w:t>по показаниям</w:t>
      </w:r>
    </w:p>
    <w:p w:rsidR="005674FC" w:rsidRPr="005674FC" w:rsidRDefault="005674FC" w:rsidP="005674F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74FC">
        <w:rPr>
          <w:rFonts w:ascii="Times New Roman" w:eastAsia="Times New Roman" w:hAnsi="Times New Roman" w:cs="Times New Roman"/>
          <w:b/>
          <w:bCs/>
          <w:color w:val="000000"/>
          <w:kern w:val="36"/>
          <w:sz w:val="48"/>
          <w:szCs w:val="48"/>
          <w:lang w:eastAsia="ru-RU"/>
        </w:rPr>
        <w:lastRenderedPageBreak/>
        <w:t>Организация оказания медицинской помощи</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Показанием для госпитализации в медицинскую организацию в экстренной или неотложной форме является:</w:t>
      </w:r>
    </w:p>
    <w:p w:rsidR="005674FC" w:rsidRPr="005674FC" w:rsidRDefault="005674FC" w:rsidP="005674FC">
      <w:pPr>
        <w:numPr>
          <w:ilvl w:val="0"/>
          <w:numId w:val="53"/>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наличие осложнений РБ, требующих оказания специализированной медицинской помощи в экстренной и неотложной форме;</w:t>
      </w:r>
    </w:p>
    <w:p w:rsidR="005674FC" w:rsidRPr="005674FC" w:rsidRDefault="005674FC" w:rsidP="005674FC">
      <w:pPr>
        <w:numPr>
          <w:ilvl w:val="0"/>
          <w:numId w:val="53"/>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наличие осложнений лечения (хирургическое вмешательство, лучевая терапия, лекарственная терапия и т. д.).</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Показанием для госпитализации в медицинскую организацию в плановой форме является:</w:t>
      </w:r>
    </w:p>
    <w:p w:rsidR="005674FC" w:rsidRPr="005674FC" w:rsidRDefault="005674FC" w:rsidP="005674FC">
      <w:pPr>
        <w:numPr>
          <w:ilvl w:val="0"/>
          <w:numId w:val="54"/>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необходимость проведения специализированного противоопухолевого лечения (хирургическое вмешательство, лучевая терапия, лекарственная терапия).</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Показанием к выписке пациента из медицинской организации является:</w:t>
      </w:r>
    </w:p>
    <w:p w:rsidR="005674FC" w:rsidRPr="005674FC" w:rsidRDefault="005674FC" w:rsidP="005674FC">
      <w:pPr>
        <w:numPr>
          <w:ilvl w:val="0"/>
          <w:numId w:val="55"/>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условиях отсутствия осложнений лечения, требующих медикаментозной коррекции и/или медицинских вмешательств в стационарных условиях;</w:t>
      </w:r>
    </w:p>
    <w:p w:rsidR="005674FC" w:rsidRPr="005674FC" w:rsidRDefault="005674FC" w:rsidP="005674FC">
      <w:pPr>
        <w:numPr>
          <w:ilvl w:val="0"/>
          <w:numId w:val="55"/>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 помощь при условии отсутствия осложнений основного заболевания и/или лечения, требующих медикаментозной коррекции и/или медицинских вмешательств в стационарных условиях;</w:t>
      </w:r>
    </w:p>
    <w:p w:rsidR="005674FC" w:rsidRPr="005674FC" w:rsidRDefault="005674FC" w:rsidP="005674FC">
      <w:pPr>
        <w:numPr>
          <w:ilvl w:val="0"/>
          <w:numId w:val="55"/>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необходимость перевода пациента в другую медицинскую организацию по соответствующему профилю оказания медицинской помощи. 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данным предварительного осмотра пациента врачами специалистами медицинской организации, в которую планируется перевод.</w:t>
      </w:r>
    </w:p>
    <w:p w:rsidR="005674FC" w:rsidRPr="005674FC" w:rsidRDefault="005674FC" w:rsidP="005674F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74FC">
        <w:rPr>
          <w:rFonts w:ascii="Times New Roman" w:eastAsia="Times New Roman" w:hAnsi="Times New Roman" w:cs="Times New Roman"/>
          <w:b/>
          <w:bCs/>
          <w:color w:val="000000"/>
          <w:kern w:val="36"/>
          <w:sz w:val="48"/>
          <w:szCs w:val="48"/>
          <w:lang w:eastAsia="ru-RU"/>
        </w:rPr>
        <w:lastRenderedPageBreak/>
        <w:t>6. Дополнительная информация, влияющая на течение и исход заболевания</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Неблагоприятные факторы, влияющие на исход </w:t>
      </w:r>
      <w:r w:rsidRPr="005674FC">
        <w:rPr>
          <w:rFonts w:ascii="Times New Roman" w:eastAsia="Times New Roman" w:hAnsi="Times New Roman" w:cs="Times New Roman"/>
          <w:b/>
          <w:bCs/>
          <w:color w:val="074E96"/>
          <w:sz w:val="27"/>
          <w:szCs w:val="27"/>
          <w:lang w:eastAsia="ru-RU"/>
        </w:rPr>
        <w:t>лечения</w:t>
      </w:r>
      <w:r w:rsidRPr="005674FC">
        <w:rPr>
          <w:rFonts w:ascii="Times New Roman" w:eastAsia="Times New Roman" w:hAnsi="Times New Roman" w:cs="Times New Roman"/>
          <w:b/>
          <w:bCs/>
          <w:color w:val="222222"/>
          <w:sz w:val="27"/>
          <w:szCs w:val="27"/>
          <w:lang w:eastAsia="ru-RU"/>
        </w:rPr>
        <w:t>:</w:t>
      </w:r>
    </w:p>
    <w:p w:rsidR="005674FC" w:rsidRPr="005674FC" w:rsidRDefault="005674FC" w:rsidP="005674FC">
      <w:pPr>
        <w:numPr>
          <w:ilvl w:val="0"/>
          <w:numId w:val="56"/>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Присоединение инфекционных осложнений;</w:t>
      </w:r>
    </w:p>
    <w:p w:rsidR="005674FC" w:rsidRPr="005674FC" w:rsidRDefault="005674FC" w:rsidP="005674FC">
      <w:pPr>
        <w:numPr>
          <w:ilvl w:val="0"/>
          <w:numId w:val="56"/>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Развитие анемического, тромбоцитопенического синдромов, требующие трансфузий компонентов крови;</w:t>
      </w:r>
    </w:p>
    <w:p w:rsidR="005674FC" w:rsidRPr="005674FC" w:rsidRDefault="005674FC" w:rsidP="005674FC">
      <w:pPr>
        <w:numPr>
          <w:ilvl w:val="0"/>
          <w:numId w:val="56"/>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Удлинение интервалов между введениями химиопрепаратов;</w:t>
      </w:r>
    </w:p>
    <w:p w:rsidR="005674FC" w:rsidRPr="005674FC" w:rsidRDefault="005674FC" w:rsidP="005674FC">
      <w:pPr>
        <w:numPr>
          <w:ilvl w:val="0"/>
          <w:numId w:val="56"/>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Редукция доз химиопрепаратов;</w:t>
      </w:r>
    </w:p>
    <w:p w:rsidR="005674FC" w:rsidRPr="005674FC" w:rsidRDefault="005674FC" w:rsidP="005674FC">
      <w:pPr>
        <w:numPr>
          <w:ilvl w:val="0"/>
          <w:numId w:val="56"/>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Нарушение графика наблюдения за пациентом как в ходе </w:t>
      </w:r>
      <w:r w:rsidRPr="005674FC">
        <w:rPr>
          <w:rFonts w:ascii="Times New Roman" w:eastAsia="Times New Roman" w:hAnsi="Times New Roman" w:cs="Times New Roman"/>
          <w:color w:val="074E96"/>
          <w:sz w:val="27"/>
          <w:szCs w:val="27"/>
          <w:lang w:eastAsia="ru-RU"/>
        </w:rPr>
        <w:t>лечения</w:t>
      </w:r>
      <w:r w:rsidRPr="005674FC">
        <w:rPr>
          <w:rFonts w:ascii="Times New Roman" w:eastAsia="Times New Roman" w:hAnsi="Times New Roman" w:cs="Times New Roman"/>
          <w:color w:val="222222"/>
          <w:sz w:val="27"/>
          <w:szCs w:val="27"/>
          <w:lang w:eastAsia="ru-RU"/>
        </w:rPr>
        <w:t>, так. </w:t>
      </w:r>
    </w:p>
    <w:p w:rsidR="005674FC" w:rsidRPr="005674FC" w:rsidRDefault="005674FC" w:rsidP="005674FC">
      <w:p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Неблагоприятные факторы, влияющие на исход лечения:</w:t>
      </w:r>
    </w:p>
    <w:p w:rsidR="005674FC" w:rsidRPr="005674FC" w:rsidRDefault="005674FC" w:rsidP="005674FC">
      <w:pPr>
        <w:numPr>
          <w:ilvl w:val="1"/>
          <w:numId w:val="56"/>
        </w:numPr>
        <w:spacing w:after="0" w:line="390" w:lineRule="atLeast"/>
        <w:ind w:left="90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Присоединение инфекционных осложнений;</w:t>
      </w:r>
    </w:p>
    <w:p w:rsidR="005674FC" w:rsidRPr="005674FC" w:rsidRDefault="005674FC" w:rsidP="005674FC">
      <w:pPr>
        <w:numPr>
          <w:ilvl w:val="1"/>
          <w:numId w:val="56"/>
        </w:numPr>
        <w:spacing w:after="0" w:line="390" w:lineRule="atLeast"/>
        <w:ind w:left="90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Развитие анемического, тромбоцитопенического синдромов, требующие трансфузий компонентов крови;</w:t>
      </w:r>
    </w:p>
    <w:p w:rsidR="005674FC" w:rsidRPr="005674FC" w:rsidRDefault="005674FC" w:rsidP="005674FC">
      <w:pPr>
        <w:numPr>
          <w:ilvl w:val="1"/>
          <w:numId w:val="56"/>
        </w:numPr>
        <w:spacing w:after="0" w:line="390" w:lineRule="atLeast"/>
        <w:ind w:left="90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Удлинение интервалов между введениями химиопрепаратов;</w:t>
      </w:r>
    </w:p>
    <w:p w:rsidR="005674FC" w:rsidRPr="005674FC" w:rsidRDefault="005674FC" w:rsidP="005674FC">
      <w:pPr>
        <w:numPr>
          <w:ilvl w:val="1"/>
          <w:numId w:val="56"/>
        </w:numPr>
        <w:spacing w:after="0" w:line="390" w:lineRule="atLeast"/>
        <w:ind w:left="90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Редукция доз химиопрепаратов;</w:t>
      </w:r>
    </w:p>
    <w:p w:rsidR="005674FC" w:rsidRPr="005674FC" w:rsidRDefault="005674FC" w:rsidP="005674FC">
      <w:pPr>
        <w:numPr>
          <w:ilvl w:val="1"/>
          <w:numId w:val="56"/>
        </w:numPr>
        <w:spacing w:after="0" w:line="390" w:lineRule="atLeast"/>
        <w:ind w:left="90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Нарушение графика наблюдения за пациентом как в ходе лечения, так и при динамическом наблюдении.</w:t>
      </w:r>
    </w:p>
    <w:p w:rsidR="005674FC" w:rsidRPr="005674FC" w:rsidRDefault="005674FC" w:rsidP="005674FC">
      <w:p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и при динамическом наблюдении.</w:t>
      </w:r>
    </w:p>
    <w:p w:rsidR="005674FC" w:rsidRPr="005674FC" w:rsidRDefault="005674FC" w:rsidP="005674F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74FC">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pPr w:leftFromText="36" w:rightFromText="36" w:vertAnchor="text"/>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54"/>
        <w:gridCol w:w="6289"/>
        <w:gridCol w:w="2096"/>
      </w:tblGrid>
      <w:tr w:rsidR="005674FC" w:rsidRPr="005674FC" w:rsidTr="005674FC">
        <w:trPr>
          <w:tblHeader/>
        </w:trPr>
        <w:tc>
          <w:tcPr>
            <w:tcW w:w="5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w:t>
            </w:r>
          </w:p>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 </w:t>
            </w:r>
          </w:p>
        </w:tc>
        <w:tc>
          <w:tcPr>
            <w:tcW w:w="33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Критерии качества</w:t>
            </w:r>
          </w:p>
        </w:tc>
        <w:tc>
          <w:tcPr>
            <w:tcW w:w="1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uto"/>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 </w:t>
            </w:r>
          </w:p>
        </w:tc>
      </w:tr>
      <w:tr w:rsidR="005674FC" w:rsidRPr="005674FC" w:rsidTr="005674FC">
        <w:tc>
          <w:tcPr>
            <w:tcW w:w="5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1.</w:t>
            </w:r>
          </w:p>
        </w:tc>
        <w:tc>
          <w:tcPr>
            <w:tcW w:w="33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У пациента с подозрением на РБ выполнен осмотр врачом-офтальмологом с оценкой состояния век, положения глаз и объема их движений, фиксации взгляда каждого глаза на неподвижном предмете, реакции зрачка на световой раздражитель, уровня ВГД</w:t>
            </w:r>
          </w:p>
        </w:tc>
        <w:tc>
          <w:tcPr>
            <w:tcW w:w="1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Да/нет</w:t>
            </w:r>
          </w:p>
        </w:tc>
      </w:tr>
      <w:tr w:rsidR="005674FC" w:rsidRPr="005674FC" w:rsidTr="005674FC">
        <w:tc>
          <w:tcPr>
            <w:tcW w:w="5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lastRenderedPageBreak/>
              <w:t>2.</w:t>
            </w:r>
          </w:p>
        </w:tc>
        <w:tc>
          <w:tcPr>
            <w:tcW w:w="33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У пациента с РБ выполнено  патолого-анатомическое исследование удаленного глаза или иных удаленных органов и тканей</w:t>
            </w:r>
          </w:p>
        </w:tc>
        <w:tc>
          <w:tcPr>
            <w:tcW w:w="1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Да/нет</w:t>
            </w:r>
          </w:p>
        </w:tc>
      </w:tr>
      <w:tr w:rsidR="005674FC" w:rsidRPr="005674FC" w:rsidTr="005674FC">
        <w:tc>
          <w:tcPr>
            <w:tcW w:w="5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3.</w:t>
            </w:r>
          </w:p>
        </w:tc>
        <w:tc>
          <w:tcPr>
            <w:tcW w:w="33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У пациента с подозрением на РБ или с верифицированной РБ при планировании любого вида лечения выполнен </w:t>
            </w:r>
            <w:r w:rsidRPr="005674FC">
              <w:rPr>
                <w:rFonts w:ascii="Verdana" w:eastAsia="Times New Roman" w:hAnsi="Verdana" w:cs="Times New Roman"/>
                <w:i/>
                <w:iCs/>
                <w:color w:val="333333"/>
                <w:sz w:val="27"/>
                <w:szCs w:val="27"/>
                <w:lang w:eastAsia="ru-RU"/>
              </w:rPr>
              <w:t>общий (клинический) анализ крови</w:t>
            </w:r>
          </w:p>
        </w:tc>
        <w:tc>
          <w:tcPr>
            <w:tcW w:w="1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Да/нет</w:t>
            </w:r>
          </w:p>
        </w:tc>
      </w:tr>
      <w:tr w:rsidR="005674FC" w:rsidRPr="005674FC" w:rsidTr="005674FC">
        <w:tc>
          <w:tcPr>
            <w:tcW w:w="5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4.</w:t>
            </w:r>
          </w:p>
        </w:tc>
        <w:tc>
          <w:tcPr>
            <w:tcW w:w="33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У пациента с подозрением на РБ или с верифицированной РБ при планировании любого вида лечения выполнен </w:t>
            </w:r>
            <w:r w:rsidRPr="005674FC">
              <w:rPr>
                <w:rFonts w:ascii="Verdana" w:eastAsia="Times New Roman" w:hAnsi="Verdana" w:cs="Times New Roman"/>
                <w:i/>
                <w:iCs/>
                <w:color w:val="333333"/>
                <w:sz w:val="27"/>
                <w:szCs w:val="27"/>
                <w:lang w:eastAsia="ru-RU"/>
              </w:rPr>
              <w:t>общий (клинический) анализ крови</w:t>
            </w:r>
          </w:p>
        </w:tc>
        <w:tc>
          <w:tcPr>
            <w:tcW w:w="1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Да/нет</w:t>
            </w:r>
          </w:p>
        </w:tc>
      </w:tr>
      <w:tr w:rsidR="005674FC" w:rsidRPr="005674FC" w:rsidTr="005674FC">
        <w:tc>
          <w:tcPr>
            <w:tcW w:w="5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5.</w:t>
            </w:r>
          </w:p>
        </w:tc>
        <w:tc>
          <w:tcPr>
            <w:tcW w:w="33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У пациента с подозрением на РБ или с верифицированной РБ при планировании любого вида лечения выполнен</w:t>
            </w:r>
            <w:r w:rsidRPr="005674FC">
              <w:rPr>
                <w:rFonts w:ascii="Verdana" w:eastAsia="Times New Roman" w:hAnsi="Verdana" w:cs="Times New Roman"/>
                <w:i/>
                <w:iCs/>
                <w:color w:val="333333"/>
                <w:sz w:val="27"/>
                <w:szCs w:val="27"/>
                <w:lang w:eastAsia="ru-RU"/>
              </w:rPr>
              <w:t> анализ крови биохимический общетерапевтический (с определением содержания белка, билирубина, мочевины, креатинина, аспартатаминотрансфераза (АСT), аланинаминотрансфераза (AЛТ), лактатдегидрогеназа (ЛДГ), щелочная фосфатаза (ЩФ), Na +, K +, Са +, Cl-)</w:t>
            </w:r>
          </w:p>
        </w:tc>
        <w:tc>
          <w:tcPr>
            <w:tcW w:w="1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Да/нет</w:t>
            </w:r>
          </w:p>
        </w:tc>
      </w:tr>
      <w:tr w:rsidR="005674FC" w:rsidRPr="005674FC" w:rsidTr="005674FC">
        <w:tc>
          <w:tcPr>
            <w:tcW w:w="5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6.</w:t>
            </w:r>
          </w:p>
        </w:tc>
        <w:tc>
          <w:tcPr>
            <w:tcW w:w="33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У пациента с подозрением на РБ или с верифицированной РБ при планировании лечения выполнены следующие методы офтальмологической инструментальной диагностики: визометрия, тонометрия, биомикроскопия, сканирование глазного дна с помощью ретинальной камеры, прямая и обратная офтальмоскопия при максимальном мидриазе под общей анестезией с использованием офтальмоскопа</w:t>
            </w:r>
          </w:p>
        </w:tc>
        <w:tc>
          <w:tcPr>
            <w:tcW w:w="1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Да/нет</w:t>
            </w:r>
          </w:p>
        </w:tc>
      </w:tr>
      <w:tr w:rsidR="005674FC" w:rsidRPr="005674FC" w:rsidTr="005674FC">
        <w:tc>
          <w:tcPr>
            <w:tcW w:w="5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7.</w:t>
            </w:r>
          </w:p>
        </w:tc>
        <w:tc>
          <w:tcPr>
            <w:tcW w:w="33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У пациента с подозрением на РБ или верифицированной РБ при планировании лечения выполнено УЗИ глаз и орбит</w:t>
            </w:r>
          </w:p>
        </w:tc>
        <w:tc>
          <w:tcPr>
            <w:tcW w:w="1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Да/нет</w:t>
            </w:r>
          </w:p>
        </w:tc>
      </w:tr>
      <w:tr w:rsidR="005674FC" w:rsidRPr="005674FC" w:rsidTr="005674FC">
        <w:tc>
          <w:tcPr>
            <w:tcW w:w="5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lastRenderedPageBreak/>
              <w:t>8.</w:t>
            </w:r>
          </w:p>
        </w:tc>
        <w:tc>
          <w:tcPr>
            <w:tcW w:w="33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У пациента с РБ перед началом каждого курса химиотерапии или лучевой терапии выполнено УЗИ глаз и орбит</w:t>
            </w:r>
          </w:p>
        </w:tc>
        <w:tc>
          <w:tcPr>
            <w:tcW w:w="1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Да/нет</w:t>
            </w:r>
          </w:p>
        </w:tc>
      </w:tr>
      <w:tr w:rsidR="005674FC" w:rsidRPr="005674FC" w:rsidTr="005674FC">
        <w:tc>
          <w:tcPr>
            <w:tcW w:w="5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9.</w:t>
            </w:r>
          </w:p>
        </w:tc>
        <w:tc>
          <w:tcPr>
            <w:tcW w:w="33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У пациента с РБ выполнена компьютерная томография (КТ) органов грудной клетки</w:t>
            </w:r>
          </w:p>
        </w:tc>
        <w:tc>
          <w:tcPr>
            <w:tcW w:w="1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Да/нет</w:t>
            </w:r>
          </w:p>
        </w:tc>
      </w:tr>
      <w:tr w:rsidR="005674FC" w:rsidRPr="005674FC" w:rsidTr="005674FC">
        <w:tc>
          <w:tcPr>
            <w:tcW w:w="5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10.</w:t>
            </w:r>
          </w:p>
        </w:tc>
        <w:tc>
          <w:tcPr>
            <w:tcW w:w="33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У пациента с подозрением на РБ выполнено  УЗИ органов брюшной полости, забрюшинного пространства, шейных лимфатических узлов</w:t>
            </w:r>
          </w:p>
        </w:tc>
        <w:tc>
          <w:tcPr>
            <w:tcW w:w="1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Да/нет</w:t>
            </w:r>
          </w:p>
        </w:tc>
      </w:tr>
      <w:tr w:rsidR="005674FC" w:rsidRPr="005674FC" w:rsidTr="005674FC">
        <w:tc>
          <w:tcPr>
            <w:tcW w:w="5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11.</w:t>
            </w:r>
          </w:p>
        </w:tc>
        <w:tc>
          <w:tcPr>
            <w:tcW w:w="33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У пациента с подозрением на РБ и его родственников первой степени родства выполнена консультация врача-генетика</w:t>
            </w:r>
          </w:p>
        </w:tc>
        <w:tc>
          <w:tcPr>
            <w:tcW w:w="1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Да/нет</w:t>
            </w:r>
          </w:p>
        </w:tc>
      </w:tr>
      <w:tr w:rsidR="005674FC" w:rsidRPr="005674FC" w:rsidTr="005674FC">
        <w:tc>
          <w:tcPr>
            <w:tcW w:w="5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12.</w:t>
            </w:r>
          </w:p>
        </w:tc>
        <w:tc>
          <w:tcPr>
            <w:tcW w:w="33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У пациента с подозрением на РБ и его родственников первой степени родства выполнено молекулярно-генетическое исследование мутаций в гене RBI</w:t>
            </w:r>
          </w:p>
        </w:tc>
        <w:tc>
          <w:tcPr>
            <w:tcW w:w="11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Да/нет</w:t>
            </w:r>
          </w:p>
        </w:tc>
      </w:tr>
    </w:tbl>
    <w:p w:rsidR="005674FC" w:rsidRPr="005674FC" w:rsidRDefault="005674FC" w:rsidP="005674F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74FC">
        <w:rPr>
          <w:rFonts w:ascii="Times New Roman" w:eastAsia="Times New Roman" w:hAnsi="Times New Roman" w:cs="Times New Roman"/>
          <w:b/>
          <w:bCs/>
          <w:color w:val="000000"/>
          <w:kern w:val="36"/>
          <w:sz w:val="48"/>
          <w:szCs w:val="48"/>
          <w:lang w:eastAsia="ru-RU"/>
        </w:rPr>
        <w:t>Список литературы</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1.        Бровкина А.Ф. Офтальмоонкология: Руководство для врачей. 2002. 424 p.</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2.        Дурнов Л.А., Голдобенко Г.В. Учебник «Детская онкология». 2002. 607 p.</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3.        Алексеева Е.А. et al. Результаты использования новой медицинской технологии комплексной днк-диагностики ретинобластомы // Медицинская генетика. 2017. Vol. 16 №10. P. 41–46.</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4.        Козлова В.М. et al. Ретинобластома: Диагностика и генетическое консультирование // Онкопедиатрия. 2015. Vol. 2 №1. P. 30–38.</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5.        Саакян С.В. Ретинобластома (клиника, диагностика, лечение). 2005. 200 p.</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6.        Abramson D.H. et al. Second nonocular tumors in retinoblastoma survivors. Are they radiation-induced? // Ophthalmology. 1984. Vol. 91, № 11. P. 1351–1355.</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lastRenderedPageBreak/>
        <w:t>7.        Shields C.L. et al. Retinoblastoma frontiers with intravenous, intra-arterial, periocular, and intravitreal chemotherapy // Eye (Basingstoke). Nature Publishing Group, 2013. Vol. 27, № 2. P. 253–264.</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8.        Саакян С.В. Современные подходы к лечению ретинобластомы // РОЖ. 2008. Vol. 1 №1. P. 33–39.</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9.        Катаргина Л.А., Арестова Н.Н., Михайлова Л.А. Достижения детской офтальмологии в Российской Федерации за 10 лет // Российская педиатрическая офтальмология. 2018. Vol. 13 № 2. P. 62–66.</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10.      Малахова А.А., Бабий Е.С., Алиев М.Д. Детский госпитальный канцер-регистр как инструмент аудита лечения пациентов, модернизации и научной деятельности // Саркомы костей, мягких тканей и опухоли кожи. 2019. Vol. 11 № 2. P. 5–11.</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11.      Яровой А.А. Глава 16. Современные методы диагностики и лечения ретинобластомы // Офтальмопатология детского возраста. Под редакцией Е.Е. Сомова. 2019. P. 424.</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12.      Поляков В.Г., Ушакова Т.Л. Ретинобластома. Руководство по химиотерапии опухолевых заболеваний под редакцией Н. И. Переводчиковой, В. А. Горбуновой. 2015. 688 p.</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13.      Rao R., Honavar S.G. Retinoblastoma // Indian Journal of Pediatrics. Springer, 2017. Vol. 84, № 12. P. 937–944.</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14.      Schouten-van Meeteren A.Y. et al. Histopathologic features of retinoblastoma and its relation with in vitro drug resistance measured by means of the MTT assay. // Cancer. 2001. Vol. 92, № 11. P. 2933–2940.</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15.      Ушакова Т.Л. et al. Программа лечения детей с односторонней ретинобластомой и показаниями к энуклеации. Пособие для врачей. 2015. 27 p.</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16.      Детская онкология. Национальное руководство. Под ред. М.Д. Алиева, В.Г. Полякова, Г.Л. Менткевича, С.А. Маяковой. М.: Издательская группа РОНЦ. Практическая медицина, 2012. 684 p.</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 xml:space="preserve">17.      Саакян C.B. et al. Комплексное ультразвуковое исследование в оценке эффективности интраартериального введения карбопла-тина у детей с </w:t>
      </w:r>
      <w:r w:rsidRPr="005674FC">
        <w:rPr>
          <w:rFonts w:ascii="Times New Roman" w:eastAsia="Times New Roman" w:hAnsi="Times New Roman" w:cs="Times New Roman"/>
          <w:color w:val="222222"/>
          <w:sz w:val="27"/>
          <w:szCs w:val="27"/>
          <w:lang w:eastAsia="ru-RU"/>
        </w:rPr>
        <w:lastRenderedPageBreak/>
        <w:t>ретинобластомой // Российский офтальмологический журнал. 2012. Vol. 5 №3. P. 49–52.</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18.      De Graaf P. et al. Guidelines for imaging retinoblastoma: Imaging principles and MRI standardization // Pediatric Radiology. 2012. Vol. 42, № 1. P. 2–14.</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19.      Soliman S.E. et al. Optical Coherence Tomography–Guided Decisions in Retinoblastoma Management // Ophthalmology. Elsevier Inc., 2017. Vol. 124, № 6. P. 859–872.</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20.      Brodie S.E. et al. ERG monitoring of retinal function during systemic chemotherapy for retinoblastoma // Br. J. Ophthalmol. 2012. Vol. 96, № 6. P. 877–880.</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21.      Ушакова Т.Л. et al. Ретинобластома // Детская онкология. Клинические рекомендации по лечению пациентов с солидными опухолями, под редакцией М.Ю. Рыкова, В.Г. Полякова. 2017. P. 74–103.</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22.      Bakhshi S. et al. Bone marrow aspirations and lumbar punctures in retinoblastoma at diagnosis: Correlation with IRSS staging // J. Pediatr. Hematol. Oncol. J Pediatr Hematol Oncol, 2011. Vol. 33, № 5.</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23.      Moscinski L.C. et al. Recommendations for the use of routine bone marrow aspiration and lumbar punctures in the follow-up of patients with retinoblastoma // J. Pediatr. Hematol. Oncol. J Pediatr Hematol Oncol, 1996. Vol. 18, № 2. P. 130–134.</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24.      Li W.L. et al. A Rapid and Sensitive Next-Generation Sequencing Method to Detect RB1 Mutations Improves Care for Retinoblastoma Patients and Their Families // J. Mol. Diagnostics. Elsevier B.V., 2016. Vol. 18, № 4. P. 480–493.</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25.      Ушакова Т.Л. Современные подходы к лечению ретинобластомы // Вестник РОНЦ. 2011. Vol. 22 №2. P. 41–48.</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26.      Яровой А.А. et al. Роль локальных методов в системе органосохраняющего лечения интраокулярной ретинобластомы // РОНЦ им.Н.Н. Блохина. 2015. Vol. 2. P. 15–22.</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27.      Friedman D.L. et al. Systemic neoadjuvant chemotherapy for Group B intraocular retinoblastoma (ARET0331): A report from the Children’s Oncology Group // Pediatr. Blood Cancer. John Wiley and Sons Inc., 2017. Vol. 64, № 7.</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lastRenderedPageBreak/>
        <w:t>28.      Suzuki S. et al. Selective ophthalmic arterial injection therapy for intraocular retinoblastoma: The long-term prognosis // Ophthalmology. 2011. Vol. 118, № 10. P. 2081–2087.</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29.      Rodriguez-Galindo C. et al. Treatment of intraocular retinoblastoma with vincristine and carboplatin // J. Clin. Oncol. 2003. Vol. 21, № 10. P. 2019–2025.</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30.      Parareda A. et al. Intra-arterial chemotherapy for retinoblastoma. Challenges of a prospective study // Acta Ophthalmol. Blackwell Publishing Ltd, 2014. Vol. 92, № 3. P. 209–215.</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31.      Abramson D.H. et al. Systemic carboplatin for retinoblastoma: Change in tumour size over time // Br. J. Ophthalmol. 2005. Vol. 89, № 12. P. 1616–1619.</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32.      Mendoza P.R., Grossniklaus H.E. Therapeutic options for retinoblastoma // Cancer Control. H. Lee Moffitt Cancer Center and Research Institute, 2016. Vol. 23, № 2. P. 99–109.</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33.      Daniels A.B., Mukai S. Modern surgical techniques in the management of retinoblastoma // Int. Ophthalmol. Clin. Lippincott Williams and Wilkins, 2017. Vol. 57, № 1. P. 195–218.</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34.      Abramson D.H. et al. Treatment of retinoblastoma in 2015 agreement and disagreement // JAMA Ophthalmology. American Medical Association, 2015. Vol. 133, № 11. P. 1341–1347.</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35.      Ушакова Т.Л. et al. Новая эра органосохраняющего лечения детей с интраокулярной ретинобластомой в России: мультицентровое когортное исследование // Онкопедиатрия. 2018. Vol. 5 №1. P. 51–69.</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36.      Shahsavari M., Mashayekhi A. Pharmacotherapy for retinoblastoma. // J. Ophthalmic Vis. Res. 2009. Vol. 4, № 3. P. 169–173.</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37.      Саакян C.B. et al. Суперселективная интраартериальная химиотерапия в лечении резистентных и да-лекозашедших форм ретинобластомы: возможные осложнения и меры их профилактики // Российская педиатрическая офтальмология. 2013. Vol. №1. P. 31–34.</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 xml:space="preserve">38.      Ушакова Т.Л. et al. Предварительные результаты органосохраняющего лечения интраокулярной ретинобластомы у детей с использованием селективной </w:t>
      </w:r>
      <w:r w:rsidRPr="005674FC">
        <w:rPr>
          <w:rFonts w:ascii="Times New Roman" w:eastAsia="Times New Roman" w:hAnsi="Times New Roman" w:cs="Times New Roman"/>
          <w:color w:val="222222"/>
          <w:sz w:val="27"/>
          <w:szCs w:val="27"/>
          <w:lang w:eastAsia="ru-RU"/>
        </w:rPr>
        <w:lastRenderedPageBreak/>
        <w:t>внутриартериальной химиотерапии мелфаланом // Российский вестник детской хирургии, анестезиологии и реанимации. 2012. Vol. II №4. P. 48–52.</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39.      Manjandavida F. et al. Intra-arterial chemotherapy in retinoblastoma - A paradigm change // Indian Journal of Ophthalmology. Wolters Kluwer Medknow Publications, 2019. Vol. 67, № 6. P. 740–754.</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40.      Munier F.L. et al. First-line intra-arterial versus intravenous chemotherapy in unilateral sporadic group D retinoblastoma: Evidence of better visual outcomes, ocular survival and shorter time to success with intra-arterial delivery from retrospective review of 20years of treatment // Br. J. Ophthalmol. BMJ Publishing Group, 2017. Vol. 101, № 8. P. 1086–1093.</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41.      Schouten-van Meeteren A.Y.N. et al. Chemotherapy for retinoblastoma: An expanding area of clinical research // Medical and Pediatric Oncology. 2002. Vol. 38, № 6. P. 428–438.</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42.      Shields C.L., Shields J.A. Intra-arterial chemotherapy for retinoblastoma: The beginning of a long journey // Clinical and Experimental Ophthalmology. 2010. Vol. 38, № 6. P. 638–643.</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43.      Shields C.L. et al. Management of advanced retinoblastoma with intravenous chemotherapy then intra-arterial chemotherapy as alternative to enucleation // Retina. 2013. Vol. 33, № 10. P. 2103–2109.</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44.      Shields C.L. et al. Intra-arterial chemotherapy for retinoblastoma in 70 eyes: Outcomes based on the international classification of retinoblastoma // Ophthalmology. Elsevier Inc., 2014. Vol. 121, № 7. P. 1453–1460.</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45.      Abramson D.H. et al. Intravitreal chemotherapy and laser for newly visible subretinal seeds in retinoblastoma // Ophthalmic Genet. Taylor and Francis Ltd, 2018. Vol. 39, № 3. P. 353–356.</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46.      Munier F.L. et al. Intravitreal chemotherapy for vitreous disease in retinoblastoma revisited: From prohibition to conditional indications // Br. J. Ophthalmol. 2012. Vol. 96, № 8. P. 1078–1083.</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47.      Ушакова Т.Л., Павловская А.И., Поляков В.Г. Морфологические факторы прогноза у детей с односторонней ретинобластомой после инициальной энуклеации // Онкохирургия. 2011. Vol. 3 №4. P. 4–8.</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lastRenderedPageBreak/>
        <w:t>48.      Chévez-Barrios P. et al. Study of Unilateral Retinoblastoma With and Without Histopathologic High-Risk Features and the Role of Adjuvant Chemotherapy: A Children’s Oncology Group Study // J. Clin. Oncol. NLM (Medline), 2019. Vol. 37, № 31. P. 2883–2891.</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49.      Elzomor H. et al. High Risk Retinoblastoma: Prevalence and Success of Treatment in Developing Countries // Ophthalmic Genetics. Taylor and Francis Ltd, 2015. Vol. 36, № 3. P. 287–289.</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50.      Magramm I., Abramson D.H., Ellsworth R.M. Optic Nerve Involvement in Retinoblastoma // Ophthalmology. 1989. Vol. 96, № 2. P. 217–222.</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51.      Messmer E.P. et al. Risk factors for metastases in patients with retinoblastoma. // Ophthalmology. 1991. Vol. 98, № 2. P. 136–141.</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52.      Rootman J. et al. Invasion of the optic nerve by retinoblastoma: a clinicopathological study. // Can. J. Ophthalmol. 1976. Vol. 11, № 2. P. 106–114.</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53.      Shields C.L. et al. Optic nerve invasion of retinoblastoma. Metastatic potential and clinical risk factors. // Cancer. 1994. Vol. 73, № 3. P. 692–698.</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54.      Яровой А.А. et al. Результаты локального лечения ретинобластомы при недостаточной эффективности полихимиотерапии // Офтальмохирургия. 2014. Vol. 1. P. 79–84.</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55.      Leclerc R., Olin J. An Overview of Retinoblastoma and Enucleation in Pediatric Patients // AORN J. Wiley-Blackwell, 2020. Vol. 111, № 1. P. 69–79.</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56.      Ушакова Т.Л. et al. Ретинобластома с экстраокулярным ростом по зрительному нерву: клинический случай // Российский журнал детской гематологии и онкологии. 2019. Vol. 6, № 4. P. 83–92.</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57.      Саакян С.В. et al. Брахитерапия внутриглазных опухолей // Эффективная фармакотерапия. 2019. Vol. 15 №17. P. 8–10.</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58.      Ушакова Т.Л., Глеков И.В., Поляков В.Г. Дистанционная лучевая терапия в комплексном лечении распространенной ретинобластомы у детей // Онкология. 2013. Vol. 2. P. 38–42.</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lastRenderedPageBreak/>
        <w:t>59.      Choudhury M. et al. A Multidisciplinary Approach for Rehabilitation of Enucleated Sockets: Ocular Implants with Custom Ocular Prosthesis // Cureus. Cureus, Inc., 2018.</w:t>
      </w:r>
    </w:p>
    <w:p w:rsidR="005674FC" w:rsidRPr="005674FC" w:rsidRDefault="005674FC" w:rsidP="005674F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74FC">
        <w:rPr>
          <w:rFonts w:ascii="Times New Roman" w:eastAsia="Times New Roman" w:hAnsi="Times New Roman" w:cs="Times New Roman"/>
          <w:b/>
          <w:bCs/>
          <w:color w:val="000000"/>
          <w:kern w:val="36"/>
          <w:sz w:val="48"/>
          <w:szCs w:val="48"/>
          <w:lang w:eastAsia="ru-RU"/>
        </w:rPr>
        <w:t>Приложение А1. Состав рабочей группы</w:t>
      </w:r>
    </w:p>
    <w:p w:rsidR="005674FC" w:rsidRPr="005674FC" w:rsidRDefault="005674FC" w:rsidP="005674FC">
      <w:pPr>
        <w:numPr>
          <w:ilvl w:val="0"/>
          <w:numId w:val="57"/>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Бородин Юрий Иванович, </w:t>
      </w:r>
      <w:r w:rsidRPr="005674FC">
        <w:rPr>
          <w:rFonts w:ascii="Times New Roman" w:eastAsia="Times New Roman" w:hAnsi="Times New Roman" w:cs="Times New Roman"/>
          <w:color w:val="222222"/>
          <w:sz w:val="27"/>
          <w:szCs w:val="27"/>
          <w:lang w:eastAsia="ru-RU"/>
        </w:rPr>
        <w:t>к.м.н., заведующий отделением радиологии ФГБУ «НМИЦ Глазных болезней им. Гельмгольца» МЗ РФ, член ООО «Ассоциация врачей-офтальмологов»</w:t>
      </w:r>
    </w:p>
    <w:p w:rsidR="005674FC" w:rsidRPr="005674FC" w:rsidRDefault="005674FC" w:rsidP="005674FC">
      <w:pPr>
        <w:numPr>
          <w:ilvl w:val="0"/>
          <w:numId w:val="58"/>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Булгакова Евгения Сергеевна</w:t>
      </w:r>
      <w:r w:rsidRPr="005674FC">
        <w:rPr>
          <w:rFonts w:ascii="Times New Roman" w:eastAsia="Times New Roman" w:hAnsi="Times New Roman" w:cs="Times New Roman"/>
          <w:color w:val="222222"/>
          <w:sz w:val="27"/>
          <w:szCs w:val="27"/>
          <w:lang w:eastAsia="ru-RU"/>
        </w:rPr>
        <w:t> к.м.н., заведующая отделением офтальмоонкологии и радиологии ФГАУ «НМИЦ «МНТК Микрохирургия глаза» им. акад. С.Н. Федорова» МЗ РФ, член Всероссийская общественная организация «Общество офтальмологов России»</w:t>
      </w:r>
    </w:p>
    <w:p w:rsidR="005674FC" w:rsidRPr="005674FC" w:rsidRDefault="005674FC" w:rsidP="005674FC">
      <w:pPr>
        <w:numPr>
          <w:ilvl w:val="0"/>
          <w:numId w:val="58"/>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Глеков Игорь Викторович</w:t>
      </w:r>
      <w:r w:rsidRPr="005674FC">
        <w:rPr>
          <w:rFonts w:ascii="Times New Roman" w:eastAsia="Times New Roman" w:hAnsi="Times New Roman" w:cs="Times New Roman"/>
          <w:color w:val="222222"/>
          <w:sz w:val="27"/>
          <w:szCs w:val="27"/>
          <w:lang w:eastAsia="ru-RU"/>
        </w:rPr>
        <w:t>, д.м.н., профессор, заведующий радиологическим отделением отдела лучевых методов диагностики и терапии опухолей НИИ ДОГ ФГБУ «НМИЦ онкологии им. Н.Н. Блохина» МЗ РФ, член Российской ассоциации терапевтических радиационных  онкологов (РАТРО)</w:t>
      </w:r>
    </w:p>
    <w:p w:rsidR="005674FC" w:rsidRPr="005674FC" w:rsidRDefault="005674FC" w:rsidP="005674FC">
      <w:pPr>
        <w:numPr>
          <w:ilvl w:val="0"/>
          <w:numId w:val="58"/>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Горовцова Ольга Валерьевна</w:t>
      </w:r>
      <w:r w:rsidRPr="005674FC">
        <w:rPr>
          <w:rFonts w:ascii="Times New Roman" w:eastAsia="Times New Roman" w:hAnsi="Times New Roman" w:cs="Times New Roman"/>
          <w:color w:val="222222"/>
          <w:sz w:val="27"/>
          <w:szCs w:val="27"/>
          <w:lang w:eastAsia="ru-RU"/>
        </w:rPr>
        <w:t>, врач-офтальмолог отделения опухолей головы и шеи НИИ ДОГ ФГБУ «НМИЦ онкологии им. Н.Н. Блохина» МЗ РФ, член Российского общества детских онкологов (РОДО)</w:t>
      </w:r>
    </w:p>
    <w:p w:rsidR="005674FC" w:rsidRPr="005674FC" w:rsidRDefault="005674FC" w:rsidP="005674FC">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Жильцова Марина Георгиевна, </w:t>
      </w:r>
      <w:r w:rsidRPr="005674FC">
        <w:rPr>
          <w:rFonts w:ascii="Times New Roman" w:eastAsia="Times New Roman" w:hAnsi="Times New Roman" w:cs="Times New Roman"/>
          <w:color w:val="222222"/>
          <w:sz w:val="27"/>
          <w:szCs w:val="27"/>
          <w:lang w:eastAsia="ru-RU"/>
        </w:rPr>
        <w:t>к.б.н., старший научный сотрудник отдела офтальмоонкологии и радиологии ФГБУ «НМИЦ Глазных болезней им. Гельмгольца» МЗ РФ, Член ассоциации клинических цитологов России (АКЦР) и член Российского  общества онкопатологов</w:t>
      </w:r>
    </w:p>
    <w:p w:rsidR="005674FC" w:rsidRPr="005674FC" w:rsidRDefault="005674FC" w:rsidP="005674FC">
      <w:pPr>
        <w:numPr>
          <w:ilvl w:val="0"/>
          <w:numId w:val="60"/>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Иванова Ольга Андреевна</w:t>
      </w:r>
      <w:r w:rsidRPr="005674FC">
        <w:rPr>
          <w:rFonts w:ascii="Times New Roman" w:eastAsia="Times New Roman" w:hAnsi="Times New Roman" w:cs="Times New Roman"/>
          <w:color w:val="222222"/>
          <w:sz w:val="27"/>
          <w:szCs w:val="27"/>
          <w:lang w:eastAsia="ru-RU"/>
        </w:rPr>
        <w:t>, к.м.н., врач-офтальмолог отдела офтальмоонкологии ФГБУ «НМИЦ Глазных болезней им. Гельмгольца» МЗ РФ, член ООО «Ассоциация врачей-офтальмологов</w:t>
      </w:r>
    </w:p>
    <w:p w:rsidR="005674FC" w:rsidRPr="005674FC" w:rsidRDefault="005674FC" w:rsidP="005674FC">
      <w:pPr>
        <w:numPr>
          <w:ilvl w:val="0"/>
          <w:numId w:val="60"/>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Катаргина Людмила Анатольевна</w:t>
      </w:r>
      <w:r w:rsidRPr="005674FC">
        <w:rPr>
          <w:rFonts w:ascii="Times New Roman" w:eastAsia="Times New Roman" w:hAnsi="Times New Roman" w:cs="Times New Roman"/>
          <w:color w:val="222222"/>
          <w:sz w:val="27"/>
          <w:szCs w:val="27"/>
          <w:lang w:eastAsia="ru-RU"/>
        </w:rPr>
        <w:t>, д.м.н., профессор, заслуженный врач РФ, главный внештатный детский специалист офтальмолог Минздрава России, </w:t>
      </w:r>
      <w:r w:rsidRPr="005674FC">
        <w:rPr>
          <w:rFonts w:ascii="Times New Roman" w:eastAsia="Times New Roman" w:hAnsi="Times New Roman" w:cs="Times New Roman"/>
          <w:b/>
          <w:bCs/>
          <w:color w:val="222222"/>
          <w:sz w:val="27"/>
          <w:szCs w:val="27"/>
          <w:lang w:eastAsia="ru-RU"/>
        </w:rPr>
        <w:t>заместитель директора по научной работе, </w:t>
      </w:r>
      <w:r w:rsidRPr="005674FC">
        <w:rPr>
          <w:rFonts w:ascii="Times New Roman" w:eastAsia="Times New Roman" w:hAnsi="Times New Roman" w:cs="Times New Roman"/>
          <w:color w:val="222222"/>
          <w:sz w:val="27"/>
          <w:szCs w:val="27"/>
          <w:lang w:eastAsia="ru-RU"/>
        </w:rPr>
        <w:t>руководитель отдела патологии глаз у детей ФГБУ «НМИЦ Глазных болезней им. Гельмгольца» МЗ РФ, член ООО «Ассоциация врачей-офтальмологов»</w:t>
      </w:r>
    </w:p>
    <w:p w:rsidR="005674FC" w:rsidRPr="005674FC" w:rsidRDefault="005674FC" w:rsidP="005674FC">
      <w:pPr>
        <w:numPr>
          <w:ilvl w:val="0"/>
          <w:numId w:val="60"/>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lastRenderedPageBreak/>
        <w:t>Козлова Валентина Михайловна</w:t>
      </w:r>
      <w:r w:rsidRPr="005674FC">
        <w:rPr>
          <w:rFonts w:ascii="Times New Roman" w:eastAsia="Times New Roman" w:hAnsi="Times New Roman" w:cs="Times New Roman"/>
          <w:color w:val="222222"/>
          <w:sz w:val="27"/>
          <w:szCs w:val="27"/>
          <w:lang w:eastAsia="ru-RU"/>
        </w:rPr>
        <w:t> врач-генетик научно-консультативного отделения НИИ ДОГ  ФГБУ «НМИЦ онкологии имени Н.Н. Блохина» МЗ РФ, член Российского общества медицинских генетиков</w:t>
      </w:r>
    </w:p>
    <w:p w:rsidR="005674FC" w:rsidRPr="005674FC" w:rsidRDefault="005674FC" w:rsidP="005674FC">
      <w:pPr>
        <w:numPr>
          <w:ilvl w:val="0"/>
          <w:numId w:val="60"/>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Малахова Алина Анатольевна</w:t>
      </w:r>
      <w:r w:rsidRPr="005674FC">
        <w:rPr>
          <w:rFonts w:ascii="Times New Roman" w:eastAsia="Times New Roman" w:hAnsi="Times New Roman" w:cs="Times New Roman"/>
          <w:color w:val="222222"/>
          <w:sz w:val="27"/>
          <w:szCs w:val="27"/>
          <w:lang w:eastAsia="ru-RU"/>
        </w:rPr>
        <w:t> заведующая организационно-методическим отделом с канцер-регистром и медицинским архивом, член Российского общества детских онкологов (РОДО)</w:t>
      </w:r>
    </w:p>
    <w:p w:rsidR="005674FC" w:rsidRPr="005674FC" w:rsidRDefault="005674FC" w:rsidP="005674FC">
      <w:pPr>
        <w:numPr>
          <w:ilvl w:val="0"/>
          <w:numId w:val="60"/>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Мякошина Елена Борисовна</w:t>
      </w:r>
      <w:r w:rsidRPr="005674FC">
        <w:rPr>
          <w:rFonts w:ascii="Times New Roman" w:eastAsia="Times New Roman" w:hAnsi="Times New Roman" w:cs="Times New Roman"/>
          <w:color w:val="222222"/>
          <w:sz w:val="27"/>
          <w:szCs w:val="27"/>
          <w:lang w:eastAsia="ru-RU"/>
        </w:rPr>
        <w:t>, к.м.н., врач-офтальмолог отдела офтальмоонкологии ФГБУ «НМИЦ Глазных болезней им. Гельмгольца» МЗ РФ, член ООО «Ассоциация врачей-офтальмологов»</w:t>
      </w:r>
    </w:p>
    <w:p w:rsidR="005674FC" w:rsidRPr="005674FC" w:rsidRDefault="005674FC" w:rsidP="005674FC">
      <w:pPr>
        <w:numPr>
          <w:ilvl w:val="0"/>
          <w:numId w:val="60"/>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Пантелеева Ольга Геннадьевна</w:t>
      </w:r>
      <w:r w:rsidRPr="005674FC">
        <w:rPr>
          <w:rFonts w:ascii="Times New Roman" w:eastAsia="Times New Roman" w:hAnsi="Times New Roman" w:cs="Times New Roman"/>
          <w:color w:val="222222"/>
          <w:sz w:val="27"/>
          <w:szCs w:val="27"/>
          <w:lang w:eastAsia="ru-RU"/>
        </w:rPr>
        <w:t>, д.м.н., ведущий научный сотрудник отдела офтальмоонкологии ФГБУ «НМИЦ Глазных болезней им. Гельмгольца» МЗ РФ, член ООО «Ассоциация  врачей-офтальмологов»</w:t>
      </w:r>
    </w:p>
    <w:p w:rsidR="005674FC" w:rsidRPr="005674FC" w:rsidRDefault="005674FC" w:rsidP="005674FC">
      <w:pPr>
        <w:numPr>
          <w:ilvl w:val="0"/>
          <w:numId w:val="60"/>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Павловская Алевтина Ивановна </w:t>
      </w:r>
      <w:r w:rsidRPr="005674FC">
        <w:rPr>
          <w:rFonts w:ascii="Times New Roman" w:eastAsia="Times New Roman" w:hAnsi="Times New Roman" w:cs="Times New Roman"/>
          <w:color w:val="222222"/>
          <w:sz w:val="27"/>
          <w:szCs w:val="27"/>
          <w:lang w:eastAsia="ru-RU"/>
        </w:rPr>
        <w:t>к.м.н., врач–патологоанатом патологоанатомического отделения НИИ КО ФГБУ «НМИЦ онкологии им. Н. Н. Блохина»  МЗ РФ, член Российского общества патологоанатомов</w:t>
      </w:r>
    </w:p>
    <w:p w:rsidR="005674FC" w:rsidRPr="005674FC" w:rsidRDefault="005674FC" w:rsidP="005674FC">
      <w:pPr>
        <w:numPr>
          <w:ilvl w:val="0"/>
          <w:numId w:val="60"/>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Погребняков Игорь Владимирович</w:t>
      </w:r>
      <w:r w:rsidRPr="005674FC">
        <w:rPr>
          <w:rFonts w:ascii="Times New Roman" w:eastAsia="Times New Roman" w:hAnsi="Times New Roman" w:cs="Times New Roman"/>
          <w:color w:val="222222"/>
          <w:sz w:val="27"/>
          <w:szCs w:val="27"/>
          <w:lang w:eastAsia="ru-RU"/>
        </w:rPr>
        <w:t> к.м.н., врач по рентгенэндоваскулярной диагностике и лечению, и. о. заведующего отделением рентгенохирургических методов диагностики и лечения отдела  интервенционной радиологии НИИ КиЭР ФГБУ «НМИЦ онкологии им. Н. Н. Блохина» МЗ РФ, член общества интервенционных онкорадиологов России, член Европейского общества радиологии (ESR)</w:t>
      </w:r>
    </w:p>
    <w:p w:rsidR="005674FC" w:rsidRPr="005674FC" w:rsidRDefault="005674FC" w:rsidP="005674FC">
      <w:pPr>
        <w:numPr>
          <w:ilvl w:val="0"/>
          <w:numId w:val="60"/>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Поляков Владимир Георгиевич</w:t>
      </w:r>
      <w:r w:rsidRPr="005674FC">
        <w:rPr>
          <w:rFonts w:ascii="Times New Roman" w:eastAsia="Times New Roman" w:hAnsi="Times New Roman" w:cs="Times New Roman"/>
          <w:color w:val="222222"/>
          <w:sz w:val="27"/>
          <w:szCs w:val="27"/>
          <w:lang w:eastAsia="ru-RU"/>
        </w:rPr>
        <w:t>, д.м.н., профессор, академик РАН, заведующий отделением опухолей головы и шеи, заведующий отделом общей онкологии,</w:t>
      </w:r>
      <w:r w:rsidRPr="005674FC">
        <w:rPr>
          <w:rFonts w:ascii="Times New Roman" w:eastAsia="Times New Roman" w:hAnsi="Times New Roman" w:cs="Times New Roman"/>
          <w:b/>
          <w:bCs/>
          <w:color w:val="222222"/>
          <w:sz w:val="27"/>
          <w:szCs w:val="27"/>
          <w:lang w:eastAsia="ru-RU"/>
        </w:rPr>
        <w:t> советник директора </w:t>
      </w:r>
      <w:r w:rsidRPr="005674FC">
        <w:rPr>
          <w:rFonts w:ascii="Times New Roman" w:eastAsia="Times New Roman" w:hAnsi="Times New Roman" w:cs="Times New Roman"/>
          <w:color w:val="222222"/>
          <w:sz w:val="27"/>
          <w:szCs w:val="27"/>
          <w:lang w:eastAsia="ru-RU"/>
        </w:rPr>
        <w:t>НИИ ДОГ ФГБУ «НМИЦ онкологии им. Н. Н. Блохина» МЗ РФ, заведующий кафедрой детской онкологии ГБОУ ДПО РМАНПО Минздрава России, член Российского общества детских онкологов (РОДО), член международного общества детских онкологов (SIOP)</w:t>
      </w:r>
    </w:p>
    <w:p w:rsidR="005674FC" w:rsidRPr="005674FC" w:rsidRDefault="005674FC" w:rsidP="005674FC">
      <w:pPr>
        <w:numPr>
          <w:ilvl w:val="0"/>
          <w:numId w:val="60"/>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Саакян Светлана Ваговна</w:t>
      </w:r>
      <w:r w:rsidRPr="005674FC">
        <w:rPr>
          <w:rFonts w:ascii="Times New Roman" w:eastAsia="Times New Roman" w:hAnsi="Times New Roman" w:cs="Times New Roman"/>
          <w:color w:val="222222"/>
          <w:sz w:val="27"/>
          <w:szCs w:val="27"/>
          <w:lang w:eastAsia="ru-RU"/>
        </w:rPr>
        <w:t>, д.м.н., профессор, заведующая отделом офтальмоонкологии ФГБУ «МНИИ ГБ им. Гельмгольца» Минздрава России, член ООО «Ассоциация врачей-офтальмологов» действительный член международного общества офтальмоонкологов (ISOO)</w:t>
      </w:r>
    </w:p>
    <w:p w:rsidR="005674FC" w:rsidRPr="005674FC" w:rsidRDefault="005674FC" w:rsidP="005674FC">
      <w:pPr>
        <w:numPr>
          <w:ilvl w:val="0"/>
          <w:numId w:val="60"/>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Тацков Роберт Александрович</w:t>
      </w:r>
      <w:r w:rsidRPr="005674FC">
        <w:rPr>
          <w:rFonts w:ascii="Times New Roman" w:eastAsia="Times New Roman" w:hAnsi="Times New Roman" w:cs="Times New Roman"/>
          <w:color w:val="222222"/>
          <w:sz w:val="27"/>
          <w:szCs w:val="27"/>
          <w:lang w:eastAsia="ru-RU"/>
        </w:rPr>
        <w:t>, врач-офтальмолог отдела офтальмоонкологии ФГБУ «НМИЦ Глазных болезней им. Гельмгольца» МЗ РФ, член ООО «Ассоциация врачей-офтальмологов»</w:t>
      </w:r>
    </w:p>
    <w:p w:rsidR="005674FC" w:rsidRPr="005674FC" w:rsidRDefault="005674FC" w:rsidP="005674FC">
      <w:pPr>
        <w:numPr>
          <w:ilvl w:val="0"/>
          <w:numId w:val="60"/>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Ушакова Татьяна Леонидовна</w:t>
      </w:r>
      <w:r w:rsidRPr="005674FC">
        <w:rPr>
          <w:rFonts w:ascii="Times New Roman" w:eastAsia="Times New Roman" w:hAnsi="Times New Roman" w:cs="Times New Roman"/>
          <w:color w:val="222222"/>
          <w:sz w:val="27"/>
          <w:szCs w:val="27"/>
          <w:lang w:eastAsia="ru-RU"/>
        </w:rPr>
        <w:t xml:space="preserve">, д.м.н., ведущий научный сотрудник отделения опухолей головы и шеи НИИ ДОГ ФГБУ «НМИЦ онкологии им. </w:t>
      </w:r>
      <w:r w:rsidRPr="005674FC">
        <w:rPr>
          <w:rFonts w:ascii="Times New Roman" w:eastAsia="Times New Roman" w:hAnsi="Times New Roman" w:cs="Times New Roman"/>
          <w:color w:val="222222"/>
          <w:sz w:val="27"/>
          <w:szCs w:val="27"/>
          <w:lang w:eastAsia="ru-RU"/>
        </w:rPr>
        <w:lastRenderedPageBreak/>
        <w:t>Н.Н. Блохина» МЗ РФ, член Российского общества детских онкологов (РОДО), действительный член международного общества офтальмоонкологов (ISOO),  член международного общества детских онкологов (SIOP)</w:t>
      </w:r>
    </w:p>
    <w:p w:rsidR="005674FC" w:rsidRPr="005674FC" w:rsidRDefault="005674FC" w:rsidP="005674FC">
      <w:pPr>
        <w:numPr>
          <w:ilvl w:val="0"/>
          <w:numId w:val="60"/>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Шацких Анна Викторовна </w:t>
      </w:r>
      <w:r w:rsidRPr="005674FC">
        <w:rPr>
          <w:rFonts w:ascii="Times New Roman" w:eastAsia="Times New Roman" w:hAnsi="Times New Roman" w:cs="Times New Roman"/>
          <w:color w:val="222222"/>
          <w:sz w:val="27"/>
          <w:szCs w:val="27"/>
          <w:lang w:eastAsia="ru-RU"/>
        </w:rPr>
        <w:t>к.м.н., заведующая патологоанатомическим отделением ФГАУ «НМИЦ «МНТК Микрохирургия глаза» им. акад. С.Н. Федорова» МЗ РФ</w:t>
      </w:r>
    </w:p>
    <w:p w:rsidR="005674FC" w:rsidRPr="005674FC" w:rsidRDefault="005674FC" w:rsidP="005674FC">
      <w:pPr>
        <w:numPr>
          <w:ilvl w:val="0"/>
          <w:numId w:val="60"/>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Яровая Вера Андреевна врач-</w:t>
      </w:r>
      <w:r w:rsidRPr="005674FC">
        <w:rPr>
          <w:rFonts w:ascii="Times New Roman" w:eastAsia="Times New Roman" w:hAnsi="Times New Roman" w:cs="Times New Roman"/>
          <w:color w:val="222222"/>
          <w:sz w:val="27"/>
          <w:szCs w:val="27"/>
          <w:lang w:eastAsia="ru-RU"/>
        </w:rPr>
        <w:t>аспирант отдела офтальмоонкологии и радиологии ФГАУ «НМИЦ «МНТК Микрохирургия глаза» им. акад. С.Н. Федорова» МЗ РФ, действительный член международного обществаофтальмоонкологов (ISOO).</w:t>
      </w:r>
    </w:p>
    <w:p w:rsidR="005674FC" w:rsidRPr="005674FC" w:rsidRDefault="005674FC" w:rsidP="005674FC">
      <w:pPr>
        <w:numPr>
          <w:ilvl w:val="0"/>
          <w:numId w:val="60"/>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Яровой Андрей Александрович, </w:t>
      </w:r>
      <w:r w:rsidRPr="005674FC">
        <w:rPr>
          <w:rFonts w:ascii="Times New Roman" w:eastAsia="Times New Roman" w:hAnsi="Times New Roman" w:cs="Times New Roman"/>
          <w:color w:val="222222"/>
          <w:sz w:val="27"/>
          <w:szCs w:val="27"/>
          <w:lang w:eastAsia="ru-RU"/>
        </w:rPr>
        <w:t>д.м.н., заведующий отделом офтальмоонкологии и радиологии ФГАУ «НМИЦ «МНТК  Микрохирургия глаза» им. акад. С.Н. Федорова» МЗ РФ, член Всероссийская   общественная организация «Общество офтальмологов России», действительный член  международного общества офтальмоонкологов (ISOO).      </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Конфликт интересов</w:t>
      </w:r>
      <w:r w:rsidRPr="005674FC">
        <w:rPr>
          <w:rFonts w:ascii="Times New Roman" w:eastAsia="Times New Roman" w:hAnsi="Times New Roman" w:cs="Times New Roman"/>
          <w:color w:val="222222"/>
          <w:sz w:val="27"/>
          <w:szCs w:val="27"/>
          <w:lang w:eastAsia="ru-RU"/>
        </w:rPr>
        <w:t> отсутствует</w:t>
      </w:r>
    </w:p>
    <w:p w:rsidR="005674FC" w:rsidRPr="005674FC" w:rsidRDefault="005674FC" w:rsidP="005674F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74FC">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u w:val="single"/>
          <w:lang w:eastAsia="ru-RU"/>
        </w:rPr>
        <w:t>Целевая аудитория данных клинических рекомендаций:</w:t>
      </w:r>
    </w:p>
    <w:p w:rsidR="005674FC" w:rsidRPr="005674FC" w:rsidRDefault="005674FC" w:rsidP="005674FC">
      <w:pPr>
        <w:numPr>
          <w:ilvl w:val="0"/>
          <w:numId w:val="61"/>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Врачи-офтальмологи</w:t>
      </w:r>
    </w:p>
    <w:p w:rsidR="005674FC" w:rsidRPr="005674FC" w:rsidRDefault="005674FC" w:rsidP="005674FC">
      <w:pPr>
        <w:numPr>
          <w:ilvl w:val="0"/>
          <w:numId w:val="61"/>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Врачи-детские онкологи</w:t>
      </w:r>
    </w:p>
    <w:p w:rsidR="005674FC" w:rsidRPr="005674FC" w:rsidRDefault="005674FC" w:rsidP="005674FC">
      <w:pPr>
        <w:numPr>
          <w:ilvl w:val="0"/>
          <w:numId w:val="61"/>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Врачи-радиологи</w:t>
      </w:r>
    </w:p>
    <w:p w:rsidR="005674FC" w:rsidRPr="005674FC" w:rsidRDefault="005674FC" w:rsidP="005674FC">
      <w:pPr>
        <w:numPr>
          <w:ilvl w:val="0"/>
          <w:numId w:val="61"/>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Врачи-педиатры</w:t>
      </w:r>
    </w:p>
    <w:p w:rsidR="005674FC" w:rsidRPr="005674FC" w:rsidRDefault="005674FC" w:rsidP="005674FC">
      <w:pPr>
        <w:numPr>
          <w:ilvl w:val="0"/>
          <w:numId w:val="61"/>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Студенты медицинских ВУЗов, ординаторы и аспиранты.</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Методы, использованные для сбора/селекции доказательств: </w:t>
      </w:r>
      <w:r w:rsidRPr="005674FC">
        <w:rPr>
          <w:rFonts w:ascii="Times New Roman" w:eastAsia="Times New Roman" w:hAnsi="Times New Roman" w:cs="Times New Roman"/>
          <w:color w:val="222222"/>
          <w:sz w:val="27"/>
          <w:szCs w:val="27"/>
          <w:lang w:eastAsia="ru-RU"/>
        </w:rPr>
        <w:t>поиск в электронных базах данных; анализ современных научных разработок по проблеме РБ в РФ и за рубежом; обобщение практического опыта российских и зарубежных специалистов.</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Таблица А2.1.</w:t>
      </w:r>
      <w:r w:rsidRPr="005674FC">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54"/>
        <w:gridCol w:w="8385"/>
      </w:tblGrid>
      <w:tr w:rsidR="005674FC" w:rsidRPr="005674FC" w:rsidTr="005674FC">
        <w:tc>
          <w:tcPr>
            <w:tcW w:w="4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УДД</w:t>
            </w:r>
          </w:p>
        </w:tc>
        <w:tc>
          <w:tcPr>
            <w:tcW w:w="45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Расшифровка</w:t>
            </w:r>
          </w:p>
        </w:tc>
      </w:tr>
      <w:tr w:rsidR="005674FC" w:rsidRPr="005674FC" w:rsidTr="005674FC">
        <w:tc>
          <w:tcPr>
            <w:tcW w:w="4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lastRenderedPageBreak/>
              <w:t>1</w:t>
            </w:r>
          </w:p>
        </w:tc>
        <w:tc>
          <w:tcPr>
            <w:tcW w:w="45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5674FC" w:rsidRPr="005674FC" w:rsidTr="005674FC">
        <w:tc>
          <w:tcPr>
            <w:tcW w:w="4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2</w:t>
            </w:r>
          </w:p>
        </w:tc>
        <w:tc>
          <w:tcPr>
            <w:tcW w:w="45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5674FC" w:rsidRPr="005674FC" w:rsidTr="005674FC">
        <w:tc>
          <w:tcPr>
            <w:tcW w:w="4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3</w:t>
            </w:r>
          </w:p>
        </w:tc>
        <w:tc>
          <w:tcPr>
            <w:tcW w:w="45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5674FC" w:rsidRPr="005674FC" w:rsidTr="005674FC">
        <w:tc>
          <w:tcPr>
            <w:tcW w:w="4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4</w:t>
            </w:r>
          </w:p>
        </w:tc>
        <w:tc>
          <w:tcPr>
            <w:tcW w:w="45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Несравнительные исследования, описание клинического случая</w:t>
            </w:r>
          </w:p>
        </w:tc>
      </w:tr>
      <w:tr w:rsidR="005674FC" w:rsidRPr="005674FC" w:rsidTr="005674FC">
        <w:tc>
          <w:tcPr>
            <w:tcW w:w="4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5</w:t>
            </w:r>
          </w:p>
        </w:tc>
        <w:tc>
          <w:tcPr>
            <w:tcW w:w="45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Таблица А2.2.</w:t>
      </w:r>
      <w:r w:rsidRPr="005674FC">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505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54"/>
        <w:gridCol w:w="8478"/>
      </w:tblGrid>
      <w:tr w:rsidR="005674FC" w:rsidRPr="005674FC" w:rsidTr="005674FC">
        <w:tc>
          <w:tcPr>
            <w:tcW w:w="3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УДД</w:t>
            </w:r>
          </w:p>
        </w:tc>
        <w:tc>
          <w:tcPr>
            <w:tcW w:w="46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 Расшифровка</w:t>
            </w:r>
          </w:p>
        </w:tc>
      </w:tr>
      <w:tr w:rsidR="005674FC" w:rsidRPr="005674FC" w:rsidTr="005674FC">
        <w:tc>
          <w:tcPr>
            <w:tcW w:w="3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1</w:t>
            </w:r>
          </w:p>
        </w:tc>
        <w:tc>
          <w:tcPr>
            <w:tcW w:w="46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Систематический обзор РКИ с применением мета-анализа</w:t>
            </w:r>
          </w:p>
        </w:tc>
      </w:tr>
      <w:tr w:rsidR="005674FC" w:rsidRPr="005674FC" w:rsidTr="005674FC">
        <w:tc>
          <w:tcPr>
            <w:tcW w:w="3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2</w:t>
            </w:r>
          </w:p>
        </w:tc>
        <w:tc>
          <w:tcPr>
            <w:tcW w:w="46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5674FC" w:rsidRPr="005674FC" w:rsidTr="005674FC">
        <w:tc>
          <w:tcPr>
            <w:tcW w:w="3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3</w:t>
            </w:r>
          </w:p>
        </w:tc>
        <w:tc>
          <w:tcPr>
            <w:tcW w:w="46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5674FC" w:rsidRPr="005674FC" w:rsidTr="005674FC">
        <w:tc>
          <w:tcPr>
            <w:tcW w:w="3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4</w:t>
            </w:r>
          </w:p>
        </w:tc>
        <w:tc>
          <w:tcPr>
            <w:tcW w:w="46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5674FC" w:rsidRPr="005674FC" w:rsidTr="005674FC">
        <w:tc>
          <w:tcPr>
            <w:tcW w:w="3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lastRenderedPageBreak/>
              <w:t>5</w:t>
            </w:r>
          </w:p>
        </w:tc>
        <w:tc>
          <w:tcPr>
            <w:tcW w:w="46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Таблица А2.3.</w:t>
      </w:r>
      <w:r w:rsidRPr="005674FC">
        <w:rPr>
          <w:rFonts w:ascii="Times New Roman" w:eastAsia="Times New Roman" w:hAnsi="Times New Roman" w:cs="Times New Roman"/>
          <w:color w:val="222222"/>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21"/>
        <w:gridCol w:w="8018"/>
      </w:tblGrid>
      <w:tr w:rsidR="005674FC" w:rsidRPr="005674FC" w:rsidTr="005674FC">
        <w:tc>
          <w:tcPr>
            <w:tcW w:w="7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УУР</w:t>
            </w:r>
          </w:p>
        </w:tc>
        <w:tc>
          <w:tcPr>
            <w:tcW w:w="4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Расшифровка</w:t>
            </w:r>
          </w:p>
        </w:tc>
      </w:tr>
      <w:tr w:rsidR="005674FC" w:rsidRPr="005674FC" w:rsidTr="005674FC">
        <w:tc>
          <w:tcPr>
            <w:tcW w:w="7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A</w:t>
            </w:r>
          </w:p>
        </w:tc>
        <w:tc>
          <w:tcPr>
            <w:tcW w:w="4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5674FC" w:rsidRPr="005674FC" w:rsidTr="005674FC">
        <w:tc>
          <w:tcPr>
            <w:tcW w:w="7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B</w:t>
            </w:r>
          </w:p>
        </w:tc>
        <w:tc>
          <w:tcPr>
            <w:tcW w:w="4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5674FC" w:rsidRPr="005674FC" w:rsidTr="005674FC">
        <w:tc>
          <w:tcPr>
            <w:tcW w:w="7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C</w:t>
            </w:r>
          </w:p>
        </w:tc>
        <w:tc>
          <w:tcPr>
            <w:tcW w:w="4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Методы, использованные для формулирования рекомендаций –</w:t>
      </w:r>
      <w:r w:rsidRPr="005674FC">
        <w:rPr>
          <w:rFonts w:ascii="Times New Roman" w:eastAsia="Times New Roman" w:hAnsi="Times New Roman" w:cs="Times New Roman"/>
          <w:color w:val="222222"/>
          <w:sz w:val="27"/>
          <w:szCs w:val="27"/>
          <w:lang w:eastAsia="ru-RU"/>
        </w:rPr>
        <w:t> консенсус экспертов.</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Метод валидизации рекомендаций:</w:t>
      </w:r>
    </w:p>
    <w:p w:rsidR="005674FC" w:rsidRPr="005674FC" w:rsidRDefault="005674FC" w:rsidP="005674FC">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Внешняя экспертная оценка</w:t>
      </w:r>
    </w:p>
    <w:p w:rsidR="005674FC" w:rsidRPr="005674FC" w:rsidRDefault="005674FC" w:rsidP="005674FC">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Внутренняя экспертная оценка</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Описание метода валидизации рекомендаций:</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Настоящие рекомендации в предварительной версии рецензированы независимыми экспертами, которые попросили прокомментировать, прежде всего, насколько интерпретация доказательств, лежащих в основе рекомендаций, доступна для понимания.</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lastRenderedPageBreak/>
        <w:t>Получены комментарии со стороны врачей-детских онкологов первичного звена в отношении доходчивости изложения рекомендаций и их оценки важности рекомендаций как рабочего инструмента повседневной практики.</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Консультации и экспертная оценка: Проект рекомендаций рецензирован также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Для окончательной редакции и контроля качества рекомендации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Обновления клинических рекомендаций: актуализация проводится не реже чем один раз в три года с учетом появившейся новой информации о диагностике и тактике ведения пациентов с РБ. Решение об обновлении принимает МЗ РФ на основе предложений, представленных медицинскими профессиональными некоммерческими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достоверности. Результат изучения влияет на уровень доказательств, присваиваемый публикации, что в свою очередь влияет на силу, вытекающих из нее рекомендаций.</w:t>
      </w:r>
    </w:p>
    <w:p w:rsidR="005674FC" w:rsidRPr="005674FC" w:rsidRDefault="005674FC" w:rsidP="005674FC">
      <w:pPr>
        <w:spacing w:after="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 xml:space="preserve">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w:t>
      </w:r>
      <w:r w:rsidRPr="005674FC">
        <w:rPr>
          <w:rFonts w:ascii="Times New Roman" w:eastAsia="Times New Roman" w:hAnsi="Times New Roman" w:cs="Times New Roman"/>
          <w:color w:val="222222"/>
          <w:sz w:val="27"/>
          <w:szCs w:val="27"/>
          <w:lang w:eastAsia="ru-RU"/>
        </w:rPr>
        <w:lastRenderedPageBreak/>
        <w:t>наличии обоснованных дополнений/замечаний к ранее утверждённым КР, но не чаще 1 раза в 6 месяцев.</w:t>
      </w:r>
    </w:p>
    <w:p w:rsidR="005674FC" w:rsidRPr="005674FC" w:rsidRDefault="005674FC" w:rsidP="005674F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74FC">
        <w:rPr>
          <w:rFonts w:ascii="Times New Roman" w:eastAsia="Times New Roman" w:hAnsi="Times New Roman" w:cs="Times New Roman"/>
          <w:b/>
          <w:bCs/>
          <w:color w:val="000000"/>
          <w:kern w:val="36"/>
          <w:sz w:val="48"/>
          <w:szCs w:val="48"/>
          <w:lang w:eastAsia="ru-RU"/>
        </w:rPr>
        <w:t>Приложение А3. Связанные документы</w:t>
      </w:r>
    </w:p>
    <w:p w:rsidR="005674FC" w:rsidRPr="005674FC" w:rsidRDefault="005674FC" w:rsidP="005674FC">
      <w:pPr>
        <w:spacing w:before="750" w:after="450" w:line="240" w:lineRule="auto"/>
        <w:outlineLvl w:val="1"/>
        <w:rPr>
          <w:rFonts w:ascii="Times New Roman" w:eastAsia="Times New Roman" w:hAnsi="Times New Roman" w:cs="Times New Roman"/>
          <w:b/>
          <w:bCs/>
          <w:color w:val="222222"/>
          <w:sz w:val="33"/>
          <w:szCs w:val="33"/>
          <w:lang w:eastAsia="ru-RU"/>
        </w:rPr>
      </w:pPr>
      <w:r w:rsidRPr="005674FC">
        <w:rPr>
          <w:rFonts w:ascii="Times New Roman" w:eastAsia="Times New Roman" w:hAnsi="Times New Roman" w:cs="Times New Roman"/>
          <w:b/>
          <w:bCs/>
          <w:color w:val="222222"/>
          <w:sz w:val="33"/>
          <w:szCs w:val="33"/>
          <w:lang w:eastAsia="ru-RU"/>
        </w:rPr>
        <w:t>А3.1. Классификация осложнений различной степени выраженности, возникающих в результате использования противоопухолевых средств</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27"/>
        <w:gridCol w:w="2142"/>
        <w:gridCol w:w="3251"/>
        <w:gridCol w:w="3643"/>
        <w:gridCol w:w="2605"/>
        <w:gridCol w:w="2722"/>
      </w:tblGrid>
      <w:tr w:rsidR="005674FC" w:rsidRPr="005674FC" w:rsidTr="005674FC">
        <w:trPr>
          <w:tblHeader/>
        </w:trPr>
        <w:tc>
          <w:tcPr>
            <w:tcW w:w="18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Показатель</w:t>
            </w:r>
          </w:p>
        </w:tc>
        <w:tc>
          <w:tcPr>
            <w:tcW w:w="8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0</w:t>
            </w:r>
          </w:p>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степень</w:t>
            </w:r>
          </w:p>
        </w:tc>
        <w:tc>
          <w:tcPr>
            <w:tcW w:w="1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1</w:t>
            </w:r>
          </w:p>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степень</w:t>
            </w:r>
          </w:p>
        </w:tc>
        <w:tc>
          <w:tcPr>
            <w:tcW w:w="16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2</w:t>
            </w:r>
          </w:p>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степень</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3</w:t>
            </w:r>
          </w:p>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степень</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4</w:t>
            </w:r>
          </w:p>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Степень</w:t>
            </w:r>
          </w:p>
        </w:tc>
      </w:tr>
      <w:tr w:rsidR="005674FC" w:rsidRPr="005674FC" w:rsidTr="005674FC">
        <w:tc>
          <w:tcPr>
            <w:tcW w:w="9345" w:type="dxa"/>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Нефротоксичность</w:t>
            </w:r>
          </w:p>
        </w:tc>
      </w:tr>
      <w:tr w:rsidR="005674FC" w:rsidRPr="005674FC" w:rsidTr="005674FC">
        <w:tc>
          <w:tcPr>
            <w:tcW w:w="18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Мочевина крови</w:t>
            </w:r>
          </w:p>
        </w:tc>
        <w:tc>
          <w:tcPr>
            <w:tcW w:w="8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1,25 N*</w:t>
            </w:r>
          </w:p>
        </w:tc>
        <w:tc>
          <w:tcPr>
            <w:tcW w:w="1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1,26-2,5 N</w:t>
            </w:r>
          </w:p>
        </w:tc>
        <w:tc>
          <w:tcPr>
            <w:tcW w:w="16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2,6-5 N</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5,1-10 N</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&gt;10N</w:t>
            </w:r>
          </w:p>
        </w:tc>
      </w:tr>
      <w:tr w:rsidR="005674FC" w:rsidRPr="005674FC" w:rsidTr="005674FC">
        <w:tc>
          <w:tcPr>
            <w:tcW w:w="18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Креатинин крови</w:t>
            </w:r>
          </w:p>
        </w:tc>
        <w:tc>
          <w:tcPr>
            <w:tcW w:w="8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N</w:t>
            </w:r>
          </w:p>
        </w:tc>
        <w:tc>
          <w:tcPr>
            <w:tcW w:w="1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&lt; 1,5 N</w:t>
            </w:r>
          </w:p>
        </w:tc>
        <w:tc>
          <w:tcPr>
            <w:tcW w:w="16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1,5-3 N</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3,1-6 N</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&gt; 6N</w:t>
            </w:r>
          </w:p>
        </w:tc>
      </w:tr>
      <w:tr w:rsidR="005674FC" w:rsidRPr="005674FC" w:rsidTr="005674FC">
        <w:tc>
          <w:tcPr>
            <w:tcW w:w="18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Протеинурия</w:t>
            </w:r>
          </w:p>
        </w:tc>
        <w:tc>
          <w:tcPr>
            <w:tcW w:w="8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нет</w:t>
            </w:r>
          </w:p>
        </w:tc>
        <w:tc>
          <w:tcPr>
            <w:tcW w:w="1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&lt;3 г/л</w:t>
            </w:r>
          </w:p>
        </w:tc>
        <w:tc>
          <w:tcPr>
            <w:tcW w:w="16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3-10 г/л</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&gt; 10 г/л</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нефротоксич. Синдром</w:t>
            </w:r>
          </w:p>
        </w:tc>
      </w:tr>
      <w:tr w:rsidR="005674FC" w:rsidRPr="005674FC" w:rsidTr="005674FC">
        <w:tc>
          <w:tcPr>
            <w:tcW w:w="18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Гематурия</w:t>
            </w:r>
          </w:p>
        </w:tc>
        <w:tc>
          <w:tcPr>
            <w:tcW w:w="8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нет</w:t>
            </w:r>
          </w:p>
        </w:tc>
        <w:tc>
          <w:tcPr>
            <w:tcW w:w="1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кровь в моче микроскопически</w:t>
            </w:r>
          </w:p>
        </w:tc>
        <w:tc>
          <w:tcPr>
            <w:tcW w:w="16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кровь в моче макроскопически</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сгустки крови</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требуется переливание препаратов крови</w:t>
            </w:r>
          </w:p>
        </w:tc>
      </w:tr>
      <w:tr w:rsidR="005674FC" w:rsidRPr="005674FC" w:rsidTr="005674FC">
        <w:tc>
          <w:tcPr>
            <w:tcW w:w="9345" w:type="dxa"/>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Гепатотоксичность</w:t>
            </w:r>
          </w:p>
        </w:tc>
      </w:tr>
      <w:tr w:rsidR="005674FC" w:rsidRPr="005674FC" w:rsidTr="005674FC">
        <w:tc>
          <w:tcPr>
            <w:tcW w:w="18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Билирубин</w:t>
            </w:r>
          </w:p>
        </w:tc>
        <w:tc>
          <w:tcPr>
            <w:tcW w:w="8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1,25 N</w:t>
            </w:r>
          </w:p>
        </w:tc>
        <w:tc>
          <w:tcPr>
            <w:tcW w:w="1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1,26-2,25 N</w:t>
            </w:r>
          </w:p>
        </w:tc>
        <w:tc>
          <w:tcPr>
            <w:tcW w:w="16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2,6-5 N</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5,1-10 N</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 10 N</w:t>
            </w:r>
          </w:p>
        </w:tc>
      </w:tr>
      <w:tr w:rsidR="005674FC" w:rsidRPr="005674FC" w:rsidTr="005674FC">
        <w:tc>
          <w:tcPr>
            <w:tcW w:w="18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Трансаминазы</w:t>
            </w:r>
          </w:p>
        </w:tc>
        <w:tc>
          <w:tcPr>
            <w:tcW w:w="8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1,25 N</w:t>
            </w:r>
          </w:p>
        </w:tc>
        <w:tc>
          <w:tcPr>
            <w:tcW w:w="1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1,26-2,5 N</w:t>
            </w:r>
          </w:p>
        </w:tc>
        <w:tc>
          <w:tcPr>
            <w:tcW w:w="16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2,6-5 N</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5,1-10 N</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 10 N</w:t>
            </w:r>
          </w:p>
        </w:tc>
      </w:tr>
      <w:tr w:rsidR="005674FC" w:rsidRPr="005674FC" w:rsidTr="005674FC">
        <w:tc>
          <w:tcPr>
            <w:tcW w:w="18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Щелочная фосфатаза</w:t>
            </w:r>
          </w:p>
        </w:tc>
        <w:tc>
          <w:tcPr>
            <w:tcW w:w="8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1,25 N</w:t>
            </w:r>
          </w:p>
        </w:tc>
        <w:tc>
          <w:tcPr>
            <w:tcW w:w="1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1,26-2,5 N</w:t>
            </w:r>
          </w:p>
        </w:tc>
        <w:tc>
          <w:tcPr>
            <w:tcW w:w="16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2,6-5 N</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5,1-10 N</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 10 N</w:t>
            </w:r>
          </w:p>
        </w:tc>
      </w:tr>
      <w:tr w:rsidR="005674FC" w:rsidRPr="005674FC" w:rsidTr="005674FC">
        <w:tc>
          <w:tcPr>
            <w:tcW w:w="18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Функция легких</w:t>
            </w:r>
          </w:p>
        </w:tc>
        <w:tc>
          <w:tcPr>
            <w:tcW w:w="8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 </w:t>
            </w:r>
          </w:p>
        </w:tc>
        <w:tc>
          <w:tcPr>
            <w:tcW w:w="1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 </w:t>
            </w:r>
          </w:p>
        </w:tc>
        <w:tc>
          <w:tcPr>
            <w:tcW w:w="16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 </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 </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 </w:t>
            </w:r>
          </w:p>
        </w:tc>
      </w:tr>
      <w:tr w:rsidR="005674FC" w:rsidRPr="005674FC" w:rsidTr="005674FC">
        <w:tc>
          <w:tcPr>
            <w:tcW w:w="18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lastRenderedPageBreak/>
              <w:t>Жизненная емкость, снижение на</w:t>
            </w:r>
          </w:p>
        </w:tc>
        <w:tc>
          <w:tcPr>
            <w:tcW w:w="8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норма</w:t>
            </w:r>
          </w:p>
        </w:tc>
        <w:tc>
          <w:tcPr>
            <w:tcW w:w="1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10-20%</w:t>
            </w:r>
          </w:p>
        </w:tc>
        <w:tc>
          <w:tcPr>
            <w:tcW w:w="16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21-35%</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35-50%</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&gt;50%</w:t>
            </w:r>
          </w:p>
        </w:tc>
      </w:tr>
      <w:tr w:rsidR="005674FC" w:rsidRPr="005674FC" w:rsidTr="005674FC">
        <w:tc>
          <w:tcPr>
            <w:tcW w:w="18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pO2, артериальная</w:t>
            </w:r>
          </w:p>
        </w:tc>
        <w:tc>
          <w:tcPr>
            <w:tcW w:w="8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&gt;90</w:t>
            </w:r>
          </w:p>
        </w:tc>
        <w:tc>
          <w:tcPr>
            <w:tcW w:w="1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80-89</w:t>
            </w:r>
          </w:p>
        </w:tc>
        <w:tc>
          <w:tcPr>
            <w:tcW w:w="16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65-79</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50-64</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&lt;49</w:t>
            </w:r>
          </w:p>
        </w:tc>
      </w:tr>
      <w:tr w:rsidR="005674FC" w:rsidRPr="005674FC" w:rsidTr="005674FC">
        <w:tc>
          <w:tcPr>
            <w:tcW w:w="18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Функциональные признаки</w:t>
            </w:r>
          </w:p>
        </w:tc>
        <w:tc>
          <w:tcPr>
            <w:tcW w:w="8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норма</w:t>
            </w:r>
          </w:p>
        </w:tc>
        <w:tc>
          <w:tcPr>
            <w:tcW w:w="1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тахипное</w:t>
            </w:r>
          </w:p>
        </w:tc>
        <w:tc>
          <w:tcPr>
            <w:tcW w:w="16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одышка</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Одышка при нормальной активности требуется О2</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ИВЛ</w:t>
            </w:r>
          </w:p>
        </w:tc>
      </w:tr>
      <w:tr w:rsidR="005674FC" w:rsidRPr="005674FC" w:rsidTr="005674FC">
        <w:tc>
          <w:tcPr>
            <w:tcW w:w="9345" w:type="dxa"/>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Гастроинтестинальная токсичность</w:t>
            </w:r>
          </w:p>
        </w:tc>
      </w:tr>
      <w:tr w:rsidR="005674FC" w:rsidRPr="005674FC" w:rsidTr="005674FC">
        <w:tc>
          <w:tcPr>
            <w:tcW w:w="18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Стоматит (состояние слизистых обл. рта)</w:t>
            </w:r>
          </w:p>
        </w:tc>
        <w:tc>
          <w:tcPr>
            <w:tcW w:w="8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нет</w:t>
            </w:r>
          </w:p>
        </w:tc>
        <w:tc>
          <w:tcPr>
            <w:tcW w:w="1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Раздражение, гиперемия</w:t>
            </w:r>
          </w:p>
        </w:tc>
        <w:tc>
          <w:tcPr>
            <w:tcW w:w="16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гиперемия/воспаление, изъязвления, возможность принимать твердую пищу</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язвы, возможность принимать только жидкую пищу</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питание per os не представляется возможным</w:t>
            </w:r>
          </w:p>
        </w:tc>
      </w:tr>
      <w:tr w:rsidR="005674FC" w:rsidRPr="005674FC" w:rsidTr="005674FC">
        <w:tc>
          <w:tcPr>
            <w:tcW w:w="18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Тошнота и рвота</w:t>
            </w:r>
          </w:p>
        </w:tc>
        <w:tc>
          <w:tcPr>
            <w:tcW w:w="8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нет</w:t>
            </w:r>
          </w:p>
        </w:tc>
        <w:tc>
          <w:tcPr>
            <w:tcW w:w="1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тошнота</w:t>
            </w:r>
          </w:p>
        </w:tc>
        <w:tc>
          <w:tcPr>
            <w:tcW w:w="16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рвота 2-5 раз</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Рвота 6-10 раз</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неукротимая рвота более 10 раз</w:t>
            </w:r>
          </w:p>
        </w:tc>
      </w:tr>
      <w:tr w:rsidR="005674FC" w:rsidRPr="005674FC" w:rsidTr="005674FC">
        <w:tc>
          <w:tcPr>
            <w:tcW w:w="18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Задержка стула</w:t>
            </w:r>
          </w:p>
        </w:tc>
        <w:tc>
          <w:tcPr>
            <w:tcW w:w="8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нет</w:t>
            </w:r>
          </w:p>
        </w:tc>
        <w:tc>
          <w:tcPr>
            <w:tcW w:w="1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незначительная</w:t>
            </w:r>
          </w:p>
        </w:tc>
        <w:tc>
          <w:tcPr>
            <w:tcW w:w="16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задержка стула до 48 часов</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признаки динамической непроходимости 96 часов, ответ на стимуляцию в течение 72 часов</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динамическая непроходимость 96 часов</w:t>
            </w:r>
          </w:p>
        </w:tc>
      </w:tr>
      <w:tr w:rsidR="005674FC" w:rsidRPr="005674FC" w:rsidTr="005674FC">
        <w:tc>
          <w:tcPr>
            <w:tcW w:w="18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Боли в животе</w:t>
            </w:r>
          </w:p>
        </w:tc>
        <w:tc>
          <w:tcPr>
            <w:tcW w:w="8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нет</w:t>
            </w:r>
          </w:p>
        </w:tc>
        <w:tc>
          <w:tcPr>
            <w:tcW w:w="1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Не требуют лечения</w:t>
            </w:r>
          </w:p>
        </w:tc>
        <w:tc>
          <w:tcPr>
            <w:tcW w:w="16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Умеренные,</w:t>
            </w:r>
          </w:p>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терапия</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Выраженные, терапия</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Госпитализация, седация</w:t>
            </w:r>
          </w:p>
        </w:tc>
      </w:tr>
      <w:tr w:rsidR="005674FC" w:rsidRPr="005674FC" w:rsidTr="005674FC">
        <w:tc>
          <w:tcPr>
            <w:tcW w:w="18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 Диарея</w:t>
            </w:r>
          </w:p>
        </w:tc>
        <w:tc>
          <w:tcPr>
            <w:tcW w:w="8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нет</w:t>
            </w:r>
          </w:p>
        </w:tc>
        <w:tc>
          <w:tcPr>
            <w:tcW w:w="1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преходящая, менее 2 раз/день</w:t>
            </w:r>
          </w:p>
        </w:tc>
        <w:tc>
          <w:tcPr>
            <w:tcW w:w="16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Более 2 раз/день</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Нестерпимая требующая коррекции</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геморрагическая обезвоживание</w:t>
            </w:r>
          </w:p>
        </w:tc>
      </w:tr>
      <w:tr w:rsidR="005674FC" w:rsidRPr="005674FC" w:rsidTr="005674FC">
        <w:tc>
          <w:tcPr>
            <w:tcW w:w="9345" w:type="dxa"/>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Нейротоксичность</w:t>
            </w:r>
          </w:p>
        </w:tc>
      </w:tr>
      <w:tr w:rsidR="005674FC" w:rsidRPr="005674FC" w:rsidTr="005674FC">
        <w:tc>
          <w:tcPr>
            <w:tcW w:w="18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lastRenderedPageBreak/>
              <w:t>Изменение психики и поведения</w:t>
            </w:r>
          </w:p>
        </w:tc>
        <w:tc>
          <w:tcPr>
            <w:tcW w:w="8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возбуждение</w:t>
            </w:r>
          </w:p>
        </w:tc>
        <w:tc>
          <w:tcPr>
            <w:tcW w:w="1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преходящая вялость</w:t>
            </w:r>
          </w:p>
        </w:tc>
        <w:tc>
          <w:tcPr>
            <w:tcW w:w="16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сонливость (менее 50 % дневного времени)</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сонливость (более 50% дневного времени)</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Кома</w:t>
            </w:r>
          </w:p>
        </w:tc>
      </w:tr>
      <w:tr w:rsidR="005674FC" w:rsidRPr="005674FC" w:rsidTr="005674FC">
        <w:tc>
          <w:tcPr>
            <w:tcW w:w="18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Периферические неврологические расстройства</w:t>
            </w:r>
          </w:p>
        </w:tc>
        <w:tc>
          <w:tcPr>
            <w:tcW w:w="8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нет</w:t>
            </w:r>
          </w:p>
        </w:tc>
        <w:tc>
          <w:tcPr>
            <w:tcW w:w="1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Парастезии и понижение сухожильных рефлексов</w:t>
            </w:r>
          </w:p>
        </w:tc>
        <w:tc>
          <w:tcPr>
            <w:tcW w:w="16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Тяжелые парестезии и легкая мышечная слабость</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Парастезии и/или значительная утрата движения</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Паралич</w:t>
            </w:r>
          </w:p>
        </w:tc>
      </w:tr>
      <w:tr w:rsidR="005674FC" w:rsidRPr="005674FC" w:rsidTr="005674FC">
        <w:tc>
          <w:tcPr>
            <w:tcW w:w="18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Мозжечковые нарушения</w:t>
            </w:r>
          </w:p>
        </w:tc>
        <w:tc>
          <w:tcPr>
            <w:tcW w:w="8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нет</w:t>
            </w:r>
          </w:p>
        </w:tc>
        <w:tc>
          <w:tcPr>
            <w:tcW w:w="1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Легкая дискоординация</w:t>
            </w:r>
          </w:p>
        </w:tc>
        <w:tc>
          <w:tcPr>
            <w:tcW w:w="16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Интенционный тремор, дисметрия, скандированная речь, нистагм</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двигательная атаксия</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мозжечковый некроз</w:t>
            </w:r>
          </w:p>
        </w:tc>
      </w:tr>
      <w:tr w:rsidR="005674FC" w:rsidRPr="005674FC" w:rsidTr="005674FC">
        <w:tc>
          <w:tcPr>
            <w:tcW w:w="18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Общемозговые</w:t>
            </w:r>
          </w:p>
        </w:tc>
        <w:tc>
          <w:tcPr>
            <w:tcW w:w="8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нет</w:t>
            </w:r>
          </w:p>
        </w:tc>
        <w:tc>
          <w:tcPr>
            <w:tcW w:w="1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Ступор/возбуждение</w:t>
            </w:r>
          </w:p>
        </w:tc>
        <w:tc>
          <w:tcPr>
            <w:tcW w:w="16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сопор</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Судороги, психоз (галлюцинации)</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Кома, судороги</w:t>
            </w:r>
          </w:p>
        </w:tc>
      </w:tr>
      <w:tr w:rsidR="005674FC" w:rsidRPr="005674FC" w:rsidTr="005674FC">
        <w:tc>
          <w:tcPr>
            <w:tcW w:w="18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Боли (связанные только с введением цитостатиков)</w:t>
            </w:r>
          </w:p>
        </w:tc>
        <w:tc>
          <w:tcPr>
            <w:tcW w:w="8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нет</w:t>
            </w:r>
          </w:p>
        </w:tc>
        <w:tc>
          <w:tcPr>
            <w:tcW w:w="1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слабая</w:t>
            </w:r>
          </w:p>
        </w:tc>
        <w:tc>
          <w:tcPr>
            <w:tcW w:w="16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умеренная</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сильная</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некупирующаяся</w:t>
            </w:r>
          </w:p>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10 баллов</w:t>
            </w:r>
          </w:p>
        </w:tc>
      </w:tr>
      <w:tr w:rsidR="005674FC" w:rsidRPr="005674FC" w:rsidTr="005674FC">
        <w:tc>
          <w:tcPr>
            <w:tcW w:w="9345" w:type="dxa"/>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Сердечно-сосудистая токсичность</w:t>
            </w:r>
          </w:p>
        </w:tc>
      </w:tr>
      <w:tr w:rsidR="005674FC" w:rsidRPr="005674FC" w:rsidTr="005674FC">
        <w:tc>
          <w:tcPr>
            <w:tcW w:w="18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Ритм</w:t>
            </w:r>
          </w:p>
        </w:tc>
        <w:tc>
          <w:tcPr>
            <w:tcW w:w="8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N</w:t>
            </w:r>
          </w:p>
        </w:tc>
        <w:tc>
          <w:tcPr>
            <w:tcW w:w="1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Асимптоматическое, транзиторное нарушение</w:t>
            </w:r>
          </w:p>
        </w:tc>
        <w:tc>
          <w:tcPr>
            <w:tcW w:w="16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возвратное, персистирующее нарушение</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нарушение ритма, требующее коррекции</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гипотензия, желудочковая тахикардия. Фибрилляция</w:t>
            </w:r>
          </w:p>
        </w:tc>
      </w:tr>
      <w:tr w:rsidR="005674FC" w:rsidRPr="005674FC" w:rsidTr="005674FC">
        <w:tc>
          <w:tcPr>
            <w:tcW w:w="18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Перикардит</w:t>
            </w:r>
          </w:p>
        </w:tc>
        <w:tc>
          <w:tcPr>
            <w:tcW w:w="8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 </w:t>
            </w:r>
          </w:p>
        </w:tc>
        <w:tc>
          <w:tcPr>
            <w:tcW w:w="1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Асимптомат. выпот</w:t>
            </w:r>
          </w:p>
        </w:tc>
        <w:tc>
          <w:tcPr>
            <w:tcW w:w="16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перикардит</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дренирование</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Тампонада</w:t>
            </w:r>
          </w:p>
        </w:tc>
      </w:tr>
      <w:tr w:rsidR="005674FC" w:rsidRPr="005674FC" w:rsidTr="005674FC">
        <w:tc>
          <w:tcPr>
            <w:tcW w:w="18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Фракция укорочения (ЭХО-КГ)</w:t>
            </w:r>
          </w:p>
        </w:tc>
        <w:tc>
          <w:tcPr>
            <w:tcW w:w="8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30</w:t>
            </w:r>
          </w:p>
        </w:tc>
        <w:tc>
          <w:tcPr>
            <w:tcW w:w="1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24-30</w:t>
            </w:r>
          </w:p>
        </w:tc>
        <w:tc>
          <w:tcPr>
            <w:tcW w:w="16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20-24</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20</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w:t>
            </w:r>
          </w:p>
        </w:tc>
      </w:tr>
      <w:tr w:rsidR="005674FC" w:rsidRPr="005674FC" w:rsidTr="005674FC">
        <w:tc>
          <w:tcPr>
            <w:tcW w:w="18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АД систолическое</w:t>
            </w:r>
          </w:p>
        </w:tc>
        <w:tc>
          <w:tcPr>
            <w:tcW w:w="8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N</w:t>
            </w:r>
          </w:p>
        </w:tc>
        <w:tc>
          <w:tcPr>
            <w:tcW w:w="1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10</w:t>
            </w:r>
          </w:p>
        </w:tc>
        <w:tc>
          <w:tcPr>
            <w:tcW w:w="16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20</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30</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40</w:t>
            </w:r>
          </w:p>
        </w:tc>
      </w:tr>
      <w:tr w:rsidR="005674FC" w:rsidRPr="005674FC" w:rsidTr="005674FC">
        <w:tc>
          <w:tcPr>
            <w:tcW w:w="18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lastRenderedPageBreak/>
              <w:t>АД диастолическое</w:t>
            </w:r>
          </w:p>
        </w:tc>
        <w:tc>
          <w:tcPr>
            <w:tcW w:w="8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N</w:t>
            </w:r>
          </w:p>
        </w:tc>
        <w:tc>
          <w:tcPr>
            <w:tcW w:w="1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5</w:t>
            </w:r>
          </w:p>
        </w:tc>
        <w:tc>
          <w:tcPr>
            <w:tcW w:w="16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10</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15</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 20</w:t>
            </w:r>
          </w:p>
        </w:tc>
      </w:tr>
      <w:tr w:rsidR="005674FC" w:rsidRPr="005674FC" w:rsidTr="005674FC">
        <w:tc>
          <w:tcPr>
            <w:tcW w:w="9345" w:type="dxa"/>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Кожная токсичность</w:t>
            </w:r>
          </w:p>
        </w:tc>
      </w:tr>
      <w:tr w:rsidR="005674FC" w:rsidRPr="005674FC" w:rsidTr="005674FC">
        <w:tc>
          <w:tcPr>
            <w:tcW w:w="18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Реакции и поражение кожи</w:t>
            </w:r>
          </w:p>
        </w:tc>
        <w:tc>
          <w:tcPr>
            <w:tcW w:w="8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нет</w:t>
            </w:r>
          </w:p>
        </w:tc>
        <w:tc>
          <w:tcPr>
            <w:tcW w:w="1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эритема</w:t>
            </w:r>
          </w:p>
        </w:tc>
        <w:tc>
          <w:tcPr>
            <w:tcW w:w="16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сухое шелушение кожи</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мокнущие сыпи</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эксфолиативный дерматит, некрозы</w:t>
            </w:r>
          </w:p>
        </w:tc>
      </w:tr>
      <w:tr w:rsidR="005674FC" w:rsidRPr="005674FC" w:rsidTr="005674FC">
        <w:tc>
          <w:tcPr>
            <w:tcW w:w="18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Выпадение волос</w:t>
            </w:r>
          </w:p>
        </w:tc>
        <w:tc>
          <w:tcPr>
            <w:tcW w:w="8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нет</w:t>
            </w:r>
          </w:p>
        </w:tc>
        <w:tc>
          <w:tcPr>
            <w:tcW w:w="1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минимальное облысение</w:t>
            </w:r>
          </w:p>
        </w:tc>
        <w:tc>
          <w:tcPr>
            <w:tcW w:w="16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умеренное очаговое облысение</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полное обратимое облысение</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необратимая алопеция</w:t>
            </w:r>
          </w:p>
        </w:tc>
      </w:tr>
      <w:tr w:rsidR="005674FC" w:rsidRPr="005674FC" w:rsidTr="005674FC">
        <w:tc>
          <w:tcPr>
            <w:tcW w:w="9345" w:type="dxa"/>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Геморрагический синдром</w:t>
            </w:r>
          </w:p>
        </w:tc>
      </w:tr>
      <w:tr w:rsidR="005674FC" w:rsidRPr="005674FC" w:rsidTr="005674FC">
        <w:tc>
          <w:tcPr>
            <w:tcW w:w="18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 </w:t>
            </w:r>
          </w:p>
        </w:tc>
        <w:tc>
          <w:tcPr>
            <w:tcW w:w="8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нет</w:t>
            </w:r>
          </w:p>
        </w:tc>
        <w:tc>
          <w:tcPr>
            <w:tcW w:w="1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петехии</w:t>
            </w:r>
          </w:p>
        </w:tc>
        <w:tc>
          <w:tcPr>
            <w:tcW w:w="16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умеренная кровопотеря, требующая 1-2 трансфузии за курс</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большая кровопотеря, требующая 3-4 трансфузии</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4 и более трансфузии</w:t>
            </w:r>
          </w:p>
        </w:tc>
      </w:tr>
      <w:tr w:rsidR="005674FC" w:rsidRPr="005674FC" w:rsidTr="005674FC">
        <w:tc>
          <w:tcPr>
            <w:tcW w:w="9345" w:type="dxa"/>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Температура тела</w:t>
            </w:r>
          </w:p>
        </w:tc>
      </w:tr>
      <w:tr w:rsidR="005674FC" w:rsidRPr="005674FC" w:rsidTr="005674FC">
        <w:tc>
          <w:tcPr>
            <w:tcW w:w="18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 </w:t>
            </w:r>
          </w:p>
        </w:tc>
        <w:tc>
          <w:tcPr>
            <w:tcW w:w="8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N</w:t>
            </w:r>
          </w:p>
        </w:tc>
        <w:tc>
          <w:tcPr>
            <w:tcW w:w="1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38 C</w:t>
            </w:r>
          </w:p>
        </w:tc>
        <w:tc>
          <w:tcPr>
            <w:tcW w:w="16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38-40 С 24 часа</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Выше 40С 24 часа</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40С более 24 часов</w:t>
            </w:r>
          </w:p>
        </w:tc>
      </w:tr>
      <w:tr w:rsidR="005674FC" w:rsidRPr="005674FC" w:rsidTr="005674FC">
        <w:tc>
          <w:tcPr>
            <w:tcW w:w="9345" w:type="dxa"/>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b/>
                <w:bCs/>
                <w:sz w:val="27"/>
                <w:szCs w:val="27"/>
                <w:lang w:eastAsia="ru-RU"/>
              </w:rPr>
              <w:t>Гематологическая токсичность</w:t>
            </w:r>
          </w:p>
        </w:tc>
      </w:tr>
      <w:tr w:rsidR="005674FC" w:rsidRPr="005674FC" w:rsidTr="005674FC">
        <w:tc>
          <w:tcPr>
            <w:tcW w:w="18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Лейкоциты, х10</w:t>
            </w:r>
            <w:r w:rsidRPr="005674FC">
              <w:rPr>
                <w:rFonts w:ascii="Verdana" w:eastAsia="Times New Roman" w:hAnsi="Verdana" w:cs="Times New Roman"/>
                <w:sz w:val="12"/>
                <w:szCs w:val="12"/>
                <w:vertAlign w:val="superscript"/>
                <w:lang w:eastAsia="ru-RU"/>
              </w:rPr>
              <w:t>9</w:t>
            </w:r>
            <w:r w:rsidRPr="005674FC">
              <w:rPr>
                <w:rFonts w:ascii="Verdana" w:eastAsia="Times New Roman" w:hAnsi="Verdana" w:cs="Times New Roman"/>
                <w:sz w:val="27"/>
                <w:szCs w:val="27"/>
                <w:lang w:eastAsia="ru-RU"/>
              </w:rPr>
              <w:t>/л</w:t>
            </w:r>
          </w:p>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Тромбоциты, х10</w:t>
            </w:r>
            <w:r w:rsidRPr="005674FC">
              <w:rPr>
                <w:rFonts w:ascii="Verdana" w:eastAsia="Times New Roman" w:hAnsi="Verdana" w:cs="Times New Roman"/>
                <w:sz w:val="12"/>
                <w:szCs w:val="12"/>
                <w:vertAlign w:val="superscript"/>
                <w:lang w:eastAsia="ru-RU"/>
              </w:rPr>
              <w:t>9</w:t>
            </w:r>
            <w:r w:rsidRPr="005674FC">
              <w:rPr>
                <w:rFonts w:ascii="Verdana" w:eastAsia="Times New Roman" w:hAnsi="Verdana" w:cs="Times New Roman"/>
                <w:sz w:val="27"/>
                <w:szCs w:val="27"/>
                <w:lang w:eastAsia="ru-RU"/>
              </w:rPr>
              <w:t>/л</w:t>
            </w:r>
          </w:p>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Гемоглобин, гр/дл</w:t>
            </w:r>
          </w:p>
        </w:tc>
        <w:tc>
          <w:tcPr>
            <w:tcW w:w="8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&gt;4,0</w:t>
            </w:r>
          </w:p>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норма</w:t>
            </w:r>
          </w:p>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норма</w:t>
            </w:r>
          </w:p>
        </w:tc>
        <w:tc>
          <w:tcPr>
            <w:tcW w:w="1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3,0-3,9</w:t>
            </w:r>
          </w:p>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75,0-норма</w:t>
            </w:r>
          </w:p>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10,0-норма</w:t>
            </w:r>
          </w:p>
        </w:tc>
        <w:tc>
          <w:tcPr>
            <w:tcW w:w="16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2,0-2,9</w:t>
            </w:r>
          </w:p>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50,0-74,9</w:t>
            </w:r>
          </w:p>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8,0-10,0</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1,0-1,9</w:t>
            </w:r>
          </w:p>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25,0-49,9</w:t>
            </w:r>
          </w:p>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6,5-7,9</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&lt;1,0</w:t>
            </w:r>
          </w:p>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&lt;25,0</w:t>
            </w:r>
          </w:p>
          <w:p w:rsidR="005674FC" w:rsidRPr="005674FC" w:rsidRDefault="005674FC" w:rsidP="005674FC">
            <w:pPr>
              <w:spacing w:after="0" w:line="240" w:lineRule="atLeast"/>
              <w:jc w:val="both"/>
              <w:rPr>
                <w:rFonts w:ascii="Verdana" w:eastAsia="Times New Roman" w:hAnsi="Verdana" w:cs="Times New Roman"/>
                <w:sz w:val="27"/>
                <w:szCs w:val="27"/>
                <w:lang w:eastAsia="ru-RU"/>
              </w:rPr>
            </w:pPr>
            <w:r w:rsidRPr="005674FC">
              <w:rPr>
                <w:rFonts w:ascii="Verdana" w:eastAsia="Times New Roman" w:hAnsi="Verdana" w:cs="Times New Roman"/>
                <w:sz w:val="27"/>
                <w:szCs w:val="27"/>
                <w:lang w:eastAsia="ru-RU"/>
              </w:rPr>
              <w:t>&lt; 6,5</w:t>
            </w:r>
          </w:p>
        </w:tc>
      </w:tr>
    </w:tbl>
    <w:p w:rsidR="005674FC" w:rsidRPr="005674FC" w:rsidRDefault="005674FC" w:rsidP="005674F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74FC">
        <w:rPr>
          <w:rFonts w:ascii="Times New Roman" w:eastAsia="Times New Roman" w:hAnsi="Times New Roman" w:cs="Times New Roman"/>
          <w:b/>
          <w:bCs/>
          <w:color w:val="000000"/>
          <w:kern w:val="36"/>
          <w:sz w:val="48"/>
          <w:szCs w:val="48"/>
          <w:lang w:eastAsia="ru-RU"/>
        </w:rPr>
        <w:t>Приложение Б. Алгоритмы ведения пациента</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lastRenderedPageBreak/>
        <w:t>Схема 1. Блок-схема диагностики и лечения пациента детского возраста с ретинобластомой</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Схема 2. Блок-схема лечения пациента с интраокулярной формой РБ</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Схема 3. Блок-схема лечения пациента с экстраокулярной формой РБ</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p>
    <w:p w:rsidR="005674FC" w:rsidRPr="005674FC" w:rsidRDefault="005674FC" w:rsidP="005674F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74FC">
        <w:rPr>
          <w:rFonts w:ascii="Times New Roman" w:eastAsia="Times New Roman" w:hAnsi="Times New Roman" w:cs="Times New Roman"/>
          <w:b/>
          <w:bCs/>
          <w:color w:val="000000"/>
          <w:kern w:val="36"/>
          <w:sz w:val="48"/>
          <w:szCs w:val="48"/>
          <w:lang w:eastAsia="ru-RU"/>
        </w:rPr>
        <w:t>Приложение В. Информация для пациентов</w:t>
      </w:r>
    </w:p>
    <w:p w:rsidR="005674FC" w:rsidRPr="005674FC" w:rsidRDefault="005674FC" w:rsidP="005674FC">
      <w:pPr>
        <w:numPr>
          <w:ilvl w:val="0"/>
          <w:numId w:val="63"/>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Начинать осмотры у детей нужно с возраста 1мес. и продолжать в течение всего детства.</w:t>
      </w:r>
    </w:p>
    <w:p w:rsidR="005674FC" w:rsidRPr="005674FC" w:rsidRDefault="005674FC" w:rsidP="005674FC">
      <w:pPr>
        <w:numPr>
          <w:ilvl w:val="0"/>
          <w:numId w:val="63"/>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Рекомендуется диспансеризация детского населения с консультацией офтальмолога каждые 3 месяца в течение 1-го года жизни, включающая офтальмоскопию с медикаментозным мидриазом, далее не реже 1 раза в 6 мес.;</w:t>
      </w:r>
    </w:p>
    <w:p w:rsidR="005674FC" w:rsidRPr="005674FC" w:rsidRDefault="005674FC" w:rsidP="005674FC">
      <w:pPr>
        <w:numPr>
          <w:ilvl w:val="0"/>
          <w:numId w:val="63"/>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РБ развивается бессимптомно и скрыто, манифестирует с появлением лейкокории («свечение зрачка») или косоглазия и угрожает  жизни пациента. Лейкокория (белый рефлекс, или белый зрачок, вместо обычного красного рефлекса) является наиболее распространенным показательным признаком и часто замечается родителями пациента;</w:t>
      </w:r>
    </w:p>
    <w:p w:rsidR="005674FC" w:rsidRPr="005674FC" w:rsidRDefault="005674FC" w:rsidP="005674FC">
      <w:pPr>
        <w:numPr>
          <w:ilvl w:val="0"/>
          <w:numId w:val="63"/>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 xml:space="preserve">К основным инструментальным методам диагностики при подозрении на РБ, кроме офтальмоскопии под наркозом и медикаментозным мидриазом, относится ультразвуковое исследование (УЗИ) глаз, которое помогает выявить очаг поражения с кальцификацией, что характерно для РБ. Компьютерная томография также может обнаружить кальцификацию, но не используется часто из-за радиационного воздействия. Первичное обследование обязательно должно включать магнитно-резонансную томографию (с контрастом) орбит и головного мозга для диагностики экстраокулярного распространения и исключения  трехсторонней РБ. Метастазы без признаков опухолевой инфильтрации зрительного нерва </w:t>
      </w:r>
      <w:r w:rsidRPr="005674FC">
        <w:rPr>
          <w:rFonts w:ascii="Times New Roman" w:eastAsia="Times New Roman" w:hAnsi="Times New Roman" w:cs="Times New Roman"/>
          <w:color w:val="222222"/>
          <w:sz w:val="27"/>
          <w:szCs w:val="27"/>
          <w:lang w:eastAsia="ru-RU"/>
        </w:rPr>
        <w:lastRenderedPageBreak/>
        <w:t>встречается редко. Цитологическое исследование спино-мозговой жидкости и аспирационного биоптата костного мозга,  радиоизотопное исследование костной системы, рентгенографию костей с очагами патологического накопления радиоизотопа, пункционную биопсию всех доступных пункции опухолевых очагов с последующим цитологическим исследованием, УЗИ яичек у мальчиков показаны  пациентам с доказанным  распространением РБ за пределы глаза.</w:t>
      </w:r>
    </w:p>
    <w:p w:rsidR="005674FC" w:rsidRPr="005674FC" w:rsidRDefault="005674FC" w:rsidP="005674FC">
      <w:pPr>
        <w:numPr>
          <w:ilvl w:val="0"/>
          <w:numId w:val="63"/>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Кроме перечисленных методов, на современном этапе, появляются новые дополнительные методы диагностики. Оптическая когерентная томография может  быть рекомендована для подтверждения диагноза РБ, дифференциальной диагностики других патологических состояний сетчатки, определение минимальной остаточной резидуальной болезни после органосохраняющего лечения интраокурярной РБ, формирования хориоретинального рубца или выявление продолженного или скрытого роста опухоли. Для оценки функций органа зрения после органосохраняющего лечения рекомендуется выполнение электрофизиологического исследования в условиях офтальмологического отделения, включающего электроретинографию и метод зрительных вызванных потенциалов;</w:t>
      </w:r>
    </w:p>
    <w:p w:rsidR="005674FC" w:rsidRPr="005674FC" w:rsidRDefault="005674FC" w:rsidP="005674FC">
      <w:pPr>
        <w:numPr>
          <w:ilvl w:val="0"/>
          <w:numId w:val="63"/>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При выявлении РБ молекулярно-генетический‎ анализ проводится не только пациенту, но и его семье (его братьям, сестрам и родителям);</w:t>
      </w:r>
    </w:p>
    <w:p w:rsidR="005674FC" w:rsidRPr="005674FC" w:rsidRDefault="005674FC" w:rsidP="005674FC">
      <w:pPr>
        <w:numPr>
          <w:ilvl w:val="0"/>
          <w:numId w:val="63"/>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 На современном этапе в  России существуют основные методы лечения пациентов с РБ:</w:t>
      </w:r>
    </w:p>
    <w:p w:rsidR="005674FC" w:rsidRPr="005674FC" w:rsidRDefault="005674FC" w:rsidP="005674FC">
      <w:pPr>
        <w:numPr>
          <w:ilvl w:val="1"/>
          <w:numId w:val="63"/>
        </w:numPr>
        <w:spacing w:after="0" w:line="390" w:lineRule="atLeast"/>
        <w:ind w:left="90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u w:val="single"/>
          <w:lang w:eastAsia="ru-RU"/>
        </w:rPr>
        <w:t>Органосохраняющее лечение:</w:t>
      </w:r>
    </w:p>
    <w:p w:rsidR="005674FC" w:rsidRPr="005674FC" w:rsidRDefault="005674FC" w:rsidP="005674FC">
      <w:pPr>
        <w:numPr>
          <w:ilvl w:val="2"/>
          <w:numId w:val="63"/>
        </w:numPr>
        <w:spacing w:after="0" w:line="390" w:lineRule="atLeast"/>
        <w:ind w:left="13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Локальные офтальмологические методы лечения РБ:</w:t>
      </w:r>
    </w:p>
    <w:p w:rsidR="005674FC" w:rsidRPr="005674FC" w:rsidRDefault="005674FC" w:rsidP="005674FC">
      <w:pPr>
        <w:numPr>
          <w:ilvl w:val="3"/>
          <w:numId w:val="63"/>
        </w:numPr>
        <w:spacing w:after="0" w:line="390" w:lineRule="atLeast"/>
        <w:ind w:left="180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Брахитерапия (БТ) подшивание к склере глаза в проекции РБ радиоактивной пластинки при толщине опухоли не более 6 мм;</w:t>
      </w:r>
    </w:p>
    <w:p w:rsidR="005674FC" w:rsidRPr="005674FC" w:rsidRDefault="005674FC" w:rsidP="005674FC">
      <w:pPr>
        <w:numPr>
          <w:ilvl w:val="3"/>
          <w:numId w:val="63"/>
        </w:numPr>
        <w:spacing w:after="0" w:line="390" w:lineRule="atLeast"/>
        <w:ind w:left="180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Транспупиллярная термотерапия (ТТТ) – разновидность лазерного лечения внутриглазной РБ с толщиной не более 3,0 мм;</w:t>
      </w:r>
    </w:p>
    <w:p w:rsidR="005674FC" w:rsidRPr="005674FC" w:rsidRDefault="005674FC" w:rsidP="005674FC">
      <w:pPr>
        <w:numPr>
          <w:ilvl w:val="3"/>
          <w:numId w:val="63"/>
        </w:numPr>
        <w:spacing w:after="0" w:line="390" w:lineRule="atLeast"/>
        <w:ind w:left="180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Криодеструкция  (замораживание) рекомендуется  при толщине внутриглазной РБ не более 4 мм;</w:t>
      </w:r>
    </w:p>
    <w:p w:rsidR="005674FC" w:rsidRPr="005674FC" w:rsidRDefault="005674FC" w:rsidP="005674FC">
      <w:pPr>
        <w:numPr>
          <w:ilvl w:val="2"/>
          <w:numId w:val="63"/>
        </w:numPr>
        <w:spacing w:after="0" w:line="390" w:lineRule="atLeast"/>
        <w:ind w:left="13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Системная и локальная ХТ (интравитреальная, селективная интраартериальная), при противопоказаниях к локальным офтальмологическим методам лечения;</w:t>
      </w:r>
    </w:p>
    <w:p w:rsidR="005674FC" w:rsidRPr="005674FC" w:rsidRDefault="005674FC" w:rsidP="005674FC">
      <w:pPr>
        <w:numPr>
          <w:ilvl w:val="2"/>
          <w:numId w:val="63"/>
        </w:numPr>
        <w:spacing w:after="0" w:line="390" w:lineRule="atLeast"/>
        <w:ind w:left="13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Дистанционная лучевая терапия с органосохраняющей целью в настоящее время не применяется;</w:t>
      </w:r>
    </w:p>
    <w:p w:rsidR="005674FC" w:rsidRPr="005674FC" w:rsidRDefault="005674FC" w:rsidP="005674FC">
      <w:pPr>
        <w:numPr>
          <w:ilvl w:val="1"/>
          <w:numId w:val="63"/>
        </w:numPr>
        <w:spacing w:after="0" w:line="390" w:lineRule="atLeast"/>
        <w:ind w:left="90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u w:val="single"/>
          <w:lang w:eastAsia="ru-RU"/>
        </w:rPr>
        <w:t>Органоуносящие операции, когда органосохраняющее лечение бесперспективно, что определяет врач</w:t>
      </w:r>
    </w:p>
    <w:p w:rsidR="005674FC" w:rsidRPr="005674FC" w:rsidRDefault="005674FC" w:rsidP="005674FC">
      <w:pPr>
        <w:numPr>
          <w:ilvl w:val="2"/>
          <w:numId w:val="63"/>
        </w:numPr>
        <w:spacing w:after="0" w:line="390" w:lineRule="atLeast"/>
        <w:ind w:left="13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lastRenderedPageBreak/>
        <w:t>Энуклеация - удаление глаза с отрезком зрительного нерва</w:t>
      </w:r>
    </w:p>
    <w:p w:rsidR="005674FC" w:rsidRPr="005674FC" w:rsidRDefault="005674FC" w:rsidP="005674FC">
      <w:pPr>
        <w:numPr>
          <w:ilvl w:val="0"/>
          <w:numId w:val="63"/>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Пациенты с любой формой РБ с диспансерного учета не снимаются;</w:t>
      </w:r>
    </w:p>
    <w:p w:rsidR="005674FC" w:rsidRPr="005674FC" w:rsidRDefault="005674FC" w:rsidP="005674FC">
      <w:pPr>
        <w:numPr>
          <w:ilvl w:val="0"/>
          <w:numId w:val="63"/>
        </w:numPr>
        <w:spacing w:after="0" w:line="390" w:lineRule="atLeast"/>
        <w:ind w:left="450"/>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При планировании беременности пациентам, достигшим ремиссии, рекомендуется консультация врача-генетика.</w:t>
      </w:r>
    </w:p>
    <w:p w:rsidR="005674FC" w:rsidRPr="005674FC" w:rsidRDefault="005674FC" w:rsidP="005674F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74FC">
        <w:rPr>
          <w:rFonts w:ascii="Times New Roman" w:eastAsia="Times New Roman" w:hAnsi="Times New Roman" w:cs="Times New Roman"/>
          <w:b/>
          <w:bCs/>
          <w:color w:val="000000"/>
          <w:kern w:val="36"/>
          <w:sz w:val="48"/>
          <w:szCs w:val="48"/>
          <w:lang w:eastAsia="ru-RU"/>
        </w:rPr>
        <w:t>Приложение Г.</w:t>
      </w:r>
    </w:p>
    <w:p w:rsidR="005674FC" w:rsidRPr="005674FC" w:rsidRDefault="005674FC" w:rsidP="005674FC">
      <w:pPr>
        <w:spacing w:after="240" w:line="390" w:lineRule="atLeast"/>
        <w:jc w:val="both"/>
        <w:rPr>
          <w:rFonts w:ascii="Times New Roman" w:eastAsia="Times New Roman" w:hAnsi="Times New Roman" w:cs="Times New Roman"/>
          <w:color w:val="222222"/>
          <w:sz w:val="27"/>
          <w:szCs w:val="27"/>
          <w:lang w:eastAsia="ru-RU"/>
        </w:rPr>
      </w:pPr>
      <w:r w:rsidRPr="005674FC">
        <w:rPr>
          <w:rFonts w:ascii="Times New Roman" w:eastAsia="Times New Roman" w:hAnsi="Times New Roman" w:cs="Times New Roman"/>
          <w:color w:val="222222"/>
          <w:sz w:val="27"/>
          <w:szCs w:val="27"/>
          <w:lang w:eastAsia="ru-RU"/>
        </w:rPr>
        <w:t>Нет</w:t>
      </w:r>
    </w:p>
    <w:p w:rsidR="00A83281" w:rsidRDefault="00A83281">
      <w:bookmarkStart w:id="2" w:name="_GoBack"/>
      <w:bookmarkEnd w:id="2"/>
    </w:p>
    <w:sectPr w:rsidR="00A832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B7905"/>
    <w:multiLevelType w:val="multilevel"/>
    <w:tmpl w:val="EF845F3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4A4D39"/>
    <w:multiLevelType w:val="multilevel"/>
    <w:tmpl w:val="B7B40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5D3F6A"/>
    <w:multiLevelType w:val="multilevel"/>
    <w:tmpl w:val="0E064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B63272"/>
    <w:multiLevelType w:val="multilevel"/>
    <w:tmpl w:val="E1D43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6B4706"/>
    <w:multiLevelType w:val="multilevel"/>
    <w:tmpl w:val="D7D6C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C2BD1"/>
    <w:multiLevelType w:val="multilevel"/>
    <w:tmpl w:val="76FE5A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D61A40"/>
    <w:multiLevelType w:val="multilevel"/>
    <w:tmpl w:val="97D06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E23397"/>
    <w:multiLevelType w:val="multilevel"/>
    <w:tmpl w:val="EFD8F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8B14BB"/>
    <w:multiLevelType w:val="multilevel"/>
    <w:tmpl w:val="F2A41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0C1A6C"/>
    <w:multiLevelType w:val="multilevel"/>
    <w:tmpl w:val="B57E2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1D4AFB"/>
    <w:multiLevelType w:val="multilevel"/>
    <w:tmpl w:val="9D0EA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B24198"/>
    <w:multiLevelType w:val="multilevel"/>
    <w:tmpl w:val="30C41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286C19"/>
    <w:multiLevelType w:val="multilevel"/>
    <w:tmpl w:val="B088D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0C9779C"/>
    <w:multiLevelType w:val="multilevel"/>
    <w:tmpl w:val="F56E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C507A4"/>
    <w:multiLevelType w:val="multilevel"/>
    <w:tmpl w:val="9D9AB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2661A1"/>
    <w:multiLevelType w:val="multilevel"/>
    <w:tmpl w:val="66343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7494B51"/>
    <w:multiLevelType w:val="multilevel"/>
    <w:tmpl w:val="3ED24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8921C8B"/>
    <w:multiLevelType w:val="multilevel"/>
    <w:tmpl w:val="5F2A2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0D176D"/>
    <w:multiLevelType w:val="multilevel"/>
    <w:tmpl w:val="DB2EF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724AE5"/>
    <w:multiLevelType w:val="multilevel"/>
    <w:tmpl w:val="E390A4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E7478B"/>
    <w:multiLevelType w:val="multilevel"/>
    <w:tmpl w:val="D5E2E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4F72EE8"/>
    <w:multiLevelType w:val="multilevel"/>
    <w:tmpl w:val="8506D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54016FB"/>
    <w:multiLevelType w:val="multilevel"/>
    <w:tmpl w:val="A5647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5BA5DBD"/>
    <w:multiLevelType w:val="multilevel"/>
    <w:tmpl w:val="DA4AD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617520E"/>
    <w:multiLevelType w:val="multilevel"/>
    <w:tmpl w:val="3EF6D23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73242F6"/>
    <w:multiLevelType w:val="multilevel"/>
    <w:tmpl w:val="37A2C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85F465B"/>
    <w:multiLevelType w:val="multilevel"/>
    <w:tmpl w:val="83E2F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C9B364E"/>
    <w:multiLevelType w:val="multilevel"/>
    <w:tmpl w:val="0F360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D7B5784"/>
    <w:multiLevelType w:val="multilevel"/>
    <w:tmpl w:val="5372A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E312836"/>
    <w:multiLevelType w:val="multilevel"/>
    <w:tmpl w:val="D09EB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E847D5B"/>
    <w:multiLevelType w:val="multilevel"/>
    <w:tmpl w:val="E35E0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F573EA1"/>
    <w:multiLevelType w:val="multilevel"/>
    <w:tmpl w:val="D7D80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2BC5B72"/>
    <w:multiLevelType w:val="multilevel"/>
    <w:tmpl w:val="F542A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57B3837"/>
    <w:multiLevelType w:val="multilevel"/>
    <w:tmpl w:val="93F83C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ADC168E"/>
    <w:multiLevelType w:val="multilevel"/>
    <w:tmpl w:val="D3166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C5A700D"/>
    <w:multiLevelType w:val="multilevel"/>
    <w:tmpl w:val="EAA444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FFA0262"/>
    <w:multiLevelType w:val="multilevel"/>
    <w:tmpl w:val="533A4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022611F"/>
    <w:multiLevelType w:val="multilevel"/>
    <w:tmpl w:val="77E8A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1765327"/>
    <w:multiLevelType w:val="multilevel"/>
    <w:tmpl w:val="719040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6EC6FF6"/>
    <w:multiLevelType w:val="multilevel"/>
    <w:tmpl w:val="E6B0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7C43EF5"/>
    <w:multiLevelType w:val="multilevel"/>
    <w:tmpl w:val="15D8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A0C3B80"/>
    <w:multiLevelType w:val="multilevel"/>
    <w:tmpl w:val="DBEEC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A6F2473"/>
    <w:multiLevelType w:val="multilevel"/>
    <w:tmpl w:val="332EC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CA45ACD"/>
    <w:multiLevelType w:val="multilevel"/>
    <w:tmpl w:val="8170190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4" w15:restartNumberingAfterBreak="0">
    <w:nsid w:val="5FD123FD"/>
    <w:multiLevelType w:val="multilevel"/>
    <w:tmpl w:val="A49A4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11A6640"/>
    <w:multiLevelType w:val="multilevel"/>
    <w:tmpl w:val="ED160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19B5579"/>
    <w:multiLevelType w:val="multilevel"/>
    <w:tmpl w:val="7090A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49026FF"/>
    <w:multiLevelType w:val="multilevel"/>
    <w:tmpl w:val="9B664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6076CF2"/>
    <w:multiLevelType w:val="multilevel"/>
    <w:tmpl w:val="7772D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72C4A42"/>
    <w:multiLevelType w:val="multilevel"/>
    <w:tmpl w:val="1CBCB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8F54F13"/>
    <w:multiLevelType w:val="multilevel"/>
    <w:tmpl w:val="88A0F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CD86642"/>
    <w:multiLevelType w:val="multilevel"/>
    <w:tmpl w:val="87763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D2C0AF2"/>
    <w:multiLevelType w:val="multilevel"/>
    <w:tmpl w:val="1CDA45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D9E121B"/>
    <w:multiLevelType w:val="multilevel"/>
    <w:tmpl w:val="84CE5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6E4A64F8"/>
    <w:multiLevelType w:val="multilevel"/>
    <w:tmpl w:val="96665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EA157C0"/>
    <w:multiLevelType w:val="multilevel"/>
    <w:tmpl w:val="51BE3A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04E2A26"/>
    <w:multiLevelType w:val="multilevel"/>
    <w:tmpl w:val="80DA9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10224C6"/>
    <w:multiLevelType w:val="multilevel"/>
    <w:tmpl w:val="114CD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2AC0A0D"/>
    <w:multiLevelType w:val="multilevel"/>
    <w:tmpl w:val="6D98C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5F91085"/>
    <w:multiLevelType w:val="multilevel"/>
    <w:tmpl w:val="D1B80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9241BAF"/>
    <w:multiLevelType w:val="multilevel"/>
    <w:tmpl w:val="7BEEE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DC842E4"/>
    <w:multiLevelType w:val="multilevel"/>
    <w:tmpl w:val="C7AA3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F687C8E"/>
    <w:multiLevelType w:val="multilevel"/>
    <w:tmpl w:val="3C145FA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8"/>
  </w:num>
  <w:num w:numId="2">
    <w:abstractNumId w:val="48"/>
  </w:num>
  <w:num w:numId="3">
    <w:abstractNumId w:val="25"/>
  </w:num>
  <w:num w:numId="4">
    <w:abstractNumId w:val="10"/>
  </w:num>
  <w:num w:numId="5">
    <w:abstractNumId w:val="44"/>
  </w:num>
  <w:num w:numId="6">
    <w:abstractNumId w:val="57"/>
  </w:num>
  <w:num w:numId="7">
    <w:abstractNumId w:val="29"/>
  </w:num>
  <w:num w:numId="8">
    <w:abstractNumId w:val="50"/>
  </w:num>
  <w:num w:numId="9">
    <w:abstractNumId w:val="32"/>
  </w:num>
  <w:num w:numId="10">
    <w:abstractNumId w:val="58"/>
  </w:num>
  <w:num w:numId="11">
    <w:abstractNumId w:val="31"/>
  </w:num>
  <w:num w:numId="12">
    <w:abstractNumId w:val="3"/>
  </w:num>
  <w:num w:numId="13">
    <w:abstractNumId w:val="30"/>
  </w:num>
  <w:num w:numId="14">
    <w:abstractNumId w:val="2"/>
  </w:num>
  <w:num w:numId="15">
    <w:abstractNumId w:val="1"/>
  </w:num>
  <w:num w:numId="16">
    <w:abstractNumId w:val="40"/>
  </w:num>
  <w:num w:numId="17">
    <w:abstractNumId w:val="55"/>
  </w:num>
  <w:num w:numId="18">
    <w:abstractNumId w:val="7"/>
  </w:num>
  <w:num w:numId="19">
    <w:abstractNumId w:val="27"/>
  </w:num>
  <w:num w:numId="20">
    <w:abstractNumId w:val="20"/>
  </w:num>
  <w:num w:numId="21">
    <w:abstractNumId w:val="22"/>
  </w:num>
  <w:num w:numId="22">
    <w:abstractNumId w:val="46"/>
  </w:num>
  <w:num w:numId="23">
    <w:abstractNumId w:val="49"/>
  </w:num>
  <w:num w:numId="24">
    <w:abstractNumId w:val="6"/>
  </w:num>
  <w:num w:numId="25">
    <w:abstractNumId w:val="12"/>
  </w:num>
  <w:num w:numId="26">
    <w:abstractNumId w:val="62"/>
  </w:num>
  <w:num w:numId="27">
    <w:abstractNumId w:val="34"/>
  </w:num>
  <w:num w:numId="28">
    <w:abstractNumId w:val="43"/>
  </w:num>
  <w:num w:numId="29">
    <w:abstractNumId w:val="14"/>
  </w:num>
  <w:num w:numId="30">
    <w:abstractNumId w:val="17"/>
  </w:num>
  <w:num w:numId="31">
    <w:abstractNumId w:val="28"/>
  </w:num>
  <w:num w:numId="32">
    <w:abstractNumId w:val="5"/>
  </w:num>
  <w:num w:numId="33">
    <w:abstractNumId w:val="11"/>
  </w:num>
  <w:num w:numId="34">
    <w:abstractNumId w:val="47"/>
  </w:num>
  <w:num w:numId="35">
    <w:abstractNumId w:val="23"/>
  </w:num>
  <w:num w:numId="36">
    <w:abstractNumId w:val="59"/>
  </w:num>
  <w:num w:numId="37">
    <w:abstractNumId w:val="13"/>
  </w:num>
  <w:num w:numId="38">
    <w:abstractNumId w:val="9"/>
  </w:num>
  <w:num w:numId="39">
    <w:abstractNumId w:val="56"/>
  </w:num>
  <w:num w:numId="40">
    <w:abstractNumId w:val="35"/>
  </w:num>
  <w:num w:numId="41">
    <w:abstractNumId w:val="36"/>
  </w:num>
  <w:num w:numId="42">
    <w:abstractNumId w:val="61"/>
  </w:num>
  <w:num w:numId="43">
    <w:abstractNumId w:val="21"/>
  </w:num>
  <w:num w:numId="44">
    <w:abstractNumId w:val="16"/>
  </w:num>
  <w:num w:numId="45">
    <w:abstractNumId w:val="45"/>
  </w:num>
  <w:num w:numId="46">
    <w:abstractNumId w:val="26"/>
  </w:num>
  <w:num w:numId="47">
    <w:abstractNumId w:val="37"/>
  </w:num>
  <w:num w:numId="48">
    <w:abstractNumId w:val="54"/>
  </w:num>
  <w:num w:numId="49">
    <w:abstractNumId w:val="39"/>
  </w:num>
  <w:num w:numId="50">
    <w:abstractNumId w:val="42"/>
  </w:num>
  <w:num w:numId="51">
    <w:abstractNumId w:val="18"/>
  </w:num>
  <w:num w:numId="52">
    <w:abstractNumId w:val="4"/>
  </w:num>
  <w:num w:numId="53">
    <w:abstractNumId w:val="51"/>
  </w:num>
  <w:num w:numId="54">
    <w:abstractNumId w:val="52"/>
  </w:num>
  <w:num w:numId="55">
    <w:abstractNumId w:val="60"/>
  </w:num>
  <w:num w:numId="56">
    <w:abstractNumId w:val="33"/>
  </w:num>
  <w:num w:numId="57">
    <w:abstractNumId w:val="41"/>
  </w:num>
  <w:num w:numId="58">
    <w:abstractNumId w:val="38"/>
  </w:num>
  <w:num w:numId="59">
    <w:abstractNumId w:val="15"/>
  </w:num>
  <w:num w:numId="60">
    <w:abstractNumId w:val="24"/>
  </w:num>
  <w:num w:numId="61">
    <w:abstractNumId w:val="19"/>
  </w:num>
  <w:num w:numId="62">
    <w:abstractNumId w:val="53"/>
  </w:num>
  <w:num w:numId="63">
    <w:abstractNumId w:val="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E99"/>
    <w:rsid w:val="005674FC"/>
    <w:rsid w:val="00A83281"/>
    <w:rsid w:val="00DB0E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4C99B5-4976-44C9-90A9-AB1CC95A5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674F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5674F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674F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674FC"/>
    <w:rPr>
      <w:rFonts w:ascii="Times New Roman" w:eastAsia="Times New Roman" w:hAnsi="Times New Roman" w:cs="Times New Roman"/>
      <w:b/>
      <w:bCs/>
      <w:sz w:val="36"/>
      <w:szCs w:val="36"/>
      <w:lang w:eastAsia="ru-RU"/>
    </w:rPr>
  </w:style>
  <w:style w:type="paragraph" w:customStyle="1" w:styleId="msonormal0">
    <w:name w:val="msonormal"/>
    <w:basedOn w:val="a"/>
    <w:rsid w:val="005674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5674FC"/>
  </w:style>
  <w:style w:type="paragraph" w:styleId="a3">
    <w:name w:val="Normal (Web)"/>
    <w:basedOn w:val="a"/>
    <w:uiPriority w:val="99"/>
    <w:semiHidden/>
    <w:unhideWhenUsed/>
    <w:rsid w:val="005674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5674FC"/>
    <w:rPr>
      <w:i/>
      <w:iCs/>
    </w:rPr>
  </w:style>
  <w:style w:type="character" w:styleId="a5">
    <w:name w:val="Strong"/>
    <w:basedOn w:val="a0"/>
    <w:uiPriority w:val="22"/>
    <w:qFormat/>
    <w:rsid w:val="005674FC"/>
    <w:rPr>
      <w:b/>
      <w:bCs/>
    </w:rPr>
  </w:style>
  <w:style w:type="paragraph" w:customStyle="1" w:styleId="marginl">
    <w:name w:val="marginl"/>
    <w:basedOn w:val="a"/>
    <w:rsid w:val="005674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oterm">
    <w:name w:val="mo_term"/>
    <w:basedOn w:val="a0"/>
    <w:rsid w:val="005674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759464">
      <w:bodyDiv w:val="1"/>
      <w:marLeft w:val="0"/>
      <w:marRight w:val="0"/>
      <w:marTop w:val="0"/>
      <w:marBottom w:val="0"/>
      <w:divBdr>
        <w:top w:val="none" w:sz="0" w:space="0" w:color="auto"/>
        <w:left w:val="none" w:sz="0" w:space="0" w:color="auto"/>
        <w:bottom w:val="none" w:sz="0" w:space="0" w:color="auto"/>
        <w:right w:val="none" w:sz="0" w:space="0" w:color="auto"/>
      </w:divBdr>
      <w:divsChild>
        <w:div w:id="948514488">
          <w:marLeft w:val="0"/>
          <w:marRight w:val="0"/>
          <w:marTop w:val="0"/>
          <w:marBottom w:val="0"/>
          <w:divBdr>
            <w:top w:val="none" w:sz="0" w:space="0" w:color="auto"/>
            <w:left w:val="none" w:sz="0" w:space="0" w:color="auto"/>
            <w:bottom w:val="single" w:sz="36" w:space="0" w:color="D3D3E8"/>
            <w:right w:val="none" w:sz="0" w:space="0" w:color="auto"/>
          </w:divBdr>
          <w:divsChild>
            <w:div w:id="120270552">
              <w:marLeft w:val="0"/>
              <w:marRight w:val="0"/>
              <w:marTop w:val="0"/>
              <w:marBottom w:val="0"/>
              <w:divBdr>
                <w:top w:val="none" w:sz="0" w:space="0" w:color="auto"/>
                <w:left w:val="none" w:sz="0" w:space="0" w:color="auto"/>
                <w:bottom w:val="none" w:sz="0" w:space="0" w:color="auto"/>
                <w:right w:val="none" w:sz="0" w:space="0" w:color="auto"/>
              </w:divBdr>
              <w:divsChild>
                <w:div w:id="393046849">
                  <w:marLeft w:val="0"/>
                  <w:marRight w:val="0"/>
                  <w:marTop w:val="0"/>
                  <w:marBottom w:val="0"/>
                  <w:divBdr>
                    <w:top w:val="none" w:sz="0" w:space="0" w:color="auto"/>
                    <w:left w:val="none" w:sz="0" w:space="0" w:color="auto"/>
                    <w:bottom w:val="none" w:sz="0" w:space="0" w:color="auto"/>
                    <w:right w:val="none" w:sz="0" w:space="0" w:color="auto"/>
                  </w:divBdr>
                </w:div>
                <w:div w:id="898245828">
                  <w:marLeft w:val="600"/>
                  <w:marRight w:val="450"/>
                  <w:marTop w:val="0"/>
                  <w:marBottom w:val="0"/>
                  <w:divBdr>
                    <w:top w:val="none" w:sz="0" w:space="0" w:color="auto"/>
                    <w:left w:val="none" w:sz="0" w:space="0" w:color="auto"/>
                    <w:bottom w:val="none" w:sz="0" w:space="0" w:color="auto"/>
                    <w:right w:val="none" w:sz="0" w:space="0" w:color="auto"/>
                  </w:divBdr>
                  <w:divsChild>
                    <w:div w:id="1416321394">
                      <w:marLeft w:val="0"/>
                      <w:marRight w:val="0"/>
                      <w:marTop w:val="0"/>
                      <w:marBottom w:val="150"/>
                      <w:divBdr>
                        <w:top w:val="none" w:sz="0" w:space="0" w:color="auto"/>
                        <w:left w:val="none" w:sz="0" w:space="0" w:color="auto"/>
                        <w:bottom w:val="none" w:sz="0" w:space="0" w:color="auto"/>
                        <w:right w:val="none" w:sz="0" w:space="0" w:color="auto"/>
                      </w:divBdr>
                    </w:div>
                    <w:div w:id="65156890">
                      <w:marLeft w:val="0"/>
                      <w:marRight w:val="0"/>
                      <w:marTop w:val="0"/>
                      <w:marBottom w:val="150"/>
                      <w:divBdr>
                        <w:top w:val="none" w:sz="0" w:space="0" w:color="auto"/>
                        <w:left w:val="none" w:sz="0" w:space="0" w:color="auto"/>
                        <w:bottom w:val="none" w:sz="0" w:space="0" w:color="auto"/>
                        <w:right w:val="none" w:sz="0" w:space="0" w:color="auto"/>
                      </w:divBdr>
                    </w:div>
                    <w:div w:id="2080597137">
                      <w:marLeft w:val="0"/>
                      <w:marRight w:val="0"/>
                      <w:marTop w:val="0"/>
                      <w:marBottom w:val="150"/>
                      <w:divBdr>
                        <w:top w:val="none" w:sz="0" w:space="0" w:color="auto"/>
                        <w:left w:val="none" w:sz="0" w:space="0" w:color="auto"/>
                        <w:bottom w:val="none" w:sz="0" w:space="0" w:color="auto"/>
                        <w:right w:val="none" w:sz="0" w:space="0" w:color="auto"/>
                      </w:divBdr>
                    </w:div>
                  </w:divsChild>
                </w:div>
                <w:div w:id="1593050977">
                  <w:marLeft w:val="600"/>
                  <w:marRight w:val="450"/>
                  <w:marTop w:val="0"/>
                  <w:marBottom w:val="0"/>
                  <w:divBdr>
                    <w:top w:val="none" w:sz="0" w:space="0" w:color="auto"/>
                    <w:left w:val="none" w:sz="0" w:space="0" w:color="auto"/>
                    <w:bottom w:val="none" w:sz="0" w:space="0" w:color="auto"/>
                    <w:right w:val="none" w:sz="0" w:space="0" w:color="auto"/>
                  </w:divBdr>
                  <w:divsChild>
                    <w:div w:id="2069374896">
                      <w:marLeft w:val="0"/>
                      <w:marRight w:val="0"/>
                      <w:marTop w:val="0"/>
                      <w:marBottom w:val="150"/>
                      <w:divBdr>
                        <w:top w:val="none" w:sz="0" w:space="0" w:color="auto"/>
                        <w:left w:val="none" w:sz="0" w:space="0" w:color="auto"/>
                        <w:bottom w:val="none" w:sz="0" w:space="0" w:color="auto"/>
                        <w:right w:val="none" w:sz="0" w:space="0" w:color="auto"/>
                      </w:divBdr>
                    </w:div>
                    <w:div w:id="220025544">
                      <w:marLeft w:val="0"/>
                      <w:marRight w:val="0"/>
                      <w:marTop w:val="0"/>
                      <w:marBottom w:val="150"/>
                      <w:divBdr>
                        <w:top w:val="none" w:sz="0" w:space="0" w:color="auto"/>
                        <w:left w:val="none" w:sz="0" w:space="0" w:color="auto"/>
                        <w:bottom w:val="none" w:sz="0" w:space="0" w:color="auto"/>
                        <w:right w:val="none" w:sz="0" w:space="0" w:color="auto"/>
                      </w:divBdr>
                    </w:div>
                  </w:divsChild>
                </w:div>
                <w:div w:id="1379818216">
                  <w:marLeft w:val="0"/>
                  <w:marRight w:val="450"/>
                  <w:marTop w:val="0"/>
                  <w:marBottom w:val="0"/>
                  <w:divBdr>
                    <w:top w:val="none" w:sz="0" w:space="0" w:color="auto"/>
                    <w:left w:val="none" w:sz="0" w:space="0" w:color="auto"/>
                    <w:bottom w:val="none" w:sz="0" w:space="0" w:color="auto"/>
                    <w:right w:val="none" w:sz="0" w:space="0" w:color="auto"/>
                  </w:divBdr>
                  <w:divsChild>
                    <w:div w:id="783773262">
                      <w:marLeft w:val="0"/>
                      <w:marRight w:val="0"/>
                      <w:marTop w:val="0"/>
                      <w:marBottom w:val="150"/>
                      <w:divBdr>
                        <w:top w:val="none" w:sz="0" w:space="0" w:color="auto"/>
                        <w:left w:val="none" w:sz="0" w:space="0" w:color="auto"/>
                        <w:bottom w:val="none" w:sz="0" w:space="0" w:color="auto"/>
                        <w:right w:val="none" w:sz="0" w:space="0" w:color="auto"/>
                      </w:divBdr>
                    </w:div>
                    <w:div w:id="1476296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2747196">
          <w:marLeft w:val="0"/>
          <w:marRight w:val="0"/>
          <w:marTop w:val="0"/>
          <w:marBottom w:val="0"/>
          <w:divBdr>
            <w:top w:val="none" w:sz="0" w:space="0" w:color="auto"/>
            <w:left w:val="none" w:sz="0" w:space="0" w:color="auto"/>
            <w:bottom w:val="none" w:sz="0" w:space="0" w:color="auto"/>
            <w:right w:val="none" w:sz="0" w:space="0" w:color="auto"/>
          </w:divBdr>
          <w:divsChild>
            <w:div w:id="1645086504">
              <w:marLeft w:val="0"/>
              <w:marRight w:val="0"/>
              <w:marTop w:val="0"/>
              <w:marBottom w:val="0"/>
              <w:divBdr>
                <w:top w:val="none" w:sz="0" w:space="0" w:color="auto"/>
                <w:left w:val="none" w:sz="0" w:space="0" w:color="auto"/>
                <w:bottom w:val="none" w:sz="0" w:space="0" w:color="auto"/>
                <w:right w:val="none" w:sz="0" w:space="0" w:color="auto"/>
              </w:divBdr>
              <w:divsChild>
                <w:div w:id="14310214">
                  <w:marLeft w:val="0"/>
                  <w:marRight w:val="0"/>
                  <w:marTop w:val="0"/>
                  <w:marBottom w:val="0"/>
                  <w:divBdr>
                    <w:top w:val="none" w:sz="0" w:space="0" w:color="auto"/>
                    <w:left w:val="none" w:sz="0" w:space="0" w:color="auto"/>
                    <w:bottom w:val="none" w:sz="0" w:space="0" w:color="auto"/>
                    <w:right w:val="none" w:sz="0" w:space="0" w:color="auto"/>
                  </w:divBdr>
                </w:div>
                <w:div w:id="1597709856">
                  <w:marLeft w:val="0"/>
                  <w:marRight w:val="0"/>
                  <w:marTop w:val="0"/>
                  <w:marBottom w:val="0"/>
                  <w:divBdr>
                    <w:top w:val="none" w:sz="0" w:space="0" w:color="auto"/>
                    <w:left w:val="none" w:sz="0" w:space="0" w:color="auto"/>
                    <w:bottom w:val="none" w:sz="0" w:space="0" w:color="auto"/>
                    <w:right w:val="none" w:sz="0" w:space="0" w:color="auto"/>
                  </w:divBdr>
                  <w:divsChild>
                    <w:div w:id="1372269924">
                      <w:marLeft w:val="0"/>
                      <w:marRight w:val="0"/>
                      <w:marTop w:val="0"/>
                      <w:marBottom w:val="0"/>
                      <w:divBdr>
                        <w:top w:val="none" w:sz="0" w:space="0" w:color="auto"/>
                        <w:left w:val="none" w:sz="0" w:space="0" w:color="auto"/>
                        <w:bottom w:val="none" w:sz="0" w:space="0" w:color="auto"/>
                        <w:right w:val="none" w:sz="0" w:space="0" w:color="auto"/>
                      </w:divBdr>
                      <w:divsChild>
                        <w:div w:id="76765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257485">
                  <w:marLeft w:val="0"/>
                  <w:marRight w:val="0"/>
                  <w:marTop w:val="0"/>
                  <w:marBottom w:val="0"/>
                  <w:divBdr>
                    <w:top w:val="none" w:sz="0" w:space="0" w:color="auto"/>
                    <w:left w:val="none" w:sz="0" w:space="0" w:color="auto"/>
                    <w:bottom w:val="none" w:sz="0" w:space="0" w:color="auto"/>
                    <w:right w:val="none" w:sz="0" w:space="0" w:color="auto"/>
                  </w:divBdr>
                  <w:divsChild>
                    <w:div w:id="29426770">
                      <w:marLeft w:val="0"/>
                      <w:marRight w:val="0"/>
                      <w:marTop w:val="0"/>
                      <w:marBottom w:val="0"/>
                      <w:divBdr>
                        <w:top w:val="none" w:sz="0" w:space="0" w:color="auto"/>
                        <w:left w:val="none" w:sz="0" w:space="0" w:color="auto"/>
                        <w:bottom w:val="none" w:sz="0" w:space="0" w:color="auto"/>
                        <w:right w:val="none" w:sz="0" w:space="0" w:color="auto"/>
                      </w:divBdr>
                      <w:divsChild>
                        <w:div w:id="82228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168521">
                  <w:marLeft w:val="0"/>
                  <w:marRight w:val="0"/>
                  <w:marTop w:val="0"/>
                  <w:marBottom w:val="0"/>
                  <w:divBdr>
                    <w:top w:val="none" w:sz="0" w:space="0" w:color="auto"/>
                    <w:left w:val="none" w:sz="0" w:space="0" w:color="auto"/>
                    <w:bottom w:val="none" w:sz="0" w:space="0" w:color="auto"/>
                    <w:right w:val="none" w:sz="0" w:space="0" w:color="auto"/>
                  </w:divBdr>
                  <w:divsChild>
                    <w:div w:id="2047561692">
                      <w:marLeft w:val="0"/>
                      <w:marRight w:val="0"/>
                      <w:marTop w:val="0"/>
                      <w:marBottom w:val="0"/>
                      <w:divBdr>
                        <w:top w:val="none" w:sz="0" w:space="0" w:color="auto"/>
                        <w:left w:val="none" w:sz="0" w:space="0" w:color="auto"/>
                        <w:bottom w:val="none" w:sz="0" w:space="0" w:color="auto"/>
                        <w:right w:val="none" w:sz="0" w:space="0" w:color="auto"/>
                      </w:divBdr>
                      <w:divsChild>
                        <w:div w:id="187252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795465">
                  <w:marLeft w:val="0"/>
                  <w:marRight w:val="0"/>
                  <w:marTop w:val="0"/>
                  <w:marBottom w:val="0"/>
                  <w:divBdr>
                    <w:top w:val="none" w:sz="0" w:space="0" w:color="auto"/>
                    <w:left w:val="none" w:sz="0" w:space="0" w:color="auto"/>
                    <w:bottom w:val="none" w:sz="0" w:space="0" w:color="auto"/>
                    <w:right w:val="none" w:sz="0" w:space="0" w:color="auto"/>
                  </w:divBdr>
                  <w:divsChild>
                    <w:div w:id="1807963311">
                      <w:marLeft w:val="0"/>
                      <w:marRight w:val="0"/>
                      <w:marTop w:val="0"/>
                      <w:marBottom w:val="0"/>
                      <w:divBdr>
                        <w:top w:val="none" w:sz="0" w:space="0" w:color="auto"/>
                        <w:left w:val="none" w:sz="0" w:space="0" w:color="auto"/>
                        <w:bottom w:val="none" w:sz="0" w:space="0" w:color="auto"/>
                        <w:right w:val="none" w:sz="0" w:space="0" w:color="auto"/>
                      </w:divBdr>
                      <w:divsChild>
                        <w:div w:id="159713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507093">
                  <w:marLeft w:val="0"/>
                  <w:marRight w:val="0"/>
                  <w:marTop w:val="0"/>
                  <w:marBottom w:val="0"/>
                  <w:divBdr>
                    <w:top w:val="none" w:sz="0" w:space="0" w:color="auto"/>
                    <w:left w:val="none" w:sz="0" w:space="0" w:color="auto"/>
                    <w:bottom w:val="none" w:sz="0" w:space="0" w:color="auto"/>
                    <w:right w:val="none" w:sz="0" w:space="0" w:color="auto"/>
                  </w:divBdr>
                  <w:divsChild>
                    <w:div w:id="1778409812">
                      <w:marLeft w:val="0"/>
                      <w:marRight w:val="0"/>
                      <w:marTop w:val="0"/>
                      <w:marBottom w:val="0"/>
                      <w:divBdr>
                        <w:top w:val="none" w:sz="0" w:space="0" w:color="auto"/>
                        <w:left w:val="none" w:sz="0" w:space="0" w:color="auto"/>
                        <w:bottom w:val="none" w:sz="0" w:space="0" w:color="auto"/>
                        <w:right w:val="none" w:sz="0" w:space="0" w:color="auto"/>
                      </w:divBdr>
                      <w:divsChild>
                        <w:div w:id="186026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4092">
                  <w:marLeft w:val="0"/>
                  <w:marRight w:val="0"/>
                  <w:marTop w:val="0"/>
                  <w:marBottom w:val="0"/>
                  <w:divBdr>
                    <w:top w:val="none" w:sz="0" w:space="0" w:color="auto"/>
                    <w:left w:val="none" w:sz="0" w:space="0" w:color="auto"/>
                    <w:bottom w:val="none" w:sz="0" w:space="0" w:color="auto"/>
                    <w:right w:val="none" w:sz="0" w:space="0" w:color="auto"/>
                  </w:divBdr>
                  <w:divsChild>
                    <w:div w:id="985859276">
                      <w:marLeft w:val="0"/>
                      <w:marRight w:val="0"/>
                      <w:marTop w:val="0"/>
                      <w:marBottom w:val="0"/>
                      <w:divBdr>
                        <w:top w:val="none" w:sz="0" w:space="0" w:color="auto"/>
                        <w:left w:val="none" w:sz="0" w:space="0" w:color="auto"/>
                        <w:bottom w:val="none" w:sz="0" w:space="0" w:color="auto"/>
                        <w:right w:val="none" w:sz="0" w:space="0" w:color="auto"/>
                      </w:divBdr>
                      <w:divsChild>
                        <w:div w:id="150118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288">
                  <w:marLeft w:val="0"/>
                  <w:marRight w:val="0"/>
                  <w:marTop w:val="0"/>
                  <w:marBottom w:val="0"/>
                  <w:divBdr>
                    <w:top w:val="none" w:sz="0" w:space="0" w:color="auto"/>
                    <w:left w:val="none" w:sz="0" w:space="0" w:color="auto"/>
                    <w:bottom w:val="none" w:sz="0" w:space="0" w:color="auto"/>
                    <w:right w:val="none" w:sz="0" w:space="0" w:color="auto"/>
                  </w:divBdr>
                  <w:divsChild>
                    <w:div w:id="996107160">
                      <w:marLeft w:val="0"/>
                      <w:marRight w:val="0"/>
                      <w:marTop w:val="0"/>
                      <w:marBottom w:val="0"/>
                      <w:divBdr>
                        <w:top w:val="none" w:sz="0" w:space="0" w:color="auto"/>
                        <w:left w:val="none" w:sz="0" w:space="0" w:color="auto"/>
                        <w:bottom w:val="none" w:sz="0" w:space="0" w:color="auto"/>
                        <w:right w:val="none" w:sz="0" w:space="0" w:color="auto"/>
                      </w:divBdr>
                      <w:divsChild>
                        <w:div w:id="184562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02102">
                  <w:marLeft w:val="0"/>
                  <w:marRight w:val="0"/>
                  <w:marTop w:val="0"/>
                  <w:marBottom w:val="0"/>
                  <w:divBdr>
                    <w:top w:val="none" w:sz="0" w:space="0" w:color="auto"/>
                    <w:left w:val="none" w:sz="0" w:space="0" w:color="auto"/>
                    <w:bottom w:val="none" w:sz="0" w:space="0" w:color="auto"/>
                    <w:right w:val="none" w:sz="0" w:space="0" w:color="auto"/>
                  </w:divBdr>
                  <w:divsChild>
                    <w:div w:id="402412269">
                      <w:marLeft w:val="0"/>
                      <w:marRight w:val="0"/>
                      <w:marTop w:val="0"/>
                      <w:marBottom w:val="0"/>
                      <w:divBdr>
                        <w:top w:val="none" w:sz="0" w:space="0" w:color="auto"/>
                        <w:left w:val="none" w:sz="0" w:space="0" w:color="auto"/>
                        <w:bottom w:val="none" w:sz="0" w:space="0" w:color="auto"/>
                        <w:right w:val="none" w:sz="0" w:space="0" w:color="auto"/>
                      </w:divBdr>
                      <w:divsChild>
                        <w:div w:id="12057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533906">
                  <w:marLeft w:val="0"/>
                  <w:marRight w:val="0"/>
                  <w:marTop w:val="0"/>
                  <w:marBottom w:val="0"/>
                  <w:divBdr>
                    <w:top w:val="none" w:sz="0" w:space="0" w:color="auto"/>
                    <w:left w:val="none" w:sz="0" w:space="0" w:color="auto"/>
                    <w:bottom w:val="none" w:sz="0" w:space="0" w:color="auto"/>
                    <w:right w:val="none" w:sz="0" w:space="0" w:color="auto"/>
                  </w:divBdr>
                  <w:divsChild>
                    <w:div w:id="682588366">
                      <w:marLeft w:val="0"/>
                      <w:marRight w:val="0"/>
                      <w:marTop w:val="0"/>
                      <w:marBottom w:val="0"/>
                      <w:divBdr>
                        <w:top w:val="none" w:sz="0" w:space="0" w:color="auto"/>
                        <w:left w:val="none" w:sz="0" w:space="0" w:color="auto"/>
                        <w:bottom w:val="none" w:sz="0" w:space="0" w:color="auto"/>
                        <w:right w:val="none" w:sz="0" w:space="0" w:color="auto"/>
                      </w:divBdr>
                      <w:divsChild>
                        <w:div w:id="78079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045722">
                  <w:marLeft w:val="0"/>
                  <w:marRight w:val="0"/>
                  <w:marTop w:val="0"/>
                  <w:marBottom w:val="0"/>
                  <w:divBdr>
                    <w:top w:val="none" w:sz="0" w:space="0" w:color="auto"/>
                    <w:left w:val="none" w:sz="0" w:space="0" w:color="auto"/>
                    <w:bottom w:val="none" w:sz="0" w:space="0" w:color="auto"/>
                    <w:right w:val="none" w:sz="0" w:space="0" w:color="auto"/>
                  </w:divBdr>
                  <w:divsChild>
                    <w:div w:id="340544287">
                      <w:marLeft w:val="0"/>
                      <w:marRight w:val="0"/>
                      <w:marTop w:val="0"/>
                      <w:marBottom w:val="0"/>
                      <w:divBdr>
                        <w:top w:val="none" w:sz="0" w:space="0" w:color="auto"/>
                        <w:left w:val="none" w:sz="0" w:space="0" w:color="auto"/>
                        <w:bottom w:val="none" w:sz="0" w:space="0" w:color="auto"/>
                        <w:right w:val="none" w:sz="0" w:space="0" w:color="auto"/>
                      </w:divBdr>
                      <w:divsChild>
                        <w:div w:id="78908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972823">
                  <w:marLeft w:val="0"/>
                  <w:marRight w:val="0"/>
                  <w:marTop w:val="0"/>
                  <w:marBottom w:val="0"/>
                  <w:divBdr>
                    <w:top w:val="none" w:sz="0" w:space="0" w:color="auto"/>
                    <w:left w:val="none" w:sz="0" w:space="0" w:color="auto"/>
                    <w:bottom w:val="none" w:sz="0" w:space="0" w:color="auto"/>
                    <w:right w:val="none" w:sz="0" w:space="0" w:color="auto"/>
                  </w:divBdr>
                  <w:divsChild>
                    <w:div w:id="2065982807">
                      <w:marLeft w:val="0"/>
                      <w:marRight w:val="0"/>
                      <w:marTop w:val="0"/>
                      <w:marBottom w:val="0"/>
                      <w:divBdr>
                        <w:top w:val="none" w:sz="0" w:space="0" w:color="auto"/>
                        <w:left w:val="none" w:sz="0" w:space="0" w:color="auto"/>
                        <w:bottom w:val="none" w:sz="0" w:space="0" w:color="auto"/>
                        <w:right w:val="none" w:sz="0" w:space="0" w:color="auto"/>
                      </w:divBdr>
                      <w:divsChild>
                        <w:div w:id="1693068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661430">
                  <w:marLeft w:val="0"/>
                  <w:marRight w:val="0"/>
                  <w:marTop w:val="0"/>
                  <w:marBottom w:val="0"/>
                  <w:divBdr>
                    <w:top w:val="none" w:sz="0" w:space="0" w:color="auto"/>
                    <w:left w:val="none" w:sz="0" w:space="0" w:color="auto"/>
                    <w:bottom w:val="none" w:sz="0" w:space="0" w:color="auto"/>
                    <w:right w:val="none" w:sz="0" w:space="0" w:color="auto"/>
                  </w:divBdr>
                  <w:divsChild>
                    <w:div w:id="1396048595">
                      <w:marLeft w:val="0"/>
                      <w:marRight w:val="0"/>
                      <w:marTop w:val="0"/>
                      <w:marBottom w:val="0"/>
                      <w:divBdr>
                        <w:top w:val="none" w:sz="0" w:space="0" w:color="auto"/>
                        <w:left w:val="none" w:sz="0" w:space="0" w:color="auto"/>
                        <w:bottom w:val="none" w:sz="0" w:space="0" w:color="auto"/>
                        <w:right w:val="none" w:sz="0" w:space="0" w:color="auto"/>
                      </w:divBdr>
                      <w:divsChild>
                        <w:div w:id="100874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499236">
                  <w:marLeft w:val="0"/>
                  <w:marRight w:val="0"/>
                  <w:marTop w:val="0"/>
                  <w:marBottom w:val="0"/>
                  <w:divBdr>
                    <w:top w:val="none" w:sz="0" w:space="0" w:color="auto"/>
                    <w:left w:val="none" w:sz="0" w:space="0" w:color="auto"/>
                    <w:bottom w:val="none" w:sz="0" w:space="0" w:color="auto"/>
                    <w:right w:val="none" w:sz="0" w:space="0" w:color="auto"/>
                  </w:divBdr>
                  <w:divsChild>
                    <w:div w:id="192380189">
                      <w:marLeft w:val="0"/>
                      <w:marRight w:val="0"/>
                      <w:marTop w:val="0"/>
                      <w:marBottom w:val="0"/>
                      <w:divBdr>
                        <w:top w:val="none" w:sz="0" w:space="0" w:color="auto"/>
                        <w:left w:val="none" w:sz="0" w:space="0" w:color="auto"/>
                        <w:bottom w:val="none" w:sz="0" w:space="0" w:color="auto"/>
                        <w:right w:val="none" w:sz="0" w:space="0" w:color="auto"/>
                      </w:divBdr>
                      <w:divsChild>
                        <w:div w:id="105211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569787">
                  <w:marLeft w:val="0"/>
                  <w:marRight w:val="0"/>
                  <w:marTop w:val="0"/>
                  <w:marBottom w:val="0"/>
                  <w:divBdr>
                    <w:top w:val="none" w:sz="0" w:space="0" w:color="auto"/>
                    <w:left w:val="none" w:sz="0" w:space="0" w:color="auto"/>
                    <w:bottom w:val="none" w:sz="0" w:space="0" w:color="auto"/>
                    <w:right w:val="none" w:sz="0" w:space="0" w:color="auto"/>
                  </w:divBdr>
                  <w:divsChild>
                    <w:div w:id="221911650">
                      <w:marLeft w:val="0"/>
                      <w:marRight w:val="0"/>
                      <w:marTop w:val="0"/>
                      <w:marBottom w:val="0"/>
                      <w:divBdr>
                        <w:top w:val="none" w:sz="0" w:space="0" w:color="auto"/>
                        <w:left w:val="none" w:sz="0" w:space="0" w:color="auto"/>
                        <w:bottom w:val="none" w:sz="0" w:space="0" w:color="auto"/>
                        <w:right w:val="none" w:sz="0" w:space="0" w:color="auto"/>
                      </w:divBdr>
                      <w:divsChild>
                        <w:div w:id="190390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596107">
                  <w:marLeft w:val="0"/>
                  <w:marRight w:val="0"/>
                  <w:marTop w:val="0"/>
                  <w:marBottom w:val="0"/>
                  <w:divBdr>
                    <w:top w:val="none" w:sz="0" w:space="0" w:color="auto"/>
                    <w:left w:val="none" w:sz="0" w:space="0" w:color="auto"/>
                    <w:bottom w:val="none" w:sz="0" w:space="0" w:color="auto"/>
                    <w:right w:val="none" w:sz="0" w:space="0" w:color="auto"/>
                  </w:divBdr>
                  <w:divsChild>
                    <w:div w:id="738603085">
                      <w:marLeft w:val="0"/>
                      <w:marRight w:val="0"/>
                      <w:marTop w:val="0"/>
                      <w:marBottom w:val="0"/>
                      <w:divBdr>
                        <w:top w:val="none" w:sz="0" w:space="0" w:color="auto"/>
                        <w:left w:val="none" w:sz="0" w:space="0" w:color="auto"/>
                        <w:bottom w:val="none" w:sz="0" w:space="0" w:color="auto"/>
                        <w:right w:val="none" w:sz="0" w:space="0" w:color="auto"/>
                      </w:divBdr>
                      <w:divsChild>
                        <w:div w:id="133726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602729">
                  <w:marLeft w:val="0"/>
                  <w:marRight w:val="0"/>
                  <w:marTop w:val="0"/>
                  <w:marBottom w:val="0"/>
                  <w:divBdr>
                    <w:top w:val="none" w:sz="0" w:space="0" w:color="auto"/>
                    <w:left w:val="none" w:sz="0" w:space="0" w:color="auto"/>
                    <w:bottom w:val="none" w:sz="0" w:space="0" w:color="auto"/>
                    <w:right w:val="none" w:sz="0" w:space="0" w:color="auto"/>
                  </w:divBdr>
                  <w:divsChild>
                    <w:div w:id="1876771982">
                      <w:marLeft w:val="0"/>
                      <w:marRight w:val="0"/>
                      <w:marTop w:val="0"/>
                      <w:marBottom w:val="0"/>
                      <w:divBdr>
                        <w:top w:val="none" w:sz="0" w:space="0" w:color="auto"/>
                        <w:left w:val="none" w:sz="0" w:space="0" w:color="auto"/>
                        <w:bottom w:val="none" w:sz="0" w:space="0" w:color="auto"/>
                        <w:right w:val="none" w:sz="0" w:space="0" w:color="auto"/>
                      </w:divBdr>
                      <w:divsChild>
                        <w:div w:id="18942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57</Pages>
  <Words>13231</Words>
  <Characters>75420</Characters>
  <Application>Microsoft Office Word</Application>
  <DocSecurity>0</DocSecurity>
  <Lines>628</Lines>
  <Paragraphs>176</Paragraphs>
  <ScaleCrop>false</ScaleCrop>
  <Company/>
  <LinksUpToDate>false</LinksUpToDate>
  <CharactersWithSpaces>88475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2024-05-08T12:11:00Z</dcterms:created>
  <dcterms:modified xsi:type="dcterms:W3CDTF">2024-05-08T12:12:00Z</dcterms:modified>
</cp:coreProperties>
</file>