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650929">
      <w:pPr>
        <w:pStyle w:val="1"/>
      </w:pPr>
      <w:r>
        <w:fldChar w:fldCharType="begin"/>
      </w:r>
      <w:r>
        <w:instrText>HYPERLINK "http://ivo.garant.ru/document/redirect/74811008/0"</w:instrText>
      </w:r>
      <w:r>
        <w:fldChar w:fldCharType="separate"/>
      </w:r>
      <w:r>
        <w:rPr>
          <w:rStyle w:val="a4"/>
          <w:b w:val="0"/>
          <w:bCs w:val="0"/>
        </w:rPr>
        <w:t>Постановление Главного государственного санитарного врач</w:t>
      </w:r>
      <w:r>
        <w:rPr>
          <w:rStyle w:val="a4"/>
          <w:b w:val="0"/>
          <w:bCs w:val="0"/>
        </w:rPr>
        <w:t>а РФ от 16 октября 2020 г. N 31 "О дополнительных мерах по снижению рисков распространения СОVID-19 в период сезонного подъема заболеваемости острыми респираторными вирусными инфекциями и гриппом" (с изменениями и дополнениями)</w:t>
      </w:r>
      <w:r>
        <w:fldChar w:fldCharType="end"/>
      </w:r>
    </w:p>
    <w:p w:rsidR="00000000" w:rsidRDefault="00650929">
      <w:pPr>
        <w:pStyle w:val="ab"/>
      </w:pPr>
      <w:r>
        <w:t>С изменениями и дополнени</w:t>
      </w:r>
      <w:r>
        <w:t>ями от:</w:t>
      </w:r>
    </w:p>
    <w:p w:rsidR="00000000" w:rsidRDefault="00650929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13 ноября 2020 г., 11 марта, 15 ноября 2021 г., 14 апреля, 20 июня 2022 г.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"Коронавирус COVID-19"</w:t>
      </w:r>
    </w:p>
    <w:p w:rsidR="00000000" w:rsidRDefault="00650929">
      <w:r>
        <w:t>В связи с продолжающимся глобальным распространением новой коронавирусной инфекции (COVID-19) в целях снижения рисков распространения COVID-19 в Российской Федерации в период сезонного подъема заболеваемости острыми респираторными вирусными инфекциями и гр</w:t>
      </w:r>
      <w:r>
        <w:t xml:space="preserve">иппом в соответствии со </w:t>
      </w:r>
      <w:hyperlink r:id="rId8" w:history="1">
        <w:r>
          <w:rPr>
            <w:rStyle w:val="a4"/>
          </w:rPr>
          <w:t>статьей 31</w:t>
        </w:r>
      </w:hyperlink>
      <w:r>
        <w:t xml:space="preserve">, </w:t>
      </w:r>
      <w:hyperlink r:id="rId9" w:history="1">
        <w:r>
          <w:rPr>
            <w:rStyle w:val="a4"/>
          </w:rPr>
          <w:t>подпунктом 6 пункта 1 статьи 51</w:t>
        </w:r>
      </w:hyperlink>
      <w:r>
        <w:t xml:space="preserve"> Федерального закона от 30.03.1999 N 52-ФЗ "О санитарно-</w:t>
      </w:r>
      <w:r>
        <w:t>эпидемиологическом благополучии населения" (Собрание законодательства Российской Федерации, 1999, N 14, ст. 1650; 2019, N 30, ст. 4134) постановляю: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" w:name="sub_1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"/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Главног</w:t>
      </w:r>
      <w:r>
        <w:rPr>
          <w:shd w:val="clear" w:color="auto" w:fill="F0F0F0"/>
        </w:rPr>
        <w:t>о государственного санитарного врача РФ от 20 июня 2022 г. N 18 действие пункта 1 приостановлено</w:t>
      </w:r>
    </w:p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hyperlink r:id="rId11" w:history="1">
        <w:r>
          <w:rPr>
            <w:rStyle w:val="a4"/>
            <w:shd w:val="clear" w:color="auto" w:fill="F0F0F0"/>
          </w:rPr>
          <w:t>Решением</w:t>
        </w:r>
      </w:hyperlink>
      <w:r>
        <w:rPr>
          <w:shd w:val="clear" w:color="auto" w:fill="F0F0F0"/>
        </w:rPr>
        <w:t xml:space="preserve"> Верховного Суда РФ от 25 января 2021 г. N АКПИ20-862, оставленным без изменения </w:t>
      </w:r>
      <w:hyperlink r:id="rId12" w:history="1">
        <w:r>
          <w:rPr>
            <w:rStyle w:val="a4"/>
            <w:shd w:val="clear" w:color="auto" w:fill="F0F0F0"/>
          </w:rPr>
          <w:t>определением</w:t>
        </w:r>
      </w:hyperlink>
      <w:r>
        <w:rPr>
          <w:shd w:val="clear" w:color="auto" w:fill="F0F0F0"/>
        </w:rPr>
        <w:t xml:space="preserve"> Апелляционной коллегии Верховного Суда РФ от 8 апреля 2021 г. N АПЛ21-111, пункт 1 признан не противоречащим действующему законодательству</w:t>
      </w:r>
    </w:p>
    <w:p w:rsidR="00000000" w:rsidRDefault="00650929">
      <w:pPr>
        <w:ind w:firstLine="698"/>
        <w:rPr>
          <w:rStyle w:val="ad"/>
        </w:rPr>
      </w:pPr>
      <w:hyperlink r:id="rId13" w:history="1">
        <w:r>
          <w:rPr>
            <w:rStyle w:val="a4"/>
            <w:strike/>
          </w:rPr>
          <w:t>1.</w:t>
        </w:r>
      </w:hyperlink>
      <w:r>
        <w:rPr>
          <w:rStyle w:val="ad"/>
        </w:rPr>
        <w:t xml:space="preserve"> Лицам, находящимся на территории Российской Федерации, обеспечить ношение гигиенических масок для защиты органов дыхания в местах массового пребывания людей, в общественном транспорте, такси, на парковках, в лифтах.</w:t>
      </w:r>
    </w:p>
    <w:p w:rsidR="00000000" w:rsidRDefault="00650929">
      <w:bookmarkStart w:id="2" w:name="sub_2"/>
      <w:r>
        <w:t>2.</w:t>
      </w:r>
      <w:r>
        <w:t xml:space="preserve"> Высшим должностным лицам субъектов Российской Федерации (руководителям высшего исполнительного органа государственной власти субъектов Российской Федерации) обеспечить контроль за исполнением </w:t>
      </w:r>
      <w:hyperlink w:anchor="sub_1" w:history="1">
        <w:r>
          <w:rPr>
            <w:rStyle w:val="a4"/>
          </w:rPr>
          <w:t>пункта 1</w:t>
        </w:r>
      </w:hyperlink>
      <w:r>
        <w:t xml:space="preserve"> настоящего Постановления, а так</w:t>
      </w:r>
      <w:r>
        <w:t>же исходя из санитарно-эпидемиологической обстановки рекомендовать:</w:t>
      </w:r>
    </w:p>
    <w:p w:rsidR="00000000" w:rsidRDefault="00650929">
      <w:bookmarkStart w:id="3" w:name="sub_21"/>
      <w:bookmarkEnd w:id="2"/>
      <w:r>
        <w:t>2.1. Обеспечить своевременное принятие противоэпидемических мер, направленных на стабилизацию обстановки, связанной с распространением случаев заболевания COVID-19.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" w:name="sub_22"/>
      <w:bookmarkEnd w:id="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4"/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Главного государственного санитарного врача РФ от 20 июня 2022 г. N 18 действие подпункта 2.2 приостановлено</w:t>
      </w:r>
    </w:p>
    <w:p w:rsidR="00000000" w:rsidRDefault="00650929">
      <w:pPr>
        <w:ind w:firstLine="698"/>
        <w:rPr>
          <w:rStyle w:val="ad"/>
        </w:rPr>
      </w:pPr>
      <w:r>
        <w:rPr>
          <w:rStyle w:val="ad"/>
        </w:rPr>
        <w:t xml:space="preserve">2.2. Принять меры санитарно-эпидемиологического характера (в том числе посредством осуществления ограничительных мероприятий), направленные на защиту лиц, относящихся к группам риска заболевания COVID-19, в первую очередь людей в возрасте 65 лет и старше, </w:t>
      </w:r>
      <w:r>
        <w:rPr>
          <w:rStyle w:val="ad"/>
        </w:rPr>
        <w:t>лиц, больных хроническими заболеваниями.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" w:name="sub_23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5"/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Главного государственного санитарного врача РФ от 20 июня 2022 г. N 18 действие подпункта 2.3 приостановлено</w:t>
      </w:r>
    </w:p>
    <w:p w:rsidR="00000000" w:rsidRDefault="00650929">
      <w:pPr>
        <w:ind w:firstLine="698"/>
        <w:rPr>
          <w:rStyle w:val="ad"/>
        </w:rPr>
      </w:pPr>
      <w:r>
        <w:rPr>
          <w:rStyle w:val="ad"/>
        </w:rPr>
        <w:t>2.3.</w:t>
      </w:r>
      <w:r>
        <w:rPr>
          <w:rStyle w:val="ad"/>
        </w:rPr>
        <w:t xml:space="preserve"> Запретить юридическим лицам и индивидуальным предпринимателям, осуществляющим организацию зрелищно-развлекательных мероприятий, оказывающим услуги общественного питания, их проведение, оказание в период с 23.00 до 06.00 часов.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" w:name="sub_24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6"/>
    <w:p w:rsidR="00000000" w:rsidRDefault="00650929">
      <w:pPr>
        <w:pStyle w:val="a6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Главного государственного санитарного врача РФ от 20 июня 2022 г. N 18 действие подпункта 2.4 приостановлено</w:t>
      </w:r>
    </w:p>
    <w:p w:rsidR="00000000" w:rsidRDefault="00650929">
      <w:pPr>
        <w:ind w:firstLine="698"/>
        <w:rPr>
          <w:rStyle w:val="ad"/>
        </w:rPr>
      </w:pPr>
      <w:r>
        <w:rPr>
          <w:rStyle w:val="ad"/>
        </w:rPr>
        <w:t>2.4. Усилить режим текущей дезинфекции на общественном транспорте, такси,</w:t>
      </w:r>
      <w:r>
        <w:rPr>
          <w:rStyle w:val="ad"/>
        </w:rPr>
        <w:t xml:space="preserve"> а также в иных местах массового пребывания людей (на торговых объектах, объектах общественного </w:t>
      </w:r>
      <w:r>
        <w:rPr>
          <w:rStyle w:val="ad"/>
        </w:rPr>
        <w:lastRenderedPageBreak/>
        <w:t>питания, в местах проведения театрально-зрелищных, культурно-просветительских, зрелищно-развлекательных мероприятий).</w:t>
      </w:r>
    </w:p>
    <w:p w:rsidR="00000000" w:rsidRDefault="00650929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" w:name="sub_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000000" w:rsidRDefault="00650929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</w:t>
      </w:r>
      <w:r>
        <w:rPr>
          <w:shd w:val="clear" w:color="auto" w:fill="F0F0F0"/>
        </w:rPr>
        <w:t xml:space="preserve">пункт 2.5 изменен с 19 апреля 2022 г. - </w:t>
      </w:r>
      <w:hyperlink r:id="rId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Главного государственного санитарного врача России от 14 апреля 2022 г. N 13</w:t>
      </w:r>
    </w:p>
    <w:p w:rsidR="00000000" w:rsidRDefault="00650929">
      <w:pPr>
        <w:pStyle w:val="a7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50929">
      <w:r>
        <w:t>2.5. Обеспечить проведение исследований для выявления возбудителя COVID-19 любым из методов, определяющих генетический материал или антиген возбудителя, с использованием диагностических препаратов и тест-систем, зарегистрирова</w:t>
      </w:r>
      <w:r>
        <w:t>нных в соответствии с законодательством Российской Федерации.</w:t>
      </w:r>
    </w:p>
    <w:p w:rsidR="00000000" w:rsidRDefault="00650929">
      <w:r>
        <w:t>Уровень охвата исследованиями для выявления возбудителя COVID-19 (среднесуточно за 7 календарных дней, в показателях на 100 тыс. населения) определяется исходя из активности эпидемического проце</w:t>
      </w:r>
      <w:r>
        <w:t>сса COVID-19 в субъекте Российской Федерации:</w:t>
      </w:r>
    </w:p>
    <w:p w:rsidR="00000000" w:rsidRDefault="00650929">
      <w:r>
        <w:t>первый (высокий) уровень - применяется при высокой активности эпидемического процесса (недельный показатель заболеваемости более 100 случаев на 100 тыс. населения, доля положительных результатов исследований бо</w:t>
      </w:r>
      <w:r>
        <w:t>лее 15%) и предусматривает проведение не менее 300 исследований на 100 тыс. населения;</w:t>
      </w:r>
    </w:p>
    <w:p w:rsidR="00000000" w:rsidRDefault="00650929">
      <w:r>
        <w:t>второй (средний) уровень - применяется при средней активности эпидемического процесса (недельный показатель заболеваемости от 50 до 100 случаев на 100 тыс. населения, до</w:t>
      </w:r>
      <w:r>
        <w:t>ля положительных результатов исследований от 7 до 15%) и предусматривает проведение не менее 200 исследований на 100 тыс. населения;</w:t>
      </w:r>
    </w:p>
    <w:p w:rsidR="00000000" w:rsidRDefault="00650929">
      <w:r>
        <w:t>третий (низкий) уровень - применяется при относительно низкой активности эпидемического процесса (недельный показатель забо</w:t>
      </w:r>
      <w:r>
        <w:t>леваемости не более 50 случаев на 100 тыс. населения, доля положительных результатов исследований менее 7%) и предусматривает проведение не менее 150 исследований на 100 тыс. населения.</w:t>
      </w:r>
    </w:p>
    <w:p w:rsidR="00000000" w:rsidRDefault="00650929">
      <w:r>
        <w:t>В случае если в субъекте Российской Федерации оба показателя, характер</w:t>
      </w:r>
      <w:r>
        <w:t>изующих активность эпидемического процесса (заболеваемость и доля положительных результатов исследований), относятся к разным уровням охвата исследованиями, применяется более высокий уровень охвата исследованиями.</w:t>
      </w:r>
    </w:p>
    <w:p w:rsidR="00000000" w:rsidRDefault="00650929">
      <w:bookmarkStart w:id="8" w:name="sub_3"/>
      <w:r>
        <w:t>3. Руководителям территориальных орга</w:t>
      </w:r>
      <w:r>
        <w:t>нов Роспотребнадзора обеспечить контроль за реализацией настоящего Постановления.</w:t>
      </w:r>
    </w:p>
    <w:p w:rsidR="00000000" w:rsidRDefault="00650929">
      <w:bookmarkStart w:id="9" w:name="sub_4"/>
      <w:bookmarkEnd w:id="8"/>
      <w:r>
        <w:t xml:space="preserve">4. Настоящее Постановление вступает в силу со дня, следующего за днем его </w:t>
      </w:r>
      <w:hyperlink r:id="rId19" w:history="1">
        <w:r>
          <w:rPr>
            <w:rStyle w:val="a4"/>
          </w:rPr>
          <w:t>официального опубликования</w:t>
        </w:r>
      </w:hyperlink>
      <w:r>
        <w:t>.</w:t>
      </w:r>
    </w:p>
    <w:bookmarkEnd w:id="9"/>
    <w:p w:rsidR="00000000" w:rsidRDefault="00650929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650929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650929" w:rsidRDefault="00650929">
            <w:pPr>
              <w:pStyle w:val="aa"/>
            </w:pP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650929" w:rsidRDefault="00650929">
            <w:pPr>
              <w:pStyle w:val="aa"/>
              <w:jc w:val="right"/>
            </w:pPr>
            <w:r w:rsidRPr="00650929">
              <w:t>А.Ю. Попова</w:t>
            </w:r>
          </w:p>
        </w:tc>
      </w:tr>
    </w:tbl>
    <w:p w:rsidR="00000000" w:rsidRDefault="00650929"/>
    <w:p w:rsidR="00000000" w:rsidRDefault="00650929">
      <w:pPr>
        <w:pStyle w:val="ac"/>
      </w:pPr>
      <w:r>
        <w:t>Зарегистрировано в Минюсте РФ 26 октября 2020 г.</w:t>
      </w:r>
      <w:r>
        <w:br/>
        <w:t>Регистрационный N 60563</w:t>
      </w:r>
    </w:p>
    <w:p w:rsidR="00650929" w:rsidRDefault="00650929"/>
    <w:sectPr w:rsidR="00650929">
      <w:headerReference w:type="default" r:id="rId20"/>
      <w:footerReference w:type="default" r:id="rId2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929" w:rsidRDefault="00650929">
      <w:r>
        <w:separator/>
      </w:r>
    </w:p>
  </w:endnote>
  <w:endnote w:type="continuationSeparator" w:id="0">
    <w:p w:rsidR="00650929" w:rsidRDefault="006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650929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650929" w:rsidRDefault="00650929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t xml:space="preserve"> 16.03.202</w: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650929" w:rsidRDefault="00650929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650929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650929" w:rsidRDefault="00650929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9409A" w:rsidRPr="0065092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9409A" w:rsidRPr="0065092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9409A" w:rsidRPr="0065092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9409A" w:rsidRPr="00650929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 w:rsidRPr="00650929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929" w:rsidRDefault="00650929">
      <w:r>
        <w:separator/>
      </w:r>
    </w:p>
  </w:footnote>
  <w:footnote w:type="continuationSeparator" w:id="0">
    <w:p w:rsidR="00650929" w:rsidRDefault="00650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50929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Главного государственного санитарного врача РФ от 16 октября 2020 г. N 31 "О дополнительных…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09A"/>
    <w:rsid w:val="0039409A"/>
    <w:rsid w:val="0065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A40C127-9ECA-479D-92A9-418CBF26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Утратил силу"/>
    <w:uiPriority w:val="99"/>
    <w:rPr>
      <w:b w:val="0"/>
      <w:bCs w:val="0"/>
      <w:strike/>
      <w:color w:val="666600"/>
    </w:r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15118/31" TargetMode="External"/><Relationship Id="rId13" Type="http://schemas.openxmlformats.org/officeDocument/2006/relationships/hyperlink" Target="http://ivo.garant.ru/document/redirect/74811790/1112" TargetMode="External"/><Relationship Id="rId18" Type="http://schemas.openxmlformats.org/officeDocument/2006/relationships/hyperlink" Target="http://ivo.garant.ru/document/redirect/77314123/25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ivo.garant.ru/document/redirect/77467107/0" TargetMode="External"/><Relationship Id="rId12" Type="http://schemas.openxmlformats.org/officeDocument/2006/relationships/hyperlink" Target="http://ivo.garant.ru/document/redirect/400715637/1111" TargetMode="External"/><Relationship Id="rId17" Type="http://schemas.openxmlformats.org/officeDocument/2006/relationships/hyperlink" Target="http://ivo.garant.ru/document/redirect/404496752/1" TargetMode="Externa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404924157/1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document/redirect/400370845/11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vo.garant.ru/document/redirect/404924157/15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vo.garant.ru/document/redirect/404924157/15" TargetMode="External"/><Relationship Id="rId19" Type="http://schemas.openxmlformats.org/officeDocument/2006/relationships/hyperlink" Target="http://ivo.garant.ru/document/redirect/74811009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15118/51016" TargetMode="External"/><Relationship Id="rId14" Type="http://schemas.openxmlformats.org/officeDocument/2006/relationships/hyperlink" Target="http://ivo.garant.ru/document/redirect/404924157/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2023-03-16T15:24:00Z</dcterms:created>
  <dcterms:modified xsi:type="dcterms:W3CDTF">2023-03-16T15:24:00Z</dcterms:modified>
</cp:coreProperties>
</file>