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6076" w:rsidRDefault="009E1091">
      <w:pPr>
        <w:spacing w:after="13"/>
        <w:ind w:left="-5" w:right="22"/>
      </w:pPr>
      <w:bookmarkStart w:id="0" w:name="_GoBack"/>
      <w:bookmarkEnd w:id="0"/>
      <w:r>
        <w:t>Авторы</w:t>
      </w:r>
    </w:p>
    <w:p w:rsidR="004B6076" w:rsidRDefault="009E1091">
      <w:pPr>
        <w:spacing w:after="13"/>
        <w:ind w:left="-5" w:right="22"/>
      </w:pPr>
      <w:r>
        <w:t>Список сокращений и условных обозначений</w:t>
      </w:r>
    </w:p>
    <w:p w:rsidR="004B6076" w:rsidRDefault="009E1091">
      <w:pPr>
        <w:spacing w:after="13"/>
        <w:ind w:left="-5" w:right="22"/>
      </w:pPr>
      <w:r>
        <w:t>Введение</w:t>
      </w:r>
    </w:p>
    <w:p w:rsidR="004B6076" w:rsidRDefault="009E1091">
      <w:pPr>
        <w:spacing w:after="13"/>
        <w:ind w:left="-5" w:right="22"/>
      </w:pPr>
      <w:r>
        <w:t>Глава 1. Возраст как основной элемент реконструкции биологического профиля неизвестного индивида</w:t>
      </w:r>
    </w:p>
    <w:p w:rsidR="004B6076" w:rsidRDefault="009E1091">
      <w:pPr>
        <w:spacing w:after="13"/>
        <w:ind w:left="-5" w:right="22"/>
      </w:pPr>
      <w:r>
        <w:t>Глава 2. Характеристика возрастных изменений тканей и органов</w:t>
      </w:r>
    </w:p>
    <w:p w:rsidR="004B6076" w:rsidRDefault="009E1091">
      <w:pPr>
        <w:spacing w:after="13"/>
        <w:ind w:left="-5" w:right="22"/>
      </w:pPr>
      <w:r>
        <w:t>Глава 3. Комплексная оценка возраста с использованием методов интеллектуального анализа</w:t>
      </w:r>
    </w:p>
    <w:p w:rsidR="004B6076" w:rsidRDefault="009E1091">
      <w:pPr>
        <w:spacing w:after="13"/>
        <w:ind w:left="-5" w:right="22"/>
      </w:pPr>
      <w:r>
        <w:t>Глава 4. Экспертные модели и алгоритмы определения биологического возраста индивида</w:t>
      </w:r>
    </w:p>
    <w:p w:rsidR="004B6076" w:rsidRDefault="009E1091">
      <w:pPr>
        <w:spacing w:after="13"/>
        <w:ind w:left="-5" w:right="22"/>
      </w:pPr>
      <w:r>
        <w:t>Заключение</w:t>
      </w:r>
    </w:p>
    <w:p w:rsidR="004B6076" w:rsidRDefault="009E1091">
      <w:pPr>
        <w:spacing w:after="13"/>
        <w:ind w:left="-5" w:right="22"/>
      </w:pPr>
      <w:r>
        <w:t>Тестовый контроль</w:t>
      </w:r>
    </w:p>
    <w:p w:rsidR="004B6076" w:rsidRDefault="009E1091">
      <w:pPr>
        <w:spacing w:after="13"/>
        <w:ind w:left="-5" w:right="22"/>
      </w:pPr>
      <w:r>
        <w:t>Эталоны ответов</w:t>
      </w:r>
    </w:p>
    <w:p w:rsidR="004B6076" w:rsidRDefault="009E1091">
      <w:pPr>
        <w:spacing w:after="13"/>
        <w:ind w:left="-5" w:right="22"/>
      </w:pPr>
      <w:r>
        <w:t>Список литературы</w:t>
      </w:r>
    </w:p>
    <w:p w:rsidR="004B6076" w:rsidRDefault="009E1091">
      <w:pPr>
        <w:spacing w:after="396"/>
        <w:ind w:left="-5" w:right="22"/>
      </w:pPr>
      <w:r>
        <w:t>Приложения</w:t>
      </w:r>
    </w:p>
    <w:p w:rsidR="004B6076" w:rsidRDefault="009E1091">
      <w:pPr>
        <w:pStyle w:val="Heading1"/>
        <w:ind w:left="-5"/>
      </w:pPr>
      <w:r>
        <w:t>Авторы</w:t>
      </w:r>
    </w:p>
    <w:p w:rsidR="004B6076" w:rsidRDefault="009E1091">
      <w:pPr>
        <w:ind w:left="-5" w:right="22"/>
      </w:pPr>
      <w:r>
        <w:rPr>
          <w:b/>
        </w:rPr>
        <w:t>Пиг</w:t>
      </w:r>
      <w:r>
        <w:rPr>
          <w:b/>
        </w:rPr>
        <w:t>олкин Юрий Иванович</w:t>
      </w:r>
      <w:r>
        <w:t xml:space="preserve"> — доктор медицинских наук, профессор, член-корреспондент РАН, заведующий кафедрой судебной медицины Института клинической медицины им. Н.В. Склифосовского ФГАОУ ВО «Первый Московский государственный медицинский университет им. И.М. Сече</w:t>
      </w:r>
      <w:r>
        <w:t>нова» Минздрава России (Сеченовский Универ</w:t>
      </w:r>
      <w:r>
        <w:t>​</w:t>
      </w:r>
      <w:r>
        <w:tab/>
      </w:r>
      <w:r>
        <w:t>ситет)</w:t>
      </w:r>
      <w:r>
        <w:t>​</w:t>
      </w:r>
    </w:p>
    <w:p w:rsidR="004B6076" w:rsidRDefault="009E1091">
      <w:pPr>
        <w:spacing w:after="0"/>
        <w:ind w:left="-5" w:right="22"/>
      </w:pPr>
      <w:r>
        <w:rPr>
          <w:b/>
        </w:rPr>
        <w:t>Золотенкова Галина Вячеславовна</w:t>
      </w:r>
      <w:r>
        <w:t xml:space="preserve"> — доктор медицинских наук, доцент, врач судебно-медицинский эксперт, профессор кафедры судебной медицины, заместитель заведующего кафедрой по научной работе Института клини</w:t>
      </w:r>
      <w:r>
        <w:t>ческой медицины им.</w:t>
      </w:r>
    </w:p>
    <w:p w:rsidR="004B6076" w:rsidRDefault="009E1091">
      <w:pPr>
        <w:ind w:left="-5" w:right="22"/>
      </w:pPr>
      <w:r>
        <w:t>Н.В. Склифосовского ФГАОУ ВО «Первый Московский государственный медицинский университет им. И.М. Сеченова» Минздрава России (Сеченовский Университет)</w:t>
      </w:r>
    </w:p>
    <w:p w:rsidR="004B6076" w:rsidRDefault="009E1091">
      <w:pPr>
        <w:ind w:left="-5" w:right="22"/>
      </w:pPr>
      <w:r>
        <w:rPr>
          <w:b/>
        </w:rPr>
        <w:t>Полетаева Мария Петровна</w:t>
      </w:r>
      <w:r>
        <w:t xml:space="preserve"> — кандидат медицинских наук, врач судебно-медицинский эксперт</w:t>
      </w:r>
      <w:r>
        <w:t>, доцент кафедры судебной медицины Института клинической медицины им. Н.В. Склифосовского ФГАОУ ВО «Первый Московский государственный медицинский университет им. И.М. Сеченова» Минздрава России (Сеченовский Университет)</w:t>
      </w:r>
    </w:p>
    <w:p w:rsidR="004B6076" w:rsidRDefault="009E1091">
      <w:pPr>
        <w:spacing w:after="400"/>
        <w:ind w:left="-5" w:right="9802"/>
      </w:pPr>
      <w:r>
        <w:t>tab not found: 0002 tab not found: 0</w:t>
      </w:r>
      <w:r>
        <w:t>003 tab not found: 0004</w:t>
      </w:r>
    </w:p>
    <w:p w:rsidR="004B6076" w:rsidRDefault="009E1091">
      <w:pPr>
        <w:pStyle w:val="Heading1"/>
        <w:spacing w:after="0" w:line="639" w:lineRule="auto"/>
        <w:ind w:left="-5" w:right="2865"/>
      </w:pPr>
      <w:r>
        <w:t xml:space="preserve">Список сокращений и условных обозначений </w:t>
      </w:r>
      <w:r>
        <w:rPr>
          <w:b w:val="0"/>
          <w:sz w:val="16"/>
        </w:rPr>
        <w:t>♠</w:t>
      </w:r>
      <w:r>
        <w:rPr>
          <w:b w:val="0"/>
          <w:sz w:val="16"/>
        </w:rPr>
        <w:tab/>
      </w:r>
      <w:r>
        <w:rPr>
          <w:b w:val="0"/>
          <w:sz w:val="19"/>
        </w:rPr>
        <w:t>​</w:t>
      </w:r>
    </w:p>
    <w:p w:rsidR="004B6076" w:rsidRDefault="009E1091">
      <w:pPr>
        <w:ind w:left="94" w:right="22"/>
      </w:pPr>
      <w:r>
        <w:t xml:space="preserve">  — торговое название лекарственного средства и/или фармацевтическая субстанция</w:t>
      </w:r>
    </w:p>
    <w:p w:rsidR="004B6076" w:rsidRDefault="009E1091">
      <w:pPr>
        <w:ind w:left="-5" w:right="22"/>
      </w:pPr>
      <w:r>
        <w:t>ББК  — большеберцовая кость</w:t>
      </w:r>
    </w:p>
    <w:p w:rsidR="004B6076" w:rsidRDefault="009E1091">
      <w:pPr>
        <w:ind w:left="-5" w:right="22"/>
      </w:pPr>
      <w:r>
        <w:t>МКА — моноклональные антитела</w:t>
      </w:r>
    </w:p>
    <w:p w:rsidR="004B6076" w:rsidRDefault="009E1091">
      <w:pPr>
        <w:ind w:left="-5" w:right="22"/>
      </w:pPr>
      <w:r>
        <w:t>ММО — метод машинного обучения</w:t>
      </w:r>
    </w:p>
    <w:p w:rsidR="004B6076" w:rsidRDefault="009E1091">
      <w:pPr>
        <w:ind w:left="-5" w:right="22"/>
      </w:pPr>
      <w:r>
        <w:t>ЩХ  — щитовидный хрящ</w:t>
      </w:r>
    </w:p>
    <w:p w:rsidR="004B6076" w:rsidRDefault="009E1091">
      <w:pPr>
        <w:ind w:left="-5" w:right="22"/>
      </w:pPr>
      <w:r>
        <w:t>NB (Naive Bayes) — упрощенный алгоритм Байеса</w:t>
      </w:r>
    </w:p>
    <w:p w:rsidR="004B6076" w:rsidRDefault="009E1091">
      <w:pPr>
        <w:ind w:left="-5" w:right="22"/>
      </w:pPr>
      <w:r>
        <w:t>ROC AUC — площадь (Area Under Curve) под кривой ошибок (Receiver Operating Characteristic)</w:t>
      </w:r>
    </w:p>
    <w:p w:rsidR="004B6076" w:rsidRDefault="009E1091">
      <w:pPr>
        <w:spacing w:after="0" w:line="430" w:lineRule="auto"/>
        <w:ind w:left="-5" w:right="4964"/>
      </w:pPr>
      <w:r>
        <w:t xml:space="preserve">SGD (Stochastic Gradient Descent) — метод стохастического градиента SVM (Support Vector Machine) </w:t>
      </w:r>
      <w:r>
        <w:t>— метод опорных векторов</w:t>
      </w:r>
    </w:p>
    <w:p w:rsidR="004B6076" w:rsidRDefault="009E1091">
      <w:pPr>
        <w:spacing w:after="122" w:line="324" w:lineRule="auto"/>
        <w:ind w:left="-5" w:right="22"/>
      </w:pPr>
      <w:r>
        <w:t>t-SNE (t-Distributed Stochastic Neighbor Embedding) — алгоритм машинного обучения со cтохастическим вложением соседей с tраспре</w:t>
      </w:r>
      <w:r>
        <w:t>​</w:t>
      </w:r>
      <w:r>
        <w:t xml:space="preserve"> </w:t>
      </w:r>
      <w:r>
        <w:t>де</w:t>
      </w:r>
      <w:r>
        <w:t>​</w:t>
      </w:r>
      <w:r>
        <w:t xml:space="preserve"> </w:t>
      </w:r>
      <w:r>
        <w:t>ле</w:t>
      </w:r>
      <w:r>
        <w:t>​</w:t>
      </w:r>
      <w:r>
        <w:t xml:space="preserve"> </w:t>
      </w:r>
      <w:r>
        <w:t>нием</w:t>
      </w:r>
      <w:r>
        <w:t>​</w:t>
      </w:r>
    </w:p>
    <w:p w:rsidR="004B6076" w:rsidRDefault="009E1091">
      <w:pPr>
        <w:ind w:left="-5" w:right="22"/>
      </w:pPr>
      <w:r>
        <w:t>uMAP (Uniform Approximation and Projection) — алгоритм машинного обучения для нелинейног</w:t>
      </w:r>
      <w:r>
        <w:t>о снижения размерности</w:t>
      </w:r>
    </w:p>
    <w:p w:rsidR="004B6076" w:rsidRDefault="009E1091">
      <w:pPr>
        <w:spacing w:after="400"/>
        <w:ind w:left="-5" w:right="9802"/>
      </w:pPr>
      <w:r>
        <w:t>tab not found: 0002 tab not found: 0003 tab not found: 0004</w:t>
      </w:r>
    </w:p>
    <w:p w:rsidR="004B6076" w:rsidRDefault="009E1091">
      <w:pPr>
        <w:pStyle w:val="Heading1"/>
        <w:ind w:left="-5"/>
      </w:pPr>
      <w:r>
        <w:lastRenderedPageBreak/>
        <w:t>Введение</w:t>
      </w:r>
    </w:p>
    <w:p w:rsidR="004B6076" w:rsidRDefault="009E1091">
      <w:pPr>
        <w:ind w:left="-5" w:right="22"/>
      </w:pPr>
      <w:r>
        <w:t>Идентификация личности является проблемным полем судебной медицины и имеет важное международное значение. Урбанизация, миграционные процессы, полимодальное воздейст</w:t>
      </w:r>
      <w:r>
        <w:t>вие на экосистему неизбежно приводят к росту числа природных и техногенных катастроф с большим количеством жертв, в отношении которых необходимо проведение мероприятий по установлению личности. От стихийных бедствий с 1970 по 2010 г. в мире погибло около 3</w:t>
      </w:r>
      <w:r>
        <w:t>,3 млн человек [15]. По данным центра исследований эпидемиологии стихийных бедствий, среднегодовой (с 2000 по 2014 г.) показатель числа погибших в стихийных бедствиях составляет 77 144 человека. В базе данных CRED EM-DAT (International Disaster Database) з</w:t>
      </w:r>
      <w:r>
        <w:t>а 2019 г. было зарегистрировано 396 стихийных бедствий, что превышает среднее (с 2009 по 2018 г.) значение ежегодного количества катастроф в 1,15 раза. В РФ в 2018 г. зафиксировано увеличение общего количества чрезвычайных ситуаций на 3,5% и числа погибших</w:t>
      </w:r>
      <w:r>
        <w:t xml:space="preserve"> на 28,96% по сравнению с 2017 г. [33, 34]. Политическая, экономическая нестабильность является триггером для террористических актов и боевых конфликтов, которые неизбежно сопровождаются гибелью людей. По сведениям Глобальной базы данных по терроризму (Glo</w:t>
      </w:r>
      <w:r>
        <w:t>bal Terrorism Data base), с 1970 по 2016 г. количество террористических инцидентов и число человеческих жертв, их сопровождающих, неукоснительно росло. В 2017 г. в РФ также зафиксирован рост количества погибших в результате террористических актов по сравне</w:t>
      </w:r>
      <w:r>
        <w:t>нию с предыдущим годом [33, 34]. В Докладе о мировом развитии (2011) приводятся сведения о росте начиная с 1960-х гг., вспышек насилия, в том числе с человеческими жертвами, в странах, ранее переживших конфликты [37]. В большинстве подобных случаев происхо</w:t>
      </w:r>
      <w:r>
        <w:t>дит «обезличивание» погибших [153]. Неопознанные трупы с признаками насильственной смерти и следами сокрытия преступлений (расчленения, сожжения и др.) представляют большую проблему [57].</w:t>
      </w:r>
    </w:p>
    <w:p w:rsidR="004B6076" w:rsidRDefault="009E1091">
      <w:pPr>
        <w:spacing w:after="13"/>
        <w:ind w:left="-5" w:right="22"/>
      </w:pPr>
      <w:r>
        <w:t>Одним из вариантов решения является объективизация сведений о биолог</w:t>
      </w:r>
      <w:r>
        <w:t>ических свойствах идентифицируемого.</w:t>
      </w:r>
    </w:p>
    <w:p w:rsidR="004B6076" w:rsidRDefault="009E1091">
      <w:pPr>
        <w:ind w:left="-5" w:right="22"/>
      </w:pPr>
      <w:r>
        <w:t xml:space="preserve">Целесообразность данного подхода — создание биологического паспорта неопознанного индивида как первоначальный этап идентификации личности — отмечена в большинстве профильных публикаций [20, 47, 118, 152, 153, 179, 240, </w:t>
      </w:r>
      <w:r>
        <w:t>250, 356]. Возраст на момент смерти — значимый общегрупповой признак. Установление вероятностного возрастного диапазона является существенным, а в некоторых случаях и определяющим элементом для последующей идентификации личности [29, 41, 96, 115, 121, 131,</w:t>
      </w:r>
      <w:r>
        <w:t xml:space="preserve"> 152, 154, 157, 168, 180, 184, 198, 224, 234, 245, 249, 253, 263, 265, 275, 283–285, 293, 315, 316, 323, 335].</w:t>
      </w:r>
    </w:p>
    <w:p w:rsidR="004B6076" w:rsidRDefault="009E1091">
      <w:pPr>
        <w:ind w:left="-5" w:right="22"/>
      </w:pPr>
      <w:r>
        <w:t>В большинстве случаев для установления возраста на момент смерти используются данные о морфологических изменениях костной системы [29, 46, 96, 97, 112, 118, 121, 135, 154, 157, 168, 169, 179, 180, 187, 195, 203, 224, 236, 256, 257, 262, 270, 293, 319, 327,</w:t>
      </w:r>
      <w:r>
        <w:t xml:space="preserve"> 328, 339, 343, 385]. Вместе с тем, учитывая сведения о гетерохронии, гетеротопии, гетерометрии, возрастных изменениях, для повышения точности диагностических методик установления возраста необходимо расширять круг вовлекаемых в исследование объектов [29, </w:t>
      </w:r>
      <w:r>
        <w:t>41, 118, 120, 121, 154]. В настоящее время сформирован значительный информационный массив сведений в отношении механизмов, проявлений и динамики инволюционных трансформаций различных органов и систем организма человека [7, 12, 13, 18, 21, 23, 25, 36, 43, 4</w:t>
      </w:r>
      <w:r>
        <w:t>4, 59, 71, 74, 75, 80, 85, 89, 91, 99–104, 106, 144, 145, 158, 159, 164, 166, 173, 177, 181]. Однако эти знания о возрастной морфологии мягких тканей и внутренних органов для судебно-медицинской диагностики возраста используются недостаточно [41]. В данном</w:t>
      </w:r>
      <w:r>
        <w:t xml:space="preserve"> случае имеет место явно неудовлетворительная интеграция научных достижений смежных дисциплин в теорию и практику судебной медицины для решения вопросов диагностики возраста.</w:t>
      </w:r>
    </w:p>
    <w:p w:rsidR="004B6076" w:rsidRDefault="009E1091">
      <w:pPr>
        <w:ind w:left="-5" w:right="22"/>
      </w:pPr>
      <w:r>
        <w:t>Для формирования целостного представления о возрастных изменениях необходим компл</w:t>
      </w:r>
      <w:r>
        <w:t>ексный подход, базирующийся на основных закономерностях теории функциональных систем [8, 41, 139, 149]. Совместное использование нескольких различных методов исследования, расширение спектра изучаемых объектов и комплексный анализ фиксируемых изменений поз</w:t>
      </w:r>
      <w:r>
        <w:t>волят сократить ошибку между биологическим и хронологическим возрастом и будут способствовать повышению точности конечного результата.</w:t>
      </w:r>
    </w:p>
    <w:p w:rsidR="004B6076" w:rsidRDefault="009E1091">
      <w:pPr>
        <w:ind w:left="-5" w:right="22"/>
      </w:pPr>
      <w:r>
        <w:t>Используемые ранее методические подходы к решению вопросов идентификации личности, в том числе установлению возраста неиз</w:t>
      </w:r>
      <w:r>
        <w:t>вестных лиц, в современных условиях требуют переосмысления и модернизации. Принципиально новый шаг — внедрение методов интеллектуального анализа информации в судебно-медицинскую экспертную деятельность. Организм человека — сложная многофункциональная систе</w:t>
      </w:r>
      <w:r>
        <w:t>ма, и его изменения в постнатальном онтогенезе не могут быть описаны простыми линейными уравнениями [227, 229, 245]. Современные информационные технологии представляют собой оптимальный вариант для анализа разнородных данных. Необходимость использования ср</w:t>
      </w:r>
      <w:r>
        <w:t>едств искусственного интеллекта для обобщения и анализа результатов исследований большого количества процессов, сопровождающих старение и имеющих разноуровневые взаимосвязи, отмечена в работах ведущих геронтологов [6]</w:t>
      </w:r>
      <w:r>
        <w:rPr>
          <w:i/>
        </w:rPr>
        <w:t>.</w:t>
      </w:r>
      <w:r>
        <w:t xml:space="preserve"> Этого требует и актуальный тренд разв</w:t>
      </w:r>
      <w:r>
        <w:t>ития всех сфер жизнедеятельности человека — цифровизация. Она же является основой перспективных медицинских технологий. Требования, которые предъявляются к судебно-медицинской экспертизе неопознанного лица в настоящее время, — это быстрый и качественный по</w:t>
      </w:r>
      <w:r>
        <w:t>иск данных об идентифицируемом объекте посредством цифровой обработки огромных массивов соответствующей информации. Основой для хранения этой информации будут служить постоянно обновляемые базы данных с широким спектром характеристик, доступных для обработ</w:t>
      </w:r>
      <w:r>
        <w:t>ки при производстве экспертного исследования. Следовательно, существует необходимость активного внедрения нового научного методического подхода, базирующегося на использовании различных интеллектуальных методов обработки информации и последующем интегриров</w:t>
      </w:r>
      <w:r>
        <w:t>ании полученных данных для создания на их базе оригинальных алгоритмов диагностики возраста.</w:t>
      </w:r>
    </w:p>
    <w:p w:rsidR="004B6076" w:rsidRDefault="009E1091">
      <w:pPr>
        <w:spacing w:after="400"/>
        <w:ind w:left="-5" w:right="9802"/>
      </w:pPr>
      <w:r>
        <w:t>tab not found: 0002 tab not found: 0003 tab not found: 0004</w:t>
      </w:r>
    </w:p>
    <w:p w:rsidR="004B6076" w:rsidRDefault="009E1091">
      <w:pPr>
        <w:pStyle w:val="Heading1"/>
        <w:ind w:left="-5"/>
      </w:pPr>
      <w:r>
        <w:t>Глава 1. Возраст как основной элемент реконструкции биологического профиля неизвестного индивида</w:t>
      </w:r>
    </w:p>
    <w:p w:rsidR="004B6076" w:rsidRDefault="009E1091">
      <w:pPr>
        <w:spacing w:after="0"/>
        <w:ind w:left="-5" w:right="22"/>
      </w:pPr>
      <w:r>
        <w:t>Система научных знаний судебной медицины — источник доказательств при проведении расследований, поэтому вектор ее научных интересов лежит прежде всего в области решения вопросов, которые ставят правоохранительные органы перед экспертами. Одним из таких воп</w:t>
      </w:r>
      <w:r>
        <w:t>росов, характеризующихся государственной значимостью, является идентификация личности</w:t>
      </w:r>
    </w:p>
    <w:p w:rsidR="004B6076" w:rsidRDefault="009E1091">
      <w:pPr>
        <w:ind w:left="-5" w:right="22"/>
      </w:pPr>
      <w:r>
        <w:t>[29, 47, 62, 115, 142, 143, 148, 155, 156, 196, 298]. Сложность решения данной проблемы обусловлена совокупностью факторов — это и объем предоставляемой информации, и сох</w:t>
      </w:r>
      <w:r>
        <w:t>ранность объектов, наличие сравнительной базы и многое другое, что в конечном итоге требует разнопланового и многоуровневого подхода к ее решению [29, 116, 118, 120, 121, 131, 154, 180, 208, 215, 227, 234, 248, 297, 304, 355, 361].</w:t>
      </w:r>
    </w:p>
    <w:p w:rsidR="004B6076" w:rsidRDefault="009E1091">
      <w:pPr>
        <w:ind w:left="-5" w:right="22"/>
      </w:pPr>
      <w:r>
        <w:t>Прежде всего, расширяетс</w:t>
      </w:r>
      <w:r>
        <w:t>я спектр используемых объектов. Это «гребневый рисунок» кистей и стоп [13, 20, 49, 95, 129, 138, 151], морфология переходной (красной) каймы губ [46, 92], рисунок дорсальной поверхности языка [138], архитектоника твердого нёба [16, 130]. Информативная знач</w:t>
      </w:r>
      <w:r>
        <w:t>имость традиционных объектов, таких как зубы [304], увеличивается за счет изучения их в плоскости этнотерриториальных, внутрипопуляционных различий [17], признаков ортодонтического лечения [81, 82], использования цифровых аналитических методов [68, 69]. Ин</w:t>
      </w:r>
      <w:r>
        <w:t xml:space="preserve">новацией является использование «термограммы» лица в целях идентификации [77, 86, 167]. Модифицированы подходы биометрической идентификации, базирующиеся на данных электрокардиографии [10, 22]. Качественно нового уровня идентификационных экспертиз удалось </w:t>
      </w:r>
      <w:r>
        <w:t>достигнуть с внедрением метода генотипоскопии [52, 67, 160, 179]. Достижение определенного уровня идентификации возможно посредством установления кровного родства молекулярно-генетическим методом [42, 52, 55, 67]. Молекулярный анализ скелетных останков мож</w:t>
      </w:r>
      <w:r>
        <w:t>ет также дать информацию о гендерной принадлежности представленного индивида и обеспечить положительную идентификацию [196]. Тем не менее, не оспаривая существенные достоинства методов анализа дезоксирибонуклеиновой кислоты для целей идентификации личности</w:t>
      </w:r>
      <w:r>
        <w:t>, отметим ряд сложностей, ограничивающих их использование. Первоочередной проблемой является биологическая целостность, сохранность экспертного материала. Зачастую идентифицируемые объекты, представленные для судебно-медицинского исследования для отождеств</w:t>
      </w:r>
      <w:r>
        <w:t>ления личности, находятся в чрезвычайно плохом состоянии из-за преступной деятельности и/или тафономических факторов. В ряде случаев дело приходится иметь с очень малыми фрагментами. Также следует учитывать, что, поскольку анализ дезоксирибонуклеиновой кис</w:t>
      </w:r>
      <w:r>
        <w:t>лоты является разрушительным процессом, решения относительно того, какие области кости или зуба должны быть исследованы, имеют принципиальное значение и могут повлиять на исход дела. Возможность использования анализа дезоксирибонуклеиновой кислоты во много</w:t>
      </w:r>
      <w:r>
        <w:t>м определяется доступностью информации до смерти, то есть наличием сравнительного материала [196].</w:t>
      </w:r>
    </w:p>
    <w:p w:rsidR="004B6076" w:rsidRDefault="009E1091">
      <w:pPr>
        <w:ind w:left="-5" w:right="22"/>
      </w:pPr>
      <w:r>
        <w:t>В тематических публикациях специалисты однозначно высказываются о необходимости создания биологического профиля индивида [9, 96, 115, 118, 120, 143, 178, 180</w:t>
      </w:r>
      <w:r>
        <w:t>, 245, 248, 257, 265, 335, 355, 376]. Особенно это важно при недостатке и/или отсутствии сравнительного материала, что ограничивает возможности использования ряда современных методов. В подобных случаях повышается экспертная значимость исследований, объект</w:t>
      </w:r>
      <w:r>
        <w:t>ивизирующих данные биологического профиля неопознанного человека. Эти сведения используются для сортировки в условиях чрезвычайных ситуаций с массовыми человеческими жертвами, что способствует экономии временных и материальных ресурсов.</w:t>
      </w:r>
    </w:p>
    <w:p w:rsidR="004B6076" w:rsidRDefault="009E1091">
      <w:pPr>
        <w:ind w:left="-5" w:right="22"/>
      </w:pPr>
      <w:r>
        <w:t>Оценка возраста — э</w:t>
      </w:r>
      <w:r>
        <w:t>то важный шаг в построении биологического профиля человека, в отношении которого проводятся идентификационные исследования [29, 41, 96, 115, 118, 121, 131, 152, 154, 157, 168, 180, 184, 198, 199, 224, 234, 245, 249, 253, 263, 265, 275, 283–285, 293, 315, 3</w:t>
      </w:r>
      <w:r>
        <w:t>16, 323, 335]. Установление вероятностного возрастного диапазона является существенным, а в некоторых случаях и определяющим элементом для последующей идентификации.</w:t>
      </w:r>
    </w:p>
    <w:p w:rsidR="004B6076" w:rsidRDefault="009E1091">
      <w:pPr>
        <w:spacing w:after="0"/>
        <w:ind w:left="-5" w:right="22"/>
      </w:pPr>
      <w:r>
        <w:t>Большинство публикаций в мировой практике судебной антропологии, судебной остеологии посвя</w:t>
      </w:r>
      <w:r>
        <w:t>щены методам, имеющим максимальное практическое использование [29, 46, 96, 97, 112, 118, 121, 135, 154, 157, 168, 169, 179, 180, 187, 195, 203, 224,</w:t>
      </w:r>
    </w:p>
    <w:p w:rsidR="004B6076" w:rsidRDefault="009E1091">
      <w:pPr>
        <w:ind w:left="-5" w:right="22"/>
      </w:pPr>
      <w:r>
        <w:t>236, 256, 257, 262, 270, 293, 319, 327, 328, 339, 343, 385]. Установление возраста на момент смерти проводи</w:t>
      </w:r>
      <w:r>
        <w:t>тся преимущественно на основании оценки морфологических характеристик лобкового симфиза [206, 269, 307], аурикулярной поверхности подвздошной кости [208, 209, 270, 271, 329, 336, 343], швов черепа [272, 286, 322, 328], грудинных концов ребер [355]. Исследо</w:t>
      </w:r>
      <w:r>
        <w:t>вание поверхности вертлужной впадины, проксимального отдела бедренной кости чаще используется в качестве методов оценки возраста у взрослых в сочетании с вышеперечисленными методами.</w:t>
      </w:r>
    </w:p>
    <w:p w:rsidR="004B6076" w:rsidRDefault="009E1091">
      <w:pPr>
        <w:ind w:left="-5" w:right="22"/>
      </w:pPr>
      <w:r>
        <w:t>T.W. Todd (1920, 1921) является основоположником метода установления возр</w:t>
      </w:r>
      <w:r>
        <w:t>аста на основании морфологии лобкового симфиза [389]. В настоящее время метод используется в модификации Suchey–Brooks. Его активное использование на практике связано с наличием соответствующих отливок, позволяющих визуализировать сравнительные образцы [20</w:t>
      </w:r>
      <w:r>
        <w:t>6, 329]. На основании результатов апробации данной методики на современных популяционных выборках исследователи отмечают, что лобковый симфиз является ценным локусом старения для индивидов не старше 35–40 лет [329].</w:t>
      </w:r>
    </w:p>
    <w:p w:rsidR="004B6076" w:rsidRDefault="009E1091">
      <w:pPr>
        <w:ind w:left="-5" w:right="22"/>
      </w:pPr>
      <w:r>
        <w:t>Морфологические изменения ушковидной (</w:t>
      </w:r>
      <w:r>
        <w:rPr>
          <w:i/>
        </w:rPr>
        <w:t>fa</w:t>
      </w:r>
      <w:r>
        <w:rPr>
          <w:i/>
        </w:rPr>
        <w:t>cies auricularis</w:t>
      </w:r>
      <w:r>
        <w:t>) поверхности подвздошной кости также давно и активно используются при установлении возраста. Аурикулярная поверхность в качестве биомаркера имеет ряд преимуществ: хорошая сохранность данного анатомического элемента, наличие динамики инволю</w:t>
      </w:r>
      <w:r>
        <w:t xml:space="preserve">тивных изменений практически на всем протяжении жизни, в том числе после 50 лет. Вместе с тем испытания данного метода показали, что скорость морфологических изменений имеет значительные колебательные амплитуды. Подобные вариации ведут к расширению границ </w:t>
      </w:r>
      <w:r>
        <w:t>устанавливаемого возрастного интервала, снижая точность определения возраста в конечном итоге [369]. J.L. Buckberry, A.T. Chamberlain (2002) модифицировали метод путем введения количественной системы оценки [208]. Комплексный анализ возрастных изменений по</w:t>
      </w:r>
      <w:r>
        <w:t>верхности (наличие поперечных борозд, рельеф поверхности, микро- и макропористость, апикальные изменения) индивидуализирует учет морфологических особенностей [269–271, 336].</w:t>
      </w:r>
    </w:p>
    <w:p w:rsidR="004B6076" w:rsidRDefault="009E1091">
      <w:pPr>
        <w:ind w:left="-5" w:right="22"/>
      </w:pPr>
      <w:r>
        <w:t xml:space="preserve">М. San-Millan  и соавт. (2017) на основании изучения 682 </w:t>
      </w:r>
      <w:r>
        <w:rPr>
          <w:i/>
        </w:rPr>
        <w:t>os coxae</w:t>
      </w:r>
      <w:r>
        <w:t xml:space="preserve"> из документально</w:t>
      </w:r>
      <w:r>
        <w:t xml:space="preserve"> подтвержденных остеологических коллекций изучили динамику и локализацию возрастных преобразований вертлужной впадины [366].</w:t>
      </w:r>
    </w:p>
    <w:p w:rsidR="004B6076" w:rsidRDefault="009E1091">
      <w:pPr>
        <w:ind w:left="-5" w:right="22"/>
      </w:pPr>
      <w:r>
        <w:t>Проведенное исследование методов оценки возраста по лобковому симфизу и тазово-крестцовой поверхности подтвердило наличие популяцио</w:t>
      </w:r>
      <w:r>
        <w:t>нной специфики. Достоверность данного вывода обоснована количеством многоэтнической выборки: данными от 956 лиц обоего пола в возрасте от 19 до 100 лет из 9 различных популяций [209]. N. Lotteringa и соавт. (2014) отметили половой диморфизм в динамике возр</w:t>
      </w:r>
      <w:r>
        <w:t>астных изменений лобкового симфиза [307].</w:t>
      </w:r>
    </w:p>
    <w:p w:rsidR="004B6076" w:rsidRDefault="009E1091">
      <w:pPr>
        <w:ind w:left="-5" w:right="22"/>
      </w:pPr>
      <w:r>
        <w:t>Одним из направлений исследований является испытание ранее разработанных методик на различных этнотерриториальных группах. Это обусловлено доказанной необходимостью учета внутри- и межпопуляционной изменчивости при</w:t>
      </w:r>
      <w:r>
        <w:t xml:space="preserve"> оценке возраста [264, 329, 343, 344, 360, 366, 383]. Подобного рода изыскания способствуют формированию банка данных популяционных стандартов возрастных изменений.</w:t>
      </w:r>
    </w:p>
    <w:p w:rsidR="004B6076" w:rsidRDefault="009E1091">
      <w:pPr>
        <w:ind w:left="-5" w:right="22"/>
      </w:pPr>
      <w:r>
        <w:t>В публикациях последних лет высказывается большое количество сомнений в точности метода, ос</w:t>
      </w:r>
      <w:r>
        <w:t>нованного на степени закрытия черепных швов, который был представлен в 1985 г. R.S. Meindl, C.O. Lovejoy. Сами авторы отмечали, что закрытие швов для оценки возраста на момент смерти как в археологическом, так и в судебно-медицинском контексте «следует исп</w:t>
      </w:r>
      <w:r>
        <w:t>ользовать в сочетании с другими скелетными возрастными показателями» [322]. Результатом проведенных в последующем независимых исследований стал вывод о том, что существенная вариативность темпов заращения швов ограничивает значение этого метода для предвар</w:t>
      </w:r>
      <w:r>
        <w:t>ительного расчета возраста [272, 286]. Сложности методологического характера отмечены и при использовании метода диагностики возраста по стернальному концу ребер [245].</w:t>
      </w:r>
    </w:p>
    <w:p w:rsidR="004B6076" w:rsidRDefault="009E1091">
      <w:pPr>
        <w:spacing w:after="159"/>
        <w:ind w:left="-5" w:right="22"/>
      </w:pPr>
      <w:r>
        <w:t>С.Е. Merritt (2017) указывает на необходимость учета индекса массы тела при выборе мето</w:t>
      </w:r>
      <w:r>
        <w:t>да для оценки возраста, приводя данные о зависимости точности того или иного метода от массы тела, типа телосложения, роста неизвестного индивида [324]. Однако данное требование в условиях ограниченной первоначальной информации зачастую невыполнимо. Вместе</w:t>
      </w:r>
      <w:r>
        <w:t xml:space="preserve"> с тем полученные результаты, по нашему мнению, следует трактовать как прямое указание на целесообразность комплексного, комбинированного подхода при оценке возраста.</w:t>
      </w:r>
    </w:p>
    <w:p w:rsidR="004B6076" w:rsidRDefault="009E1091">
      <w:pPr>
        <w:ind w:left="-5" w:right="22"/>
      </w:pPr>
      <w:r>
        <w:t>В большинстве публикаций исследователи сходятся во мнении, что надежность существующих ме</w:t>
      </w:r>
      <w:r>
        <w:t>тодов оценки возраста, особенно у лиц старше 20 лет, на сегодняшний день вызывает сомнение. Восприимчивость скелетного возраста к</w:t>
      </w:r>
      <w:r>
        <w:t>​</w:t>
      </w:r>
      <w:r>
        <w:t xml:space="preserve"> </w:t>
      </w:r>
      <w:r>
        <w:t>эволюционным, дегенеративным факторам увеличивает его отклонение от хронологического возраста [208]. J. Buckberry (2015) в св</w:t>
      </w:r>
      <w:r>
        <w:t>оем исследовании отмечает, что существующие в настоящее время методы оценки возраста не учитывают «возрастную мимикрию» и индивидуальную изменчивость. Кроме того, они не обладают согласованностью, отсутствуют разработки по возможности совместного использов</w:t>
      </w:r>
      <w:r>
        <w:t>ания [208]. S. Mays (2015) указывает на значительную вариабельность маркеров возраста скелета у взрослых [320]. Он отмечает, что вариации костного возраста могут быть обусловлены целым рядом факторов. Это патология соединительной ткани, гормональный дисбал</w:t>
      </w:r>
      <w:r>
        <w:t xml:space="preserve">анс, недостаток витамина D, репродуктивные факторы, энергетический баланс, биомеханические переменные и генетические предикты. Однако исследований в данном направлении недостаточно, они являются эмпирическими и эпизодическими. Большинство исследователей в </w:t>
      </w:r>
      <w:r>
        <w:t>конечном счете приходят к выводам о необходимости расширения спектра проводимых исследований за счет более активного внедрения нового диагностического оборудования, проведения исследований по созданию непредвзятого комбинированного метода оценки возраста.</w:t>
      </w:r>
    </w:p>
    <w:p w:rsidR="004B6076" w:rsidRDefault="009E1091">
      <w:pPr>
        <w:ind w:left="-5" w:right="22"/>
      </w:pPr>
      <w:r>
        <w:t>Ряд ученых придерживается мнения, что методы оценки скелетного возраста более приемлемы в качестве индикатора общих этапов жизни, а не для установления точного (хронологического) возраста [270, 271]. Мы согласны с подобной трактовкой, особенно если речь ид</w:t>
      </w:r>
      <w:r>
        <w:t>ет об использовании одного метода, основанного на субъективной оценке качественных признаков одного элемента костного скелета. В подобных случаях возможно установить только возрастной интервал, причем исчисляемый десятилетиями [209].</w:t>
      </w:r>
    </w:p>
    <w:p w:rsidR="004B6076" w:rsidRDefault="009E1091">
      <w:pPr>
        <w:spacing w:after="0"/>
        <w:ind w:left="-5" w:right="22"/>
      </w:pPr>
      <w:r>
        <w:t>Точность определения в</w:t>
      </w:r>
      <w:r>
        <w:t>озраста при практическом использовании любого метода, зависит от эталонной популяции, которая была использована для разработки метода, а также математических основ и статистических подходов к последующей оценке. E.</w:t>
      </w:r>
    </w:p>
    <w:p w:rsidR="004B6076" w:rsidRDefault="009E1091">
      <w:pPr>
        <w:ind w:left="-5" w:right="22"/>
      </w:pPr>
      <w:r>
        <w:t>Nikitа и соавт. (2018) предлагают использ</w:t>
      </w:r>
      <w:r>
        <w:t xml:space="preserve">овать байесовский подход в сочетании с методом переходного анализа [344]. Использование переходного анализа для оценки морфологических характеристик возрастных изменений элементов костного скелета (лобкового симфиза, подвздошной аурикулярной поверхности и </w:t>
      </w:r>
      <w:r>
        <w:t>черепных швов) лежит в основе разработанной подразделением антропологии кафедры судебной медицины Университета Южной Дании (Unit of Anthropology Department of Forensic Medicine University of Southern Denmark) компьютерной программы [201]. Планируется ее ин</w:t>
      </w:r>
      <w:r>
        <w:t>теграция с Fordisc, крупнейшим программным обеспечением для судебно-антропологического анализа по костям черепа [249, 408].</w:t>
      </w:r>
    </w:p>
    <w:p w:rsidR="004B6076" w:rsidRDefault="009E1091">
      <w:pPr>
        <w:spacing w:after="0"/>
        <w:ind w:left="-5" w:right="22"/>
      </w:pPr>
      <w:r>
        <w:t>В заключение следует отметить, что на сегодняшний день сформирован значительный массив знаний по возрастной морфологии. Подробно изу</w:t>
      </w:r>
      <w:r>
        <w:t>чены практически все внутренние органы и мягкие ткани. Расширяется спектр используемого диагностического оборудования, сделаны шаги по привлечению искусственного интеллекта для анализа результатов.</w:t>
      </w:r>
    </w:p>
    <w:p w:rsidR="004B6076" w:rsidRDefault="009E1091">
      <w:pPr>
        <w:ind w:left="-5" w:right="22"/>
      </w:pPr>
      <w:r>
        <w:t>Значительное количество публикаций содержит данные о колич</w:t>
      </w:r>
      <w:r>
        <w:t>ественных характеристиках различных структурных компонентов исследуемых органов. Однако полученные данные зачастую разноречивые и не всегда полные. В первую очередь это связано с тем, что количество исследуемого материала не всегда достаточно для полноценн</w:t>
      </w:r>
      <w:r>
        <w:t>ой вариационно-статистической обработки. В то же время спектр исследуемых параметров и показателей крайне широк, что затрудняет сравнительное сопоставление. Комплексный анализ морфометрических характеристик различных тканей и органов посредством сопоставле</w:t>
      </w:r>
      <w:r>
        <w:t xml:space="preserve">ния цифровых значений в различные периоды постнатального онтогенеза позволит использовать полученные результаты для оценки биологического возраста. Это поможет в преодолении главной трудности определения биологического возраста, связанной с индивидуальной </w:t>
      </w:r>
      <w:r>
        <w:t>и групповой изменчивостью темпов инволюции разных органов и тканей.</w:t>
      </w:r>
    </w:p>
    <w:p w:rsidR="004B6076" w:rsidRDefault="009E1091">
      <w:pPr>
        <w:spacing w:after="400"/>
        <w:ind w:left="-5" w:right="9802"/>
      </w:pPr>
      <w:r>
        <w:t>tab not found: 0003 tab not found: 0004 tab not found: 0005</w:t>
      </w:r>
    </w:p>
    <w:p w:rsidR="004B6076" w:rsidRDefault="009E1091">
      <w:pPr>
        <w:spacing w:after="50" w:line="259" w:lineRule="auto"/>
        <w:ind w:left="-5"/>
      </w:pPr>
      <w:r>
        <w:rPr>
          <w:b/>
          <w:sz w:val="38"/>
        </w:rPr>
        <w:t>Глава 2. Характеристика возрастных изменений тканей и</w:t>
      </w:r>
    </w:p>
    <w:p w:rsidR="004B6076" w:rsidRDefault="009E1091">
      <w:pPr>
        <w:pStyle w:val="Heading1"/>
        <w:ind w:left="-5"/>
      </w:pPr>
      <w:r>
        <w:t>органов</w:t>
      </w:r>
    </w:p>
    <w:p w:rsidR="004B6076" w:rsidRDefault="009E1091">
      <w:pPr>
        <w:ind w:left="-5" w:right="22"/>
      </w:pPr>
      <w:r>
        <w:t>Морфологические проявления возрастной инволюции, равно как и клинико-физиологические симптомы старения, достаточно вариабельны во временном, топологическом пространстве, «не допускают строгой регламентации и не поддаются предвидению» [35, 183]. Это отражае</w:t>
      </w:r>
      <w:r>
        <w:t>т базовые характеристики возрастных изменений: гетерохронность, гетеротопию и гетерометрию, «асимметричность относительно различных систем» [183]. Морфометрическое исследование, которое включает в себя оценку инволютивных, деструктивных и адаптивных возрас</w:t>
      </w:r>
      <w:r>
        <w:t>тных изменений различных органов и тканей, формирует объективное представление о биологическом возрасте индивида.</w:t>
      </w:r>
    </w:p>
    <w:p w:rsidR="004B6076" w:rsidRDefault="009E1091">
      <w:pPr>
        <w:ind w:left="-5" w:right="22"/>
      </w:pPr>
      <w:r>
        <w:t>Представленные в данной главе данные о динамике возрастных изменений различных тканей и органов — результат комплексного анализа объектов, пол</w:t>
      </w:r>
      <w:r>
        <w:t xml:space="preserve">ученных в ходе секционного исследования 294 паспортизированных трупов мужского пола. Забор материала сопровождался ведением протокола с указанием даты и номера судебно-медицинского исследования, паспортных (пол, возраст) и антропометрических данных трупа, </w:t>
      </w:r>
      <w:r>
        <w:t>судебно-медицинского диагноза.</w:t>
      </w:r>
    </w:p>
    <w:p w:rsidR="004B6076" w:rsidRDefault="009E1091">
      <w:pPr>
        <w:ind w:left="-5" w:right="22"/>
      </w:pPr>
      <w:r>
        <w:t>Критерии включения: давность смерти — не более суток (для препаратов костной и хрящевой ткани, кожи), не более 7 ч (для препаратов головного мозга, сосудов спинного мозга); отсутствие травматических повреждений исследуемой тк</w:t>
      </w:r>
      <w:r>
        <w:t>ани, органа; отсутствие признаков патологических изменений, заболеваний соединительной ткани, эндокринной патологии; выраженных признаков хронической экзогенной интоксикации.</w:t>
      </w:r>
    </w:p>
    <w:p w:rsidR="004B6076" w:rsidRDefault="009E1091">
      <w:pPr>
        <w:ind w:left="-5" w:right="22"/>
      </w:pPr>
      <w:r>
        <w:t>Объекты исследования: препараты кожи (фрагменты кожи из области грудины, нижней т</w:t>
      </w:r>
      <w:r>
        <w:t>рети); препараты хрящевой ткани [фрагменты левой пластинки щитовидного хряща (ЩХ)], препараты костной ткани [фрагменты диафиза и дистального эпифиза левой плечевой кости, большеберцовой кости (ББК)], препараты головного мозга (моторная кора полушарий больш</w:t>
      </w:r>
      <w:r>
        <w:t>ого мозга — поле 6), корковые концы слухового анализатора (задняя часть височной извилины — поле 41); препараты мягкой оболочки спинного мозга (передняя спинальная артерия).</w:t>
      </w:r>
    </w:p>
    <w:p w:rsidR="004B6076" w:rsidRDefault="009E1091">
      <w:pPr>
        <w:spacing w:after="13"/>
        <w:ind w:left="-5" w:right="22"/>
      </w:pPr>
      <w:r>
        <w:t>Для дифференцированного исследования возрастных изменений весь возрастной диапазон</w:t>
      </w:r>
      <w:r>
        <w:t xml:space="preserve"> был разделен:</w:t>
      </w:r>
    </w:p>
    <w:p w:rsidR="004B6076" w:rsidRDefault="009E1091">
      <w:pPr>
        <w:numPr>
          <w:ilvl w:val="0"/>
          <w:numId w:val="1"/>
        </w:numPr>
        <w:spacing w:after="0"/>
        <w:ind w:right="22" w:hanging="264"/>
      </w:pPr>
      <w:r>
        <w:t>на возрастные группы на основе возрастной периодизации, принятой на VII Всесоюзной конференции по проблемам возрастной морфологии, физиологии и биохимии АПН СССР, в 1965 году;</w:t>
      </w:r>
    </w:p>
    <w:p w:rsidR="004B6076" w:rsidRDefault="009E1091">
      <w:pPr>
        <w:numPr>
          <w:ilvl w:val="0"/>
          <w:numId w:val="1"/>
        </w:numPr>
        <w:spacing w:after="13"/>
        <w:ind w:right="22" w:hanging="264"/>
      </w:pPr>
      <w:r>
        <w:t>на группы с десятилетним интервалом;</w:t>
      </w:r>
    </w:p>
    <w:p w:rsidR="004B6076" w:rsidRDefault="009E1091">
      <w:pPr>
        <w:numPr>
          <w:ilvl w:val="0"/>
          <w:numId w:val="1"/>
        </w:numPr>
        <w:ind w:right="22" w:hanging="264"/>
      </w:pPr>
      <w:r>
        <w:t xml:space="preserve">на группы, сформированные с </w:t>
      </w:r>
      <w:r>
        <w:t>учетом результатов собственных исследований и данных литературы.</w:t>
      </w:r>
    </w:p>
    <w:p w:rsidR="004B6076" w:rsidRDefault="009E1091">
      <w:pPr>
        <w:ind w:left="-5" w:right="22"/>
      </w:pPr>
      <w:r>
        <w:t>Также в процессе исследования производилась кластеризация с формированием возрастных групп посредством метода машинного обучения (ММО).</w:t>
      </w:r>
    </w:p>
    <w:p w:rsidR="004B6076" w:rsidRDefault="009E1091">
      <w:pPr>
        <w:spacing w:after="158" w:line="270" w:lineRule="auto"/>
        <w:ind w:left="-5" w:right="156"/>
      </w:pPr>
      <w:r>
        <w:rPr>
          <w:b/>
        </w:rPr>
        <w:t>Этапы исследования</w:t>
      </w:r>
    </w:p>
    <w:p w:rsidR="004B6076" w:rsidRDefault="009E1091">
      <w:pPr>
        <w:ind w:left="-5" w:right="22"/>
      </w:pPr>
      <w:r>
        <w:rPr>
          <w:i/>
        </w:rPr>
        <w:t>1-й этап</w:t>
      </w:r>
      <w:r>
        <w:t xml:space="preserve"> — морфологическое исследование.</w:t>
      </w:r>
    </w:p>
    <w:p w:rsidR="004B6076" w:rsidRDefault="009E1091">
      <w:pPr>
        <w:spacing w:after="84"/>
        <w:ind w:left="-5" w:right="22"/>
      </w:pPr>
      <w:r>
        <w:rPr>
          <w:i/>
        </w:rPr>
        <w:t>2-й этап</w:t>
      </w:r>
      <w:r>
        <w:t xml:space="preserve"> — морфометрическое исследование и формирование баз данных количественных показателей, характеризующих возрастные изменения изученных тканей и органов.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488"/>
                <wp:effectExtent l="0" t="0" r="0" b="0"/>
                <wp:docPr id="107655" name="Group 1076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488"/>
                          <a:chOff x="0" y="0"/>
                          <a:chExt cx="30488" cy="30488"/>
                        </a:xfrm>
                      </wpg:grpSpPr>
                      <wps:wsp>
                        <wps:cNvPr id="372" name="Shape 372"/>
                        <wps:cNvSpPr/>
                        <wps:spPr>
                          <a:xfrm>
                            <a:off x="0" y="0"/>
                            <a:ext cx="30488" cy="30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88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27"/>
                                  <a:pt x="30488" y="15246"/>
                                </a:cubicBezTo>
                                <a:cubicBezTo>
                                  <a:pt x="30488" y="23664"/>
                                  <a:pt x="23663" y="30488"/>
                                  <a:pt x="15244" y="30488"/>
                                </a:cubicBezTo>
                                <a:cubicBezTo>
                                  <a:pt x="6825" y="30488"/>
                                  <a:pt x="0" y="23664"/>
                                  <a:pt x="0" y="15246"/>
                                </a:cubicBezTo>
                                <a:cubicBezTo>
                                  <a:pt x="0" y="6827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7655" style="width:2.40061pt;height:2.40063pt;mso-position-horizontal-relative:char;mso-position-vertical-relative:line" coordsize="304,304">
                <v:shape id="Shape 372" style="position:absolute;width:304;height:304;left:0;top:0;" coordsize="30488,30488" path="m15244,0c23663,0,30488,6827,30488,15246c30488,23664,23663,30488,15244,30488c6825,30488,0,23664,0,15246c0,6827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310" w:right="22"/>
      </w:pPr>
      <w:r>
        <w:t>Исследование проводилось по программе признаков (табл. 2.1.1,</w:t>
      </w:r>
      <w:r>
        <w:t xml:space="preserve"> 2.2.1, 2.2.2, 2.3.1, 2.3.2, 2.4.1, 2.4.2), разработанных на основе анализа специализированной литературы [29–31, 83–85, 90, 91, 117, 119, 122, 126, 154, 220, 226–229, 379–381] и результатов собственных многолетних исследований.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488"/>
                <wp:effectExtent l="0" t="0" r="0" b="0"/>
                <wp:docPr id="107656" name="Group 1076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488"/>
                          <a:chOff x="0" y="0"/>
                          <a:chExt cx="30488" cy="30488"/>
                        </a:xfrm>
                      </wpg:grpSpPr>
                      <wps:wsp>
                        <wps:cNvPr id="376" name="Shape 376"/>
                        <wps:cNvSpPr/>
                        <wps:spPr>
                          <a:xfrm>
                            <a:off x="0" y="0"/>
                            <a:ext cx="30488" cy="30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88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24"/>
                                  <a:pt x="30488" y="15242"/>
                                </a:cubicBezTo>
                                <a:cubicBezTo>
                                  <a:pt x="30488" y="23661"/>
                                  <a:pt x="23663" y="30488"/>
                                  <a:pt x="15244" y="30488"/>
                                </a:cubicBezTo>
                                <a:cubicBezTo>
                                  <a:pt x="6825" y="30488"/>
                                  <a:pt x="0" y="23661"/>
                                  <a:pt x="0" y="15242"/>
                                </a:cubicBezTo>
                                <a:cubicBezTo>
                                  <a:pt x="0" y="6824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7656" style="width:2.40061pt;height:2.40063pt;mso-position-horizontal-relative:char;mso-position-vertical-relative:line" coordsize="304,304">
                <v:shape id="Shape 376" style="position:absolute;width:304;height:304;left:0;top:0;" coordsize="30488,30488" path="m15244,0c23663,0,30488,6824,30488,15242c30488,23661,23663,30488,15244,30488c6825,30488,0,23661,0,15242c0,6824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310" w:right="22"/>
      </w:pPr>
      <w:r>
        <w:t>Для проведения количественного морфометрического исследования в работе используется микроскопическая техника («Leica DM 1000», объектив «Leica HIPLAN 10x/0.25»), система анализа изображения («HIPLAN 20x/0.10»), позволяющая получить фотоизображения (JPEG).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488"/>
                <wp:effectExtent l="0" t="0" r="0" b="0"/>
                <wp:docPr id="107657" name="Group 1076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488"/>
                          <a:chOff x="0" y="0"/>
                          <a:chExt cx="30488" cy="30488"/>
                        </a:xfrm>
                      </wpg:grpSpPr>
                      <wps:wsp>
                        <wps:cNvPr id="380" name="Shape 380"/>
                        <wps:cNvSpPr/>
                        <wps:spPr>
                          <a:xfrm>
                            <a:off x="0" y="0"/>
                            <a:ext cx="30488" cy="30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88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27"/>
                                  <a:pt x="30488" y="15246"/>
                                </a:cubicBezTo>
                                <a:cubicBezTo>
                                  <a:pt x="30488" y="23664"/>
                                  <a:pt x="23663" y="30488"/>
                                  <a:pt x="15244" y="30488"/>
                                </a:cubicBezTo>
                                <a:cubicBezTo>
                                  <a:pt x="6825" y="30488"/>
                                  <a:pt x="0" y="23664"/>
                                  <a:pt x="0" y="15246"/>
                                </a:cubicBezTo>
                                <a:cubicBezTo>
                                  <a:pt x="0" y="6827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7657" style="width:2.40061pt;height:2.40063pt;mso-position-horizontal-relative:char;mso-position-vertical-relative:line" coordsize="304,304">
                <v:shape id="Shape 380" style="position:absolute;width:304;height:304;left:0;top:0;" coordsize="30488,30488" path="m15244,0c23663,0,30488,6827,30488,15246c30488,23664,23663,30488,15244,30488c6825,30488,0,23664,0,15246c0,6827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310" w:right="22"/>
      </w:pPr>
      <w:r>
        <w:t>Измерения проводятся с использованием программы обработки графических файлов ImageJ. Данное программное приложение разработано National Institutes of Health «специально для анализа изображений, полученных при биологических и медицинских исследованиях» [9</w:t>
      </w:r>
      <w:r>
        <w:t>3]. В ImageJ производится вычисление площадей изучаемых структур, линейных размеров исследуемых областей (в том числе автоматическое определение максимальных, минимальных и средних значений исследуемого показателя), подсчет количества отдельных элементов с</w:t>
      </w:r>
      <w:r>
        <w:t>труктуры. При активации команды Measure (Ctrl+M) («Измерение») выбираются необходимые параметры Set Measurements. Analyze &gt; Measure и Analyze &gt; Analyze</w:t>
      </w:r>
    </w:p>
    <w:p w:rsidR="004B6076" w:rsidRDefault="009E1091">
      <w:pPr>
        <w:spacing w:after="13"/>
        <w:ind w:left="490" w:right="22"/>
      </w:pPr>
      <w:r>
        <w:t>Particles и единицы измерения (Analyze &gt; Set Scale).</w:t>
      </w:r>
    </w:p>
    <w:p w:rsidR="004B6076" w:rsidRDefault="009E1091">
      <w:pPr>
        <w:spacing w:after="0"/>
        <w:ind w:left="310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-2321</wp:posOffset>
                </wp:positionV>
                <wp:extent cx="30488" cy="320120"/>
                <wp:effectExtent l="0" t="0" r="0" b="0"/>
                <wp:wrapSquare wrapText="bothSides"/>
                <wp:docPr id="107658" name="Group 1076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20120"/>
                          <a:chOff x="0" y="0"/>
                          <a:chExt cx="30488" cy="320120"/>
                        </a:xfrm>
                      </wpg:grpSpPr>
                      <wps:wsp>
                        <wps:cNvPr id="388" name="Shape 388"/>
                        <wps:cNvSpPr/>
                        <wps:spPr>
                          <a:xfrm>
                            <a:off x="0" y="0"/>
                            <a:ext cx="30488" cy="30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88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24"/>
                                  <a:pt x="30488" y="15242"/>
                                </a:cubicBezTo>
                                <a:cubicBezTo>
                                  <a:pt x="30488" y="23661"/>
                                  <a:pt x="23663" y="30488"/>
                                  <a:pt x="15244" y="30488"/>
                                </a:cubicBezTo>
                                <a:cubicBezTo>
                                  <a:pt x="6825" y="30488"/>
                                  <a:pt x="0" y="23661"/>
                                  <a:pt x="0" y="15242"/>
                                </a:cubicBezTo>
                                <a:cubicBezTo>
                                  <a:pt x="0" y="6824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1" name="Shape 391"/>
                        <wps:cNvSpPr/>
                        <wps:spPr>
                          <a:xfrm>
                            <a:off x="0" y="289632"/>
                            <a:ext cx="30488" cy="30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88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24"/>
                                  <a:pt x="30488" y="15246"/>
                                </a:cubicBezTo>
                                <a:cubicBezTo>
                                  <a:pt x="30488" y="23664"/>
                                  <a:pt x="23663" y="30488"/>
                                  <a:pt x="15244" y="30488"/>
                                </a:cubicBezTo>
                                <a:cubicBezTo>
                                  <a:pt x="6825" y="30488"/>
                                  <a:pt x="0" y="23664"/>
                                  <a:pt x="0" y="15246"/>
                                </a:cubicBezTo>
                                <a:cubicBezTo>
                                  <a:pt x="0" y="6824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7658" style="width:2.40061pt;height:25.2063pt;position:absolute;mso-position-horizontal-relative:text;mso-position-horizontal:absolute;margin-left:15.0038pt;mso-position-vertical-relative:text;margin-top:-0.182861pt;" coordsize="304,3201">
                <v:shape id="Shape 388" style="position:absolute;width:304;height:304;left:0;top:0;" coordsize="30488,30488" path="m15244,0c23663,0,30488,6824,30488,15242c30488,23661,23663,30488,15244,30488c6825,30488,0,23661,0,15242c0,6824,6825,0,15244,0x">
                  <v:stroke weight="0.600151pt" endcap="square" joinstyle="bevel" on="true" color="#000000"/>
                  <v:fill on="true" color="#000000"/>
                </v:shape>
                <v:shape id="Shape 391" style="position:absolute;width:304;height:304;left:0;top:2896;" coordsize="30488,30488" path="m15244,0c23663,0,30488,6824,30488,15246c30488,23664,23663,30488,15244,30488c6825,30488,0,23664,0,15246c0,6824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t>Программы гистоморфометрических признаков включают</w:t>
      </w:r>
      <w:r>
        <w:t xml:space="preserve"> в себя последовательность параметров, которые подразделяются на первичные (непосредственно измеряемые) и расчетные признаки.</w:t>
      </w:r>
    </w:p>
    <w:p w:rsidR="004B6076" w:rsidRDefault="009E1091">
      <w:pPr>
        <w:ind w:left="310" w:right="22"/>
      </w:pPr>
      <w:r>
        <w:t>При проведении гистоморфометрических исследований необходимо соблюдать правила измерений подобного рода показателей, допускающие в</w:t>
      </w:r>
      <w:r>
        <w:t xml:space="preserve"> том числе пропуск от двух до пяти полей зрений в зависимости от исследуемого показателя, без перекрытия полей зрений; выбор увеличения от 50- до 200-кратного в зависимости от показателя и др. [1, 28, 154].</w:t>
      </w:r>
    </w:p>
    <w:p w:rsidR="004B6076" w:rsidRDefault="009E1091">
      <w:pPr>
        <w:spacing w:after="80"/>
        <w:ind w:left="-5" w:right="22"/>
      </w:pPr>
      <w:r>
        <w:rPr>
          <w:i/>
        </w:rPr>
        <w:t>3-й этап</w:t>
      </w:r>
      <w:r>
        <w:t xml:space="preserve"> — математический анализ количественных п</w:t>
      </w:r>
      <w:r>
        <w:t>оказателей с использованием ММО.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488"/>
                <wp:effectExtent l="0" t="0" r="0" b="0"/>
                <wp:docPr id="107659" name="Group 1076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488"/>
                          <a:chOff x="0" y="0"/>
                          <a:chExt cx="30488" cy="30488"/>
                        </a:xfrm>
                      </wpg:grpSpPr>
                      <wps:wsp>
                        <wps:cNvPr id="397" name="Shape 397"/>
                        <wps:cNvSpPr/>
                        <wps:spPr>
                          <a:xfrm>
                            <a:off x="0" y="0"/>
                            <a:ext cx="30488" cy="30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88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24"/>
                                  <a:pt x="30488" y="15242"/>
                                </a:cubicBezTo>
                                <a:cubicBezTo>
                                  <a:pt x="30488" y="23661"/>
                                  <a:pt x="23663" y="30488"/>
                                  <a:pt x="15244" y="30488"/>
                                </a:cubicBezTo>
                                <a:cubicBezTo>
                                  <a:pt x="6825" y="30488"/>
                                  <a:pt x="0" y="23661"/>
                                  <a:pt x="0" y="15242"/>
                                </a:cubicBezTo>
                                <a:cubicBezTo>
                                  <a:pt x="0" y="6824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7659" style="width:2.40061pt;height:2.40063pt;mso-position-horizontal-relative:char;mso-position-vertical-relative:line" coordsize="304,304">
                <v:shape id="Shape 397" style="position:absolute;width:304;height:304;left:0;top:0;" coordsize="30488,30488" path="m15244,0c23663,0,30488,6824,30488,15242c30488,23661,23663,30488,15244,30488c6825,30488,0,23661,0,15242c0,6824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ind w:left="310" w:right="22"/>
      </w:pPr>
      <w:r>
        <w:t>Пайплайн данного этапа — feature engineering — включал в себя двухмерную визуализацию данных, анализ информативности признаков с использованием деревьев решений, анализ зависимости качества работы моделей от размерности п</w:t>
      </w:r>
      <w:r>
        <w:t>ризнакового пространства; сравнение различных классификаторов и выбор наиболее подходящего алгоритма для решения данной целевой задачи; построение и анализ матрицы ошибок и ROC-кривой для каждого из классов.</w:t>
      </w:r>
    </w:p>
    <w:p w:rsidR="004B6076" w:rsidRDefault="009E1091">
      <w:pPr>
        <w:spacing w:after="300"/>
        <w:ind w:left="-5" w:right="22"/>
      </w:pPr>
      <w:r>
        <w:rPr>
          <w:i/>
        </w:rPr>
        <w:t>4-й этап</w:t>
      </w:r>
      <w:r>
        <w:t xml:space="preserve"> — формирование итогового алгоритма реше</w:t>
      </w:r>
      <w:r>
        <w:t>ния задачи расчета биологического возраста.</w:t>
      </w:r>
    </w:p>
    <w:p w:rsidR="004B6076" w:rsidRDefault="009E1091">
      <w:pPr>
        <w:pStyle w:val="Heading2"/>
        <w:ind w:left="-5"/>
      </w:pPr>
      <w:r>
        <w:t>2.1. Морфометрические возрастные изменения кожи</w:t>
      </w:r>
    </w:p>
    <w:p w:rsidR="004B6076" w:rsidRDefault="009E1091">
      <w:pPr>
        <w:ind w:left="-5" w:right="22"/>
      </w:pPr>
      <w:r>
        <w:rPr>
          <w:b/>
        </w:rPr>
        <w:t>Состояние вопроса.</w:t>
      </w:r>
      <w:r>
        <w:t xml:space="preserve"> В судебно-медицинской экспертной практике возраст идентифицируемого устанавливают в подавляющем большинстве случаев по скелету человека. Возможно</w:t>
      </w:r>
      <w:r>
        <w:t>сть использования других органов и тканей человека не реализована. Активный научный поиск в области возрастной морфологии с позиций клинической практики, анатомии, геронтологии, расширение возможностей гистологических техник, использование количественных м</w:t>
      </w:r>
      <w:r>
        <w:t xml:space="preserve">етодик позволяют рассматривать внутренние органы, мягкие ткани в качестве приемлемых объектов для определения возрастных модификаций. Следует отметить работы коллектива кафедры судебной медицины Саратовского государственного медицинского университета, где </w:t>
      </w:r>
      <w:r>
        <w:t xml:space="preserve">созданы методики установления возраста посредством оценки происходящих инволютивных трансформаций в щитовидной железе [146], почках [29], семенниках [29, 111], аорте [38, 39], коже [29, 38, 133]. Исследователи отмечают, что действенными мерами, способными </w:t>
      </w:r>
      <w:r>
        <w:t>повысить доказательную значимость, точность оценки возраста, являются расширение набора диагностических параметров, использование комплексного подхода [4, 29, 41].</w:t>
      </w:r>
    </w:p>
    <w:p w:rsidR="004B6076" w:rsidRDefault="009E1091">
      <w:pPr>
        <w:ind w:left="-5" w:right="22"/>
      </w:pPr>
      <w:r>
        <w:t>В современной биологии накоплено много информации о морфологии возрастных изменений внутренн</w:t>
      </w:r>
      <w:r>
        <w:t>их органов, которые целесообразно использовать для судебно-медицинского установления возраста. Еще в прошлом столетии были детально</w:t>
      </w:r>
      <w:r>
        <w:t>​</w:t>
      </w:r>
      <w:r>
        <w:t xml:space="preserve"> </w:t>
      </w:r>
      <w:r>
        <w:t>описаны этапы и сроки онтогенетического развития органов и тканей [3, 6, 7, 25, 75, 144, 161, 163].</w:t>
      </w:r>
    </w:p>
    <w:p w:rsidR="004B6076" w:rsidRDefault="009E1091">
      <w:pPr>
        <w:ind w:left="-5" w:right="22"/>
      </w:pPr>
      <w:r>
        <w:t>Возрастная инволюция ко</w:t>
      </w:r>
      <w:r>
        <w:t>жи как неизбежное проявление старения всего организма является достаточно сложным полифакторным процессом. При этом выделяют (по Международной классификации болезней 10-го пересмотра) хроностарение (L57.4) и фотостарение (L57). В контексте данного исследов</w:t>
      </w:r>
      <w:r>
        <w:t>ания нас интересует именно биологическое, «эндогенное» старение кожи, являющееся генетически детерминированным процессом [12]. В судебно-медицинской экспертной практике возраст оценивался преимущественно путем констатации степени выраженности морщин. Между</w:t>
      </w:r>
      <w:r>
        <w:t xml:space="preserve"> тем современный уровень развития дерматокосметологии и смежных дисциплин вывел оценку возрастных изменений кожи на абсолютно новый уровень, прежде всего за счет внедрения инновационного диагностического оборудования. Это позволило сформировать огромный ин</w:t>
      </w:r>
      <w:r>
        <w:t>формационный массив знаний о возрастных изменениях кожи [30, 32, 36, 53, 59, 83, 84, 85, 87, 94, 106, 127, 145, 164, 176, 185, 188, 190, 199, 211, 215, 238, 239, 243, 259, 279, 280, 287, 288, 290, 296, 306, 317, 342, 356, 394, 402–405]. Однако в судебной м</w:t>
      </w:r>
      <w:r>
        <w:t>едицине на сегодняшний день исследований, посвященных изучению кожи как предиктора старения, крайне мало [31, 39, 60, 133].</w:t>
      </w:r>
    </w:p>
    <w:p w:rsidR="004B6076" w:rsidRDefault="009E1091">
      <w:pPr>
        <w:ind w:left="-5" w:right="22"/>
      </w:pPr>
      <w:r>
        <w:t>В.Г. Каукаль в своей работе использовал количественные значения толщины кожи различной региональной принадлежности для построения ма</w:t>
      </w:r>
      <w:r>
        <w:t xml:space="preserve">тематических моделей с помощью многомерного дискриминантного анализа [60]. Представленные в работе результаты позволяют сделать вывод, что методы эмиссионной спектрографии и инфракрасной спектроскопии кожи и волос, исследование их микроэлементного состава </w:t>
      </w:r>
      <w:r>
        <w:t>можно применять в целях диагностики возраста лишь в комплексе с другими методиками. Автор предлагает использовать для диагностики возраста только метрические признаки (толщину) кожи и ногтей детей и взрослых. Реалии сегодняшнего времени и уровень научно-те</w:t>
      </w:r>
      <w:r>
        <w:t>хнических достижений позволяют значительно расширить арсенал используемых методов.</w:t>
      </w:r>
    </w:p>
    <w:p w:rsidR="004B6076" w:rsidRDefault="009E1091">
      <w:pPr>
        <w:ind w:left="-5" w:right="22"/>
      </w:pPr>
      <w:r>
        <w:t xml:space="preserve">Ряд исследований в данном направлении выполнен под руководством А.А. Ефимова. Изучены некоторые количественные показатели инволютивных изменений кожи, выявлены их гендерные </w:t>
      </w:r>
      <w:r>
        <w:t>и топологические отличия, проведен сравнительный анализ синхронности происходящих с возрастом изменений кожи и крупных сосудов [38, 39, 40, 133]. При этом исследователи справедливо отмечают, что для совершенствования судебно-медицинской оценки возраста нео</w:t>
      </w:r>
      <w:r>
        <w:t>бходимо расширять круг исследуемых органов и тканей и модернизировать методы математического анализа данных [40, 41].</w:t>
      </w:r>
    </w:p>
    <w:p w:rsidR="004B6076" w:rsidRDefault="009E1091">
      <w:pPr>
        <w:ind w:left="-5" w:right="22"/>
      </w:pPr>
      <w:r>
        <w:t>C. Trojahn и соавт. (2015) разработали новые параметры учета модификаций возрастного профиля кожи, которые объективно регистрируются прибо</w:t>
      </w:r>
      <w:r>
        <w:t>ром VisioScan VC98. Для оценки трансформации эпидермальных структур во времени использована оптическая когерентная томография, позволившая объективизировать дополнительные критерии неинвазивной оценки возрастных изменений кожи на открытых и защищенных от с</w:t>
      </w:r>
      <w:r>
        <w:t>олнца участках [393, 394]. Высокое разрешение данного инструмента гарантирует диагностику ранних признаков старения кожи, в том числе формирования различных типов коллагеновых волокон [306, 345]. J.P. McLean и соавт. (2019) разработали оригинальный метод а</w:t>
      </w:r>
      <w:r>
        <w:t>втоматизированной визуализации структурной архитектоники коллагеновых волокон и их количественной оценки на изображениях, полученных с помощью оптической когерентной томографии. Подобный подход расширяет функциональные возможности классических методов визу</w:t>
      </w:r>
      <w:r>
        <w:t>ализации [321].</w:t>
      </w:r>
    </w:p>
    <w:p w:rsidR="004B6076" w:rsidRDefault="009E1091">
      <w:pPr>
        <w:ind w:left="-5" w:right="22"/>
      </w:pPr>
      <w:r>
        <w:t>Накоплено большое количество сведений, касающихся патогенетических механизмов старения кожи [314, 342, 345]. Происходящие с возрастом изменения кожи напрямую зависят от сочетания внутреннего (хронологического) старения, модулируемого генети</w:t>
      </w:r>
      <w:r>
        <w:t>чески предрасполагающими факторами, и внешнего старения (фотостарения). Исследователи отмечают, что значительное количество гистоморфологических преобразований, формирующихся в стареющей коже, в основном зависит от кумулятивного воздействия экзогенных факт</w:t>
      </w:r>
      <w:r>
        <w:t>оров, среди которых главенствующая роль принадлежит ультрафиолетовому облучению. T. Kanaki и соавт. (2016) отмечают потребность в объективной оценке индивидуального патогенеза возрастных изменений посредством создания реестра биомаркеров [279]. Для этих це</w:t>
      </w:r>
      <w:r>
        <w:t>лей используются самые разнообразные показатели.</w:t>
      </w:r>
    </w:p>
    <w:p w:rsidR="004B6076" w:rsidRDefault="009E1091">
      <w:pPr>
        <w:spacing w:after="0"/>
        <w:ind w:left="-5" w:right="22"/>
      </w:pPr>
      <w:r>
        <w:t>В работе A. Kozarova и соавт. (2017) с помощью высокочастотного ультразвукового исследования (частота — 20 МГц) дана оценка возрастных изменений толщины кожи в зависимости от воздействия ультрафиолетового и инфракрасного излучения.</w:t>
      </w:r>
    </w:p>
    <w:p w:rsidR="004B6076" w:rsidRDefault="009E1091">
      <w:pPr>
        <w:spacing w:after="13"/>
        <w:ind w:left="-5" w:right="22"/>
      </w:pPr>
      <w:r>
        <w:t xml:space="preserve">Предложено использовать </w:t>
      </w:r>
      <w:r>
        <w:t>в качестве маркера выраженности фотостарения оценку субэпидермальной низкоэхогенной полосы</w:t>
      </w:r>
    </w:p>
    <w:p w:rsidR="004B6076" w:rsidRDefault="009E1091">
      <w:pPr>
        <w:ind w:left="-5" w:right="22"/>
      </w:pPr>
      <w:r>
        <w:t>[297]. Результаты работы Y. Koyano и соавт. (2017) также свидетельствуют о достоверном снижении толщины дермы с возрастом [296]. Ученые провели проспективное когортн</w:t>
      </w:r>
      <w:r>
        <w:t>ое исследование среди пожилых пациентов в возрасте 65 лет и старше (N=149) на протяжении 8 мес. Изучались свойства кожи предплечья (толщина дермы, эхогенность структур) с помощью ультразвукового сканера 20 МГц.</w:t>
      </w:r>
    </w:p>
    <w:p w:rsidR="004B6076" w:rsidRDefault="009E1091">
      <w:pPr>
        <w:ind w:left="-5" w:right="22"/>
      </w:pPr>
      <w:r>
        <w:t>K. Kikuchi и соавт. (2015), используя систему</w:t>
      </w:r>
      <w:r>
        <w:t xml:space="preserve"> визуализации, оснащенную осветительным устройством и цифровой камерой высокого разрешения, разработали метод оценки изображения на неоднородность цвета кожи. В ходе анализа неоднородности цвета кожи щек у 194 женщин были зафиксированы возрастные изменения</w:t>
      </w:r>
      <w:r>
        <w:t xml:space="preserve"> меланина [288]. Продолжив исследования, коллектив авторов создал систему количественной оценки пигментных пятен на лице, доказав наличие четкой связи пигментации с возрастом [287]. Wang Hequn и соавт. (2015) разработали алгоритм для документирования возра</w:t>
      </w:r>
      <w:r>
        <w:t xml:space="preserve">стных дефектов кожного матрикса. В работе использовалась микроскопия с двухфотонной флуоресценцией для прямой визуализации кожных волокон кожи </w:t>
      </w:r>
      <w:r>
        <w:rPr>
          <w:i/>
        </w:rPr>
        <w:t>in vivo</w:t>
      </w:r>
      <w:r>
        <w:t xml:space="preserve">. На изображениях двух анатомических областей (внутренняя поверхность плеча и щека) женщин в возрасте 20– </w:t>
      </w:r>
      <w:r>
        <w:t>30 лет и 60–80 лет исследованы структурные изменения дермальных волокон: пространственная ориентация, плотность. В старшей возрастной группе (60–80 лет) отмечена более высокая анизотропия в ориентации волокон кожи на внутренней поверхности плеча. Плотность</w:t>
      </w:r>
      <w:r>
        <w:t xml:space="preserve"> волокон эластина увеличивалась с возрастом, тогда как плотность волокон коллагена уменьшалась с возрастом. Средние доли коллагеновых и эластических волокон во всей дерме составляли 28,96±14,63% и 8,06±3,75% соответственно [403]. K. Mizukoshi и соавт. (201</w:t>
      </w:r>
      <w:r>
        <w:t>7) также установили, что в коже более старших возрастных групп происходят снижение четкости и рост изотропности волокон коллагена и эластина [326]. В исследовании использовались CLSMизображения коллаген-эластинового каркаса от 90 японских женщин в возрасте</w:t>
      </w:r>
      <w:r>
        <w:t xml:space="preserve"> от 20 до 60 лет. Для оценки результатов применен метод анализа основных компонентов.</w:t>
      </w:r>
    </w:p>
    <w:p w:rsidR="004B6076" w:rsidRDefault="009E1091">
      <w:pPr>
        <w:spacing w:after="273"/>
        <w:ind w:left="-5" w:right="22"/>
      </w:pPr>
      <w:r>
        <w:t>Трансформация дермальных волокон является основным элементом происходящих с возрастом изменений. Выраженность данных преобразований зависит от эндогенного воздействия и м</w:t>
      </w:r>
      <w:r>
        <w:t>аксимально проявляется при фотостарении. Большинство исследователей сходятся во мнении, что состояние коллагеновых волокон сосочкового слоя дермы имеет ведущее значение в формировании статуса стареющей кожи.</w:t>
      </w:r>
    </w:p>
    <w:p w:rsidR="004B6076" w:rsidRDefault="009E1091">
      <w:pPr>
        <w:ind w:left="-5" w:right="22"/>
      </w:pPr>
      <w:r>
        <w:t>Коллаген синтезируется соединительнотканными кле</w:t>
      </w:r>
      <w:r>
        <w:t>тками, сущест</w:t>
      </w:r>
      <w:r>
        <w:t>​</w:t>
      </w:r>
      <w:r>
        <w:tab/>
      </w:r>
      <w:r>
        <w:t>вует более 20 вариантов его генетической разновидности.</w:t>
      </w:r>
      <w:r>
        <w:t>​</w:t>
      </w:r>
      <w:r>
        <w:t xml:space="preserve"> </w:t>
      </w:r>
      <w:r>
        <w:t>Содержание того или иного типа коллагена зависит от возраста, стадии репаративного процесса. Его разрушение (деградация)</w:t>
      </w:r>
      <w:r>
        <w:t>​</w:t>
      </w:r>
      <w:r>
        <w:t xml:space="preserve"> </w:t>
      </w:r>
      <w:r>
        <w:t>осуществляется в несколько этапов с участием фибробластов, раз</w:t>
      </w:r>
      <w:r>
        <w:t>личных ферментов [108, 109, 141, 400]. Существуют как внеклеточная фиброклазия, так и коллагенолиз, происходящий внутри клеток [94, 164]. Активность данного процесса зависит от типа коллагена. Естественно, что старение приводит к снижению интенсивности обм</w:t>
      </w:r>
      <w:r>
        <w:t>ена коллагена: волокна за счет множественных «поперечных сшивок» распрямляются, становятся «жесткими», малодоступными для коллагеназы. Коллаген не только основной структурный элемент дермы, но и базисный фибриллярный белок межклеточного матрикса, необходим</w:t>
      </w:r>
      <w:r>
        <w:t>ый для полноценного функционирования всего организма в целом. Следовательно, количественные характеристики, отражающие изменения коллагенового каркаса дермы с возрастом, можно использовать в качестве биомаркера. Коллаген выполняет в организме ряд очень важ</w:t>
      </w:r>
      <w:r>
        <w:t>ных функций. Во-первых, опорную — от количества и расположения коллагеновых волокон, а также от их качественного состава зависят механические свойства тканей организма. Во-вторых, коллаген играет важную информативнорегуляторную роль в морфогенезе тканей. С</w:t>
      </w:r>
      <w:r>
        <w:t>интез коллагена, структурная организация волокон обеспечиваются в первую очередь механическим фактором. Согласно «теории регуляции роста соединительной ткани на основе обратной связи между распадом и синтезом коллагена», разработанной В.В. Серовым и А.Б. Ш</w:t>
      </w:r>
      <w:r>
        <w:t>ехтером, процесс ауторегуляции — двуфазный [141]. Первая фаза состоит из фагоцитоза макрофагами компонентов разрушенного коллагена и выработки фиброгенетического фактора, активирующего пролиферацию как соединительнотканных клеток, так и фибриллярного белка</w:t>
      </w:r>
      <w:r>
        <w:t xml:space="preserve"> (коллагена). Вторая фаза — снижение активности соединительной ткани, активация инволютивной перестройки посредством воздействия на мембраны фибробластов. Таким образом, можно говорить о наличии общебиологических закономерностей развития соединительной тка</w:t>
      </w:r>
      <w:r>
        <w:t>ни: развитие, стабилизация, инволюция [141]. В соответствии с концепцией биомеханического контроля морфогенеза фибробласт является ключевым звеном, способным регулировать не только свое микроархитектурное окружение, но и архитектонику ткани в целом посредс</w:t>
      </w:r>
      <w:r>
        <w:t>твом поверхностного микрорельефа клетки, ее двигательной траектории, пространственного взаиморасположения отростков. В условиях отсутствия функциональной нагрузки воло кна подвергаются резорбции. Таким образом, конструирование тканей происходит посредством</w:t>
      </w:r>
      <w:r>
        <w:t xml:space="preserve"> обратной связи: клетка ↔ матрикс [108, 109, 141]. Снижение механического напряжения (физической активности) напрямую сказывается на формировании и архитектонике соединительнотканных элементов, в данном случае коллагена дермы.</w:t>
      </w:r>
    </w:p>
    <w:p w:rsidR="004B6076" w:rsidRDefault="009E1091">
      <w:pPr>
        <w:ind w:left="-5" w:right="22"/>
      </w:pPr>
      <w:r>
        <w:t>Большое практическое значение</w:t>
      </w:r>
      <w:r>
        <w:t xml:space="preserve"> имеют разработки коллектива авторов A.N. Annaidh и соавт. (2012) по оптимизации процессов распознания и автоматизации морфометрии дермальных структур. В предложенном ими методе используются стандартные гистологические методы и алгоритм, реализованный в ин</w:t>
      </w:r>
      <w:r>
        <w:t>струментарии обработки изображений MATLAB. M. Ueda и соавт. (2019) применили комбинированную фотонную микроскопию для изучения пространственной организации коллагеновых волокон в дерме человека и их взаимосвязи с эластическими волокнами [399]. Согласно пол</w:t>
      </w:r>
      <w:r>
        <w:t>ученным данным, средние значения диаметра коллагенового волокна, ориентированного горизонтально, больше в сетчатом слое дермы, чем в сосочковом (средний диаметр волокна в сосочковом слое — 47±18 мкм, в сетчатом — 136±14 мкм; p &lt;0,01). Аналогичный вывод пол</w:t>
      </w:r>
      <w:r>
        <w:t>учен и относительно диаметра эластических волокон (средний диаметр волокна в сосочковом слое — 4,4±0,6 мкм, в сетчатом — 5,9±0,8 мкм; p &lt;0,05). Слои дермы также имели различные показатели углов ориентации между волокнами.</w:t>
      </w:r>
    </w:p>
    <w:p w:rsidR="004B6076" w:rsidRDefault="009E1091">
      <w:pPr>
        <w:ind w:left="-5" w:right="22"/>
      </w:pPr>
      <w:r>
        <w:t xml:space="preserve">S. Amano и соавт. (2016) выявили, </w:t>
      </w:r>
      <w:r>
        <w:t>что воздействие ультрафиолетовых лучей на кожу, помимо повреждения дермальных эластических волокон, приводит к увеличению фактора роста эндотелия сосудов, ангиогенного фактора, в то время как антиангиогенный фактор уменьшается. Эти изменения вызывают ангио</w:t>
      </w:r>
      <w:r>
        <w:t>генез в папиллярной дерме с увеличением миграции эластазоположительных лейкоцитов [188]. T. Ahmed и соавт. (2017) использовал инновационный подход изучения физических свойств коллагена и установил, что наличие возрастных различий в удержании воды внутри фи</w:t>
      </w:r>
      <w:r>
        <w:t>брилл приводит к изменению их плотности [185].</w:t>
      </w:r>
    </w:p>
    <w:p w:rsidR="004B6076" w:rsidRDefault="009E1091">
      <w:pPr>
        <w:ind w:left="-5" w:right="22"/>
      </w:pPr>
      <w:r>
        <w:t>N.N. Golubtsova и соавт. (2015) провели иммуногистохимическое исследование содержания ангиомотина, эндостатина и баланса между этими веществами у лиц с момента рождения до 85 лет. Авторы отметили возрастное сн</w:t>
      </w:r>
      <w:r>
        <w:t xml:space="preserve">ижение содержания ангиомотина в кровеносных сосудах дермы в возрасте 61–85 лет. Эндостатин-положительные кровеносные сосуды были обнаружены в образцах кожи людей всех возрастов, при этом их количество увеличивалось с возрастом [259]. По данным P.M. Kinn и </w:t>
      </w:r>
      <w:r>
        <w:t>соавт. (2015), старение кожи сопровождается не только неизбежным истончением эпидермиса, снижением ее барьерной функции, но и постепенным ухудшением эпидермального иммунного ответа, меняется уровень и роль цитокинов, хемокинов и биологических аналитов [290</w:t>
      </w:r>
      <w:r>
        <w:t>]. В исследовании N.E. Chalyk и соавт. (2017) изучены образцы рогового слоя, полученные неинвазивным методом у 53 лиц женского пола. У пожилых женщин (50–73 года) наблюдалось достоверное уменьшение размера липидных капель и количества кристаллов липидов, а</w:t>
      </w:r>
      <w:r>
        <w:t xml:space="preserve"> десквамация корнеоцитов была значительно выше [212]. R.M. Elewa и соавт. (2015), выполнив иммуногистохимическое исследование уровня белка кожи 42 молодых и пожилых людей, установили, что с возрастом формируются дефектные реакции на стресс, активируется он</w:t>
      </w:r>
      <w:r>
        <w:t>когенез, что было особенно заметно в сальных железах [239].</w:t>
      </w:r>
    </w:p>
    <w:p w:rsidR="004B6076" w:rsidRDefault="009E1091">
      <w:pPr>
        <w:ind w:left="-5" w:right="22"/>
      </w:pPr>
      <w:r>
        <w:t>Вполне закономерно S. Bielfeldt и соавт. (2018) приходят к выводу, что с учетом накопленных знаний о старении в целом, большого количества опубликованных обзоров клинических методов диагностики ст</w:t>
      </w:r>
      <w:r>
        <w:t>арения кожи только комплексная количественная оценка, возможно, является объективной мерой, доказательной базой как самих возрастных изменений, так и дерматологических средств, их корректирующих [199]. Помимо неинвазивных методов, позволяющих выполнить кол</w:t>
      </w:r>
      <w:r>
        <w:t>ичественную оценку старения кожи, исследователи рекомендуют дополнять клинические исследования инвазивными процедурами.</w:t>
      </w:r>
    </w:p>
    <w:p w:rsidR="004B6076" w:rsidRDefault="009E1091">
      <w:pPr>
        <w:ind w:left="-5" w:right="22"/>
      </w:pPr>
      <w:r>
        <w:t>На основе проведенного анализа следует констатировать, что в большинстве случаев объектом исследования была кожа лиц женского пола. Вместе с тем известно, что кожа относится к гормонально зависимым органам. Эстрогены оказывают стимулирующее влияние на рост</w:t>
      </w:r>
      <w:r>
        <w:t xml:space="preserve"> и развитие клеток эпидермиса, его базального слоя, активируют выработку дермальных волокон фибробластами. Таким образом, эстрогены играют заметную роль в поддержании упруго-эластических свойств кожи, и научные исследования в области дерматогеронтологии до</w:t>
      </w:r>
      <w:r>
        <w:t>казали взаимосвязь дефицита половых гормонов со старением кожи. Вышеизложенное ограничивает возможность экстраполяции имеющихся данных о возрастных изменениях кожи на противоположный пол.</w:t>
      </w:r>
    </w:p>
    <w:p w:rsidR="004B6076" w:rsidRDefault="009E1091">
      <w:pPr>
        <w:ind w:left="-5" w:right="22"/>
      </w:pPr>
      <w:r>
        <w:t>При анализе литературных источников мы также столкнулись с большим р</w:t>
      </w:r>
      <w:r>
        <w:t>азнообразием числовых значений, характеризующих дермальные волокна. Гистоморфометрическое исследование данных структур в процессе старения — достаточно сложный процесс. Уменьшение эластических свойств кожи как проявление возрастной инволюции — известный фа</w:t>
      </w:r>
      <w:r>
        <w:t>кт. Однако разнообразие структурной композиции волокон, зависимость их от целого ряда факторов, разнообразие аранжировки и</w:t>
      </w:r>
      <w:r>
        <w:t>​</w:t>
      </w:r>
      <w:r>
        <w:t xml:space="preserve"> </w:t>
      </w:r>
      <w:r>
        <w:t>фрагментации в конечном итоге могут привести к артефактным результатам. Волокна коллагена и эластина «плотно» упакованы, что значите</w:t>
      </w:r>
      <w:r>
        <w:t>льно затрудняет процесс морфометрического исследования. Решение данной проблемы возможно, например, по мнению L. Charles-de-Sá. N.F. Gontijo-de-Amorim, G. Rigotti и соавт. (2020), посредством использования многофотонной микроскопии [214]. Это еще раз подче</w:t>
      </w:r>
      <w:r>
        <w:t>ркивает необходимость разработки набора признаков, отличающихся технической воспроизводимостью и способностью объективно отражать происходящие с возрастом изменения изучаемого объекта с последующим формированием банка цифровых значений и обработкой ее ММО.</w:t>
      </w:r>
    </w:p>
    <w:p w:rsidR="004B6076" w:rsidRDefault="009E1091">
      <w:pPr>
        <w:spacing w:after="158" w:line="270" w:lineRule="auto"/>
        <w:ind w:left="-5" w:right="156"/>
      </w:pPr>
      <w:r>
        <w:rPr>
          <w:b/>
        </w:rPr>
        <w:t>Методика исследования</w:t>
      </w:r>
    </w:p>
    <w:p w:rsidR="004B6076" w:rsidRDefault="009E1091">
      <w:pPr>
        <w:spacing w:after="13"/>
        <w:ind w:left="-5" w:right="22"/>
      </w:pPr>
      <w:r>
        <w:rPr>
          <w:i/>
        </w:rPr>
        <w:t xml:space="preserve">Гистологический метод исследования. </w:t>
      </w:r>
      <w:r>
        <w:t>Приготовление препаратов из образцов кожи осуществляется по методике, включающей</w:t>
      </w:r>
    </w:p>
    <w:p w:rsidR="004B6076" w:rsidRDefault="009E1091">
      <w:pPr>
        <w:ind w:left="-15" w:right="162" w:firstLine="8222"/>
      </w:pPr>
      <w:r>
        <w:rPr>
          <w:sz w:val="16"/>
        </w:rPr>
        <w:t xml:space="preserve">♠ </w:t>
      </w:r>
      <w:r>
        <w:t xml:space="preserve">стандартные процедуры: фиксация в забуференном растворе формальдегида (Формалина ) (10%) → промывка → стандартная </w:t>
      </w:r>
      <w:r>
        <w:t xml:space="preserve">спиртовая проводка → заливка в парафин жидкий → изготовление срезов толщиной 5–7 мкм → окраска </w:t>
      </w:r>
      <w:r>
        <w:rPr>
          <w:i/>
        </w:rPr>
        <w:t xml:space="preserve">гематоксилин-эозином </w:t>
      </w:r>
      <w:r>
        <w:t>(обзорная окраска).</w:t>
      </w:r>
    </w:p>
    <w:p w:rsidR="004B6076" w:rsidRDefault="009E1091">
      <w:pPr>
        <w:ind w:left="-5" w:right="22"/>
      </w:pPr>
      <w:r>
        <w:t xml:space="preserve">Для выявления эластических волокон рекомендуется выполнять дополнительное окрашивание по </w:t>
      </w:r>
      <w:r>
        <w:rPr>
          <w:i/>
        </w:rPr>
        <w:t>Вейгерту</w:t>
      </w:r>
      <w:r>
        <w:t>: цвет окрашенных эласт</w:t>
      </w:r>
      <w:r>
        <w:t>ических волокон — темно-синий.</w:t>
      </w:r>
    </w:p>
    <w:p w:rsidR="004B6076" w:rsidRDefault="009E1091">
      <w:pPr>
        <w:spacing w:after="13"/>
        <w:ind w:left="-5" w:right="22"/>
      </w:pPr>
      <w:r>
        <w:t xml:space="preserve">Для выявления коллагеновых волокон — дополнительное окрашивание по </w:t>
      </w:r>
      <w:r>
        <w:rPr>
          <w:i/>
        </w:rPr>
        <w:t>Ван-Гизону</w:t>
      </w:r>
      <w:r>
        <w:t>: цвет окрашенных коллагеновых</w:t>
      </w:r>
    </w:p>
    <w:p w:rsidR="004B6076" w:rsidRDefault="009E1091">
      <w:pPr>
        <w:ind w:left="-5" w:right="22"/>
      </w:pPr>
      <w:r>
        <w:t xml:space="preserve">волокон — различные оттенки красного, возможно, пурпурный; по </w:t>
      </w:r>
      <w:r>
        <w:rPr>
          <w:i/>
        </w:rPr>
        <w:t>Массону</w:t>
      </w:r>
      <w:r>
        <w:t>: цвет окрашенных коллагеновых волокон — различн</w:t>
      </w:r>
      <w:r>
        <w:t>ые оттенки синего.</w:t>
      </w:r>
    </w:p>
    <w:p w:rsidR="004B6076" w:rsidRDefault="009E1091">
      <w:pPr>
        <w:spacing w:after="13"/>
        <w:ind w:left="-5" w:right="22"/>
      </w:pPr>
      <w:r>
        <w:rPr>
          <w:i/>
        </w:rPr>
        <w:t xml:space="preserve">Иммуногистохимический метод исследования. </w:t>
      </w:r>
      <w:r>
        <w:t>Препараты кожи фиксируются в 10-процентном нейтральном забуференном</w:t>
      </w:r>
    </w:p>
    <w:p w:rsidR="004B6076" w:rsidRDefault="009E1091">
      <w:pPr>
        <w:spacing w:after="0" w:line="265" w:lineRule="auto"/>
        <w:ind w:left="2591"/>
      </w:pPr>
      <w:r>
        <w:rPr>
          <w:sz w:val="16"/>
        </w:rPr>
        <w:t>♠</w:t>
      </w:r>
    </w:p>
    <w:p w:rsidR="004B6076" w:rsidRDefault="009E1091">
      <w:pPr>
        <w:spacing w:after="13"/>
        <w:ind w:left="-5" w:right="22"/>
      </w:pPr>
      <w:r>
        <w:t>формальдегиде (Формалине ) в течение 24 ч. Микроскопическое исследование проводится по традиционным методикам:</w:t>
      </w:r>
    </w:p>
    <w:p w:rsidR="004B6076" w:rsidRDefault="009E1091">
      <w:pPr>
        <w:spacing w:after="0"/>
        <w:ind w:left="-5" w:right="22"/>
      </w:pPr>
      <w:r>
        <w:t xml:space="preserve">приготовленные парафиновые срезы окрашивают гематоксилином и эозином по методам Вейгерта, Ван-Гизона. Часть срезов подвергается антигенной демаскировке в 0,1 М цитратном буфере pH 6,0 в течение 30 мин [13], далее срезы обрабатываются первичными антителами </w:t>
      </w:r>
      <w:r>
        <w:t>Monoclonal Mouse a Hu Ki-67 Clone MM1 фирмы Novocastra (Германия), Monoclonal Mouse a Hu bcl-2</w:t>
      </w:r>
    </w:p>
    <w:p w:rsidR="004B6076" w:rsidRDefault="009E1091">
      <w:pPr>
        <w:ind w:left="-5" w:right="22"/>
      </w:pPr>
      <w:r>
        <w:t>Clone bcl-2/100/D5 той же фирмы, Monoclonal Rb a Hu p53 Clone 318-6-11 фирмы Dako (США), реагентами системы визуализации EnVision+System-HRP (DAV), code K4010 фи</w:t>
      </w:r>
      <w:r>
        <w:t>рмы Dako (США). Экспрессию иммуногистохимических маркеров Ki-67, p53 и bcl-2 определяют в базальном слое эпидермиса неповрежденной кожи путем подсчета общего количества клеток в каждом поле зрения светового микроскопа при увеличении 100–200 (не менее 50 на</w:t>
      </w:r>
      <w:r>
        <w:t xml:space="preserve"> один гистологический препарат), клеток, меченных МКА к указанным белкам, с последующим вычислением индекса Ki-67-, p53- и bcl-2-позитивных клеток в процентах.</w:t>
      </w:r>
    </w:p>
    <w:p w:rsidR="004B6076" w:rsidRDefault="009E1091">
      <w:pPr>
        <w:ind w:left="-5" w:right="22"/>
      </w:pPr>
      <w:r>
        <w:rPr>
          <w:i/>
        </w:rPr>
        <w:t xml:space="preserve">Морфометрический метод исследования. </w:t>
      </w:r>
      <w:r>
        <w:t>С помощью микроскопа в каждом объекте осуществляют микрофот</w:t>
      </w:r>
      <w:r>
        <w:t>ографирование с проведением дальнейшего морфометрического измерения, используя программу (ImageJ) для морфометрического исследования. Морфометрия проводится в соответствии с общими методологическими рекомендациями. В каждом объекте в трех полях зрения микр</w:t>
      </w:r>
      <w:r>
        <w:t>оскопа с пропуском двух-трех полей зрения осуществляется измерение признаков, представленных в табл. 2.1.1 (рис. 2.1.1–2.1.6).</w:t>
      </w:r>
    </w:p>
    <w:p w:rsidR="004B6076" w:rsidRDefault="009E1091">
      <w:pPr>
        <w:spacing w:after="20"/>
        <w:ind w:left="-5" w:right="22"/>
      </w:pPr>
      <w:r>
        <w:rPr>
          <w:b/>
        </w:rPr>
        <w:t>Таблица 2.1.1.</w:t>
      </w:r>
      <w:r>
        <w:t xml:space="preserve"> Программа признаков для гистоморфометрического исследования кожи</w:t>
      </w:r>
    </w:p>
    <w:tbl>
      <w:tblPr>
        <w:tblStyle w:val="TableGrid"/>
        <w:tblW w:w="9182" w:type="dxa"/>
        <w:tblInd w:w="24" w:type="dxa"/>
        <w:tblCellMar>
          <w:top w:w="124" w:type="dxa"/>
          <w:left w:w="36" w:type="dxa"/>
          <w:bottom w:w="0" w:type="dxa"/>
          <w:right w:w="40" w:type="dxa"/>
        </w:tblCellMar>
        <w:tblLook w:val="04A0" w:firstRow="1" w:lastRow="0" w:firstColumn="1" w:lastColumn="0" w:noHBand="0" w:noVBand="1"/>
      </w:tblPr>
      <w:tblGrid>
        <w:gridCol w:w="1392"/>
        <w:gridCol w:w="7790"/>
      </w:tblGrid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Имя признака</w:t>
            </w:r>
          </w:p>
        </w:tc>
        <w:tc>
          <w:tcPr>
            <w:tcW w:w="77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Название признака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D1</w:t>
            </w:r>
          </w:p>
        </w:tc>
        <w:tc>
          <w:tcPr>
            <w:tcW w:w="77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Толщина эпидермиса кожи</w:t>
            </w:r>
          </w:p>
        </w:tc>
      </w:tr>
      <w:tr w:rsidR="004B6076">
        <w:trPr>
          <w:trHeight w:val="52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D2</w:t>
            </w:r>
          </w:p>
        </w:tc>
        <w:tc>
          <w:tcPr>
            <w:tcW w:w="77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4" w:firstLine="0"/>
            </w:pPr>
            <w:r>
              <w:t>Степень выраженности возрастных изменений (полуколичественная оценка в баллах)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D3</w:t>
            </w:r>
          </w:p>
        </w:tc>
        <w:tc>
          <w:tcPr>
            <w:tcW w:w="77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Площадь коллагеновых волокон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D4</w:t>
            </w:r>
          </w:p>
        </w:tc>
        <w:tc>
          <w:tcPr>
            <w:tcW w:w="77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Толщина эластического волокна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D5</w:t>
            </w:r>
          </w:p>
        </w:tc>
        <w:tc>
          <w:tcPr>
            <w:tcW w:w="77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Длина границы раздела эпидермиса и дермы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D6</w:t>
            </w:r>
          </w:p>
        </w:tc>
        <w:tc>
          <w:tcPr>
            <w:tcW w:w="77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Длина — расстояние между точками по прямой (вспомогательный признак)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D7</w:t>
            </w:r>
          </w:p>
        </w:tc>
        <w:tc>
          <w:tcPr>
            <w:tcW w:w="77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Интегральный индекс D5/D6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D8</w:t>
            </w:r>
          </w:p>
        </w:tc>
        <w:tc>
          <w:tcPr>
            <w:tcW w:w="77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Толщина сосочкового слоя дермы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D9</w:t>
            </w:r>
          </w:p>
        </w:tc>
        <w:tc>
          <w:tcPr>
            <w:tcW w:w="77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фибробластов среднее в поле зрения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D10</w:t>
            </w:r>
          </w:p>
        </w:tc>
        <w:tc>
          <w:tcPr>
            <w:tcW w:w="77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Выраженность завитка эластического волокна</w:t>
            </w:r>
          </w:p>
        </w:tc>
      </w:tr>
    </w:tbl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757608" cy="2576210"/>
            <wp:effectExtent l="0" t="0" r="0" b="0"/>
            <wp:docPr id="791" name="Picture 7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" name="Picture 79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57608" cy="257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2.1.1.</w:t>
      </w:r>
      <w:r>
        <w:t xml:space="preserve"> Морфометрическая методика измерения показателя D1. Препарат кожи. Окраска гематоксилин-эозином, ×200</w:t>
      </w:r>
    </w:p>
    <w:p w:rsidR="004B6076" w:rsidRDefault="009E1091">
      <w:pPr>
        <w:spacing w:after="0"/>
        <w:ind w:left="-5" w:right="22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719498" cy="3475597"/>
            <wp:effectExtent l="0" t="0" r="0" b="0"/>
            <wp:wrapTopAndBottom/>
            <wp:docPr id="803" name="Picture 8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" name="Picture 80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19498" cy="34755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Рис. 2.1.2.</w:t>
      </w:r>
      <w:r>
        <w:t xml:space="preserve"> Морфометрическая методика измерения площади коллагеновых волокон в поле зрения препарата кожи. Часть площади, занимаемая коллагеновыми волокн</w:t>
      </w:r>
      <w:r>
        <w:t>ами, размечена штриховкой. Препарат кожи. Окраска по Массону, ×200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4016753" cy="2850599"/>
            <wp:effectExtent l="0" t="0" r="0" b="0"/>
            <wp:docPr id="808" name="Picture 8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" name="Picture 80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16753" cy="2850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>Рис. 2.1.3.</w:t>
      </w:r>
      <w:r>
        <w:t xml:space="preserve"> Морфометрическая методика измерения показателя D8. Скриншот страницы в процессе измерения. Препарат кожи.</w:t>
      </w:r>
    </w:p>
    <w:p w:rsidR="004B6076" w:rsidRDefault="009E1091">
      <w:pPr>
        <w:spacing w:after="13"/>
        <w:ind w:left="-5" w:right="22"/>
      </w:pPr>
      <w:r>
        <w:t>Окраска гематоксилин-эозином, ×100</w:t>
      </w:r>
    </w:p>
    <w:p w:rsidR="004B6076" w:rsidRDefault="009E1091">
      <w:pPr>
        <w:spacing w:after="0" w:line="259" w:lineRule="auto"/>
        <w:ind w:left="0" w:firstLine="0"/>
      </w:pPr>
      <w:r>
        <w:rPr>
          <w:noProof/>
        </w:rPr>
        <w:drawing>
          <wp:inline distT="0" distB="0" distL="0" distR="0">
            <wp:extent cx="4009131" cy="3102122"/>
            <wp:effectExtent l="0" t="0" r="0" b="0"/>
            <wp:docPr id="813" name="Picture 8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" name="Picture 81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09131" cy="3102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>Рис. 2.1.4.</w:t>
      </w:r>
      <w:r>
        <w:t xml:space="preserve"> Морфометрическая методика измерения показателя D5. Препарат кожи. Окраска по Вейгерту,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827728"/>
                <wp:effectExtent l="0" t="0" r="0" b="0"/>
                <wp:docPr id="111397" name="Group 111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827728"/>
                          <a:chOff x="0" y="0"/>
                          <a:chExt cx="4062485" cy="2827728"/>
                        </a:xfrm>
                      </wpg:grpSpPr>
                      <wps:wsp>
                        <wps:cNvPr id="821" name="Shape 821"/>
                        <wps:cNvSpPr/>
                        <wps:spPr>
                          <a:xfrm>
                            <a:off x="7622" y="3808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4" name="Shape 824"/>
                        <wps:cNvSpPr/>
                        <wps:spPr>
                          <a:xfrm>
                            <a:off x="7622" y="2823921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23" name="Shape 157423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24" name="Shape 157424"/>
                        <wps:cNvSpPr/>
                        <wps:spPr>
                          <a:xfrm>
                            <a:off x="0" y="282010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7" name="Shape 827"/>
                        <wps:cNvSpPr/>
                        <wps:spPr>
                          <a:xfrm>
                            <a:off x="3811" y="7621"/>
                            <a:ext cx="0" cy="28124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12486">
                                <a:moveTo>
                                  <a:pt x="0" y="0"/>
                                </a:moveTo>
                                <a:lnTo>
                                  <a:pt x="0" y="281248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25" name="Shape 157425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26" name="Shape 157426"/>
                        <wps:cNvSpPr/>
                        <wps:spPr>
                          <a:xfrm>
                            <a:off x="4054863" y="282010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0" name="Shape 830"/>
                        <wps:cNvSpPr/>
                        <wps:spPr>
                          <a:xfrm>
                            <a:off x="4058674" y="7621"/>
                            <a:ext cx="0" cy="28124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12486">
                                <a:moveTo>
                                  <a:pt x="0" y="0"/>
                                </a:moveTo>
                                <a:lnTo>
                                  <a:pt x="0" y="281248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32" name="Picture 83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4"/>
                            <a:ext cx="4047241" cy="28124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397" style="width:319.881pt;height:222.656pt;mso-position-horizontal-relative:char;mso-position-vertical-relative:line" coordsize="40624,28277">
                <v:shape id="Shape 821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824" style="position:absolute;width:40472;height:0;left:76;top:28239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427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28" style="position:absolute;width:91;height:91;left:0;top:28201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827" style="position:absolute;width:0;height:28124;left:38;top:76;" coordsize="0,2812486" path="m0,0l0,2812486">
                  <v:stroke weight="0.600151pt" endcap="flat" dashstyle="1 1" joinstyle="bevel" on="true" color="#c0c0c0"/>
                  <v:fill on="false" color="#000000" opacity="0"/>
                </v:shape>
                <v:shape id="Shape 157429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30" style="position:absolute;width:91;height:91;left:40548;top:28201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830" style="position:absolute;width:0;height:28124;left:40586;top:76;" coordsize="0,2812486" path="m0,0l0,2812486">
                  <v:stroke weight="0.600151pt" endcap="flat" dashstyle="1 1" joinstyle="bevel" on="true" color="#c0c0c0"/>
                  <v:fill on="false" color="#000000" opacity="0"/>
                </v:shape>
                <v:shape id="Picture 832" style="position:absolute;width:40472;height:28124;left:76;top:76;" filled="f">
                  <v:imagedata r:id="rId14"/>
                </v:shape>
              </v:group>
            </w:pict>
          </mc:Fallback>
        </mc:AlternateContent>
      </w:r>
    </w:p>
    <w:p w:rsidR="004B6076" w:rsidRDefault="009E1091">
      <w:pPr>
        <w:spacing w:after="13"/>
        <w:ind w:left="-5" w:right="22"/>
      </w:pPr>
      <w:r>
        <w:rPr>
          <w:b/>
        </w:rPr>
        <w:t>Рис. 2.1.5.</w:t>
      </w:r>
      <w:r>
        <w:t xml:space="preserve"> Морфометрическая методика измерения показателя D6. Препарат кожи. Окраска по Вейгерту,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475596"/>
                <wp:effectExtent l="0" t="0" r="0" b="0"/>
                <wp:docPr id="111401" name="Group 1114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475596"/>
                          <a:chOff x="0" y="0"/>
                          <a:chExt cx="4062485" cy="3475596"/>
                        </a:xfrm>
                      </wpg:grpSpPr>
                      <wps:wsp>
                        <wps:cNvPr id="837" name="Shape 837"/>
                        <wps:cNvSpPr/>
                        <wps:spPr>
                          <a:xfrm>
                            <a:off x="7622" y="3808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" name="Shape 840"/>
                        <wps:cNvSpPr/>
                        <wps:spPr>
                          <a:xfrm>
                            <a:off x="7622" y="3471782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31" name="Shape 157431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32" name="Shape 157432"/>
                        <wps:cNvSpPr/>
                        <wps:spPr>
                          <a:xfrm>
                            <a:off x="0" y="346797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3" name="Shape 843"/>
                        <wps:cNvSpPr/>
                        <wps:spPr>
                          <a:xfrm>
                            <a:off x="3811" y="7621"/>
                            <a:ext cx="0" cy="34603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60353">
                                <a:moveTo>
                                  <a:pt x="0" y="0"/>
                                </a:moveTo>
                                <a:lnTo>
                                  <a:pt x="0" y="346035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33" name="Shape 157433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34" name="Shape 157434"/>
                        <wps:cNvSpPr/>
                        <wps:spPr>
                          <a:xfrm>
                            <a:off x="4054863" y="346797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6" name="Shape 846"/>
                        <wps:cNvSpPr/>
                        <wps:spPr>
                          <a:xfrm>
                            <a:off x="4058674" y="7621"/>
                            <a:ext cx="0" cy="34603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60353">
                                <a:moveTo>
                                  <a:pt x="0" y="0"/>
                                </a:moveTo>
                                <a:lnTo>
                                  <a:pt x="0" y="346035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48" name="Picture 84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5"/>
                            <a:ext cx="4047241" cy="34603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401" style="width:319.881pt;height:273.669pt;mso-position-horizontal-relative:char;mso-position-vertical-relative:line" coordsize="40624,34755">
                <v:shape id="Shape 837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840" style="position:absolute;width:40472;height:0;left:76;top:3471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435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36" style="position:absolute;width:91;height:91;left:0;top:34679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843" style="position:absolute;width:0;height:34603;left:38;top:76;" coordsize="0,3460353" path="m0,0l0,3460353">
                  <v:stroke weight="0.600151pt" endcap="flat" dashstyle="1 1" joinstyle="bevel" on="true" color="#c0c0c0"/>
                  <v:fill on="false" color="#000000" opacity="0"/>
                </v:shape>
                <v:shape id="Shape 157437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38" style="position:absolute;width:91;height:91;left:40548;top:34679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846" style="position:absolute;width:0;height:34603;left:40586;top:76;" coordsize="0,3460353" path="m0,0l0,3460353">
                  <v:stroke weight="0.600151pt" endcap="flat" dashstyle="1 1" joinstyle="bevel" on="true" color="#c0c0c0"/>
                  <v:fill on="false" color="#000000" opacity="0"/>
                </v:shape>
                <v:shape id="Picture 848" style="position:absolute;width:40472;height:34603;left:76;top:76;" filled="f">
                  <v:imagedata r:id="rId16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2.1.6.</w:t>
      </w:r>
      <w:r>
        <w:t xml:space="preserve"> Морфометрическая методика измерения показат</w:t>
      </w:r>
      <w:r>
        <w:t>еля D10. Препарат кожи. Окраска по Вейгерту, ×200</w:t>
      </w:r>
    </w:p>
    <w:p w:rsidR="004B6076" w:rsidRDefault="009E1091">
      <w:pPr>
        <w:spacing w:after="0"/>
        <w:ind w:left="-5" w:right="22"/>
      </w:pPr>
      <w:r>
        <w:t>D1 — толщина эпидермиса — является расчетным показателем, полученным путем деления площади эпидермиса на его длину (см. рис. 2.1.1). Аналогичным образом был получен показатель D8 (см. рис. 2.1.3). Суммарный</w:t>
      </w:r>
      <w:r>
        <w:t xml:space="preserve"> балл возрастной инволюции отражен в показателе D2. При морфологическом описании гистологических препаратов кожи необходимо отметить признаки возрастной инволюции, для оценки степени выраженности которых использована оценка в баллах (0 — отсутствие признак</w:t>
      </w:r>
      <w:r>
        <w:t>а, 1 — наличие признака). Оцениваются: характеристика рельефа эпидермиса в совокупности с состоянием дермо-эпидермального соединения (наличие неравномерной толщины, кератинизации, разрыхления рогового слоя, уплощение дермо-эпидермального соединения); налич</w:t>
      </w:r>
      <w:r>
        <w:t>ие лимфоидной инфильтрации (скопление лимфоидных клеток); наличие дезорганизации коллагеновых волокон; изменение структурной композиции, толщины эластических волокон; наличие скопления меланоцитов.</w:t>
      </w:r>
    </w:p>
    <w:p w:rsidR="004B6076" w:rsidRDefault="009E1091">
      <w:pPr>
        <w:spacing w:after="0"/>
        <w:ind w:left="-5" w:right="22"/>
      </w:pPr>
      <w:r>
        <w:t>Гистоморфометрия показателя D3 производится на препаратах,</w:t>
      </w:r>
      <w:r>
        <w:t xml:space="preserve"> окрашенных по Массону. При данной окраске коллагеновая соединительная ткань приобретает интенсивно-синий цвет, облегчающий процесс распознавания и последующее измерение</w:t>
      </w:r>
    </w:p>
    <w:p w:rsidR="004B6076" w:rsidRDefault="009E1091">
      <w:pPr>
        <w:ind w:left="-5" w:right="22"/>
      </w:pPr>
      <w:r>
        <w:t>(см. рис. 2.1.2).</w:t>
      </w:r>
    </w:p>
    <w:p w:rsidR="004B6076" w:rsidRDefault="009E1091">
      <w:pPr>
        <w:ind w:left="-5" w:right="22"/>
      </w:pPr>
      <w:r>
        <w:t>Контуром желтого цвета обозначена граница сосочкового слоя дермы меж</w:t>
      </w:r>
      <w:r>
        <w:t xml:space="preserve">ду базальным слоем эпидермиса и уровнем расположения поверхностных сосудов (см. рис. 2.1.3). Измерение длины дерма-эпидермального соединения (D5) — расстояние между точками А и В на рис. 2.2.4 — разметка контуром зеленого цвета. Показатель D6 — расстояние </w:t>
      </w:r>
      <w:r>
        <w:t>между точками А и В по прямой (см. рис. 2.1.5). Показатель D7 рассчитывается как соотношение D5/D6 (см. рис. 2.1.4, 2.1.5). Показатель D10 рассчитывается как соотношение AB/CD, где AB — длина волокна, CD — перпендикуляр к наиболее удаленной точке завитка э</w:t>
      </w:r>
      <w:r>
        <w:t>ластического волокна (см. рис. 2.1.6). Измерение данного показателя производится на препаратах кожи, окрашенных по Вейгерту с увеличением до 200. Данная окраска позволяет выявить эластические волокна в тканях (см. рис. 2.1.4–2.1.6).</w:t>
      </w:r>
    </w:p>
    <w:p w:rsidR="004B6076" w:rsidRDefault="009E1091">
      <w:pPr>
        <w:spacing w:after="8" w:line="314" w:lineRule="auto"/>
        <w:ind w:left="-5" w:right="22"/>
      </w:pPr>
      <w:r>
        <w:rPr>
          <w:b/>
        </w:rPr>
        <w:t>Характеристика возрастн</w:t>
      </w:r>
      <w:r>
        <w:rPr>
          <w:b/>
        </w:rPr>
        <w:t xml:space="preserve">ых изменений кожи. </w:t>
      </w:r>
      <w:r>
        <w:t xml:space="preserve">Гистологическая картина эпидермиса </w:t>
      </w:r>
      <w:r>
        <w:rPr>
          <w:i/>
        </w:rPr>
        <w:t>в</w:t>
      </w:r>
      <w:r>
        <w:t xml:space="preserve"> </w:t>
      </w:r>
      <w:r>
        <w:rPr>
          <w:i/>
        </w:rPr>
        <w:t>детском возрасте</w:t>
      </w:r>
      <w:r>
        <w:t xml:space="preserve"> характеризуется тонким, недостаточно развитым базальным слоем с повышенной митотической активностью клеток, слаборазличимыми</w:t>
      </w:r>
      <w:r>
        <w:t>​</w:t>
      </w:r>
      <w:r>
        <w:t xml:space="preserve"> </w:t>
      </w:r>
      <w:r>
        <w:t>зернистым и блестящим слоями, тонким (2–3 ряда клеток) ро</w:t>
      </w:r>
      <w:r>
        <w:t>говым слоем. Коллагеновые волокна — в виде нежных волокнистых структур, расположенных достаточно рыхло в сетчатом слое дермы. Эластические волокна — в виде густых сплетений, напоминающих клубки. Дермальные волокна имеют меньшую, чем у взрослых, толщину (D4</w:t>
      </w:r>
      <w:r>
        <w:t>=1,52±0,09; σ=0,39; p &lt;0,05). У детей и подростков практически все изученные морфометрические показатели меньше, чем у взрослых, что свидетельствует о процессе роста и развития. При иммуногистохимическом исследовании индекс пролиферации Ki-67 в кератиноцит</w:t>
      </w:r>
      <w:r>
        <w:t>ах базального слоя эпидермиса в возрасте до 10 лет находится в пределах 22,0±4,2% (18,3–24,7) при p &lt;0,05. Количество базальных клеток, экспрессирующих маркер апоптоза: р53=0,2±0,05% (0,1–0,3) при p &lt;0,05. В большом количестве эпителиоцитов базального слоя</w:t>
      </w:r>
      <w:r>
        <w:t xml:space="preserve"> экспрессируется маркер bcl-2=15,3±1,2% (12,2–17,1) при p &lt;0,05 (рис. 2.1.7, а–в).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355180"/>
                <wp:effectExtent l="0" t="0" r="0" b="0"/>
                <wp:docPr id="113019" name="Group 1130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355180"/>
                          <a:chOff x="0" y="0"/>
                          <a:chExt cx="4062485" cy="2355180"/>
                        </a:xfrm>
                      </wpg:grpSpPr>
                      <wps:wsp>
                        <wps:cNvPr id="898" name="Shape 898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1" name="Shape 901"/>
                        <wps:cNvSpPr/>
                        <wps:spPr>
                          <a:xfrm>
                            <a:off x="7622" y="235136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39" name="Shape 15743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40" name="Shape 157440"/>
                        <wps:cNvSpPr/>
                        <wps:spPr>
                          <a:xfrm>
                            <a:off x="0" y="234755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4" name="Shape 904"/>
                        <wps:cNvSpPr/>
                        <wps:spPr>
                          <a:xfrm>
                            <a:off x="3811" y="7627"/>
                            <a:ext cx="0" cy="2339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9926">
                                <a:moveTo>
                                  <a:pt x="0" y="0"/>
                                </a:moveTo>
                                <a:lnTo>
                                  <a:pt x="0" y="233992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41" name="Shape 157441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42" name="Shape 157442"/>
                        <wps:cNvSpPr/>
                        <wps:spPr>
                          <a:xfrm>
                            <a:off x="4054863" y="234755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7" name="Shape 907"/>
                        <wps:cNvSpPr/>
                        <wps:spPr>
                          <a:xfrm>
                            <a:off x="4058674" y="7627"/>
                            <a:ext cx="0" cy="2339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9926">
                                <a:moveTo>
                                  <a:pt x="0" y="0"/>
                                </a:moveTo>
                                <a:lnTo>
                                  <a:pt x="0" y="233992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909" name="Picture 90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7"/>
                            <a:ext cx="4047241" cy="23399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3019" style="width:319.881pt;height:185.447pt;mso-position-horizontal-relative:char;mso-position-vertical-relative:line" coordsize="40624,23551">
                <v:shape id="Shape 898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901" style="position:absolute;width:40472;height:0;left:76;top:23513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443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44" style="position:absolute;width:91;height:91;left:0;top:2347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904" style="position:absolute;width:0;height:23399;left:38;top:76;" coordsize="0,2339926" path="m0,0l0,2339926">
                  <v:stroke weight="0.600151pt" endcap="flat" dashstyle="1 1" joinstyle="bevel" on="true" color="#c0c0c0"/>
                  <v:fill on="false" color="#000000" opacity="0"/>
                </v:shape>
                <v:shape id="Shape 157445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46" style="position:absolute;width:91;height:91;left:40548;top:2347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907" style="position:absolute;width:0;height:23399;left:40586;top:76;" coordsize="0,2339926" path="m0,0l0,2339926">
                  <v:stroke weight="0.600151pt" endcap="flat" dashstyle="1 1" joinstyle="bevel" on="true" color="#c0c0c0"/>
                  <v:fill on="false" color="#000000" opacity="0"/>
                </v:shape>
                <v:shape id="Picture 909" style="position:absolute;width:40472;height:23399;left:76;top:76;" filled="f">
                  <v:imagedata r:id="rId18"/>
                </v:shape>
              </v:group>
            </w:pict>
          </mc:Fallback>
        </mc:AlternateContent>
      </w:r>
    </w:p>
    <w:p w:rsidR="004B6076" w:rsidRDefault="009E1091">
      <w:pPr>
        <w:spacing w:after="13"/>
        <w:ind w:left="-5" w:right="22"/>
      </w:pPr>
      <w:r>
        <w:rPr>
          <w:b/>
        </w:rPr>
        <w:t>Рис. 2.1.7.</w:t>
      </w:r>
      <w:r>
        <w:t xml:space="preserve"> Иммуногистохимические изменения кожи различных возрастных групп: а, б, в — 10 лет; г, д, е — 38 лет; ж, з, и —</w:t>
      </w:r>
    </w:p>
    <w:p w:rsidR="004B6076" w:rsidRDefault="009E1091">
      <w:pPr>
        <w:ind w:left="-5" w:right="22"/>
      </w:pPr>
      <w:r>
        <w:t>75 лет. Иммуногистохимическое исследование с Ki-</w:t>
      </w:r>
      <w:r>
        <w:t>67, p53, bcl-2; ×100–200</w:t>
      </w:r>
    </w:p>
    <w:p w:rsidR="004B6076" w:rsidRDefault="009E1091">
      <w:pPr>
        <w:spacing w:after="13"/>
        <w:ind w:left="-5" w:right="22"/>
      </w:pPr>
      <w:r>
        <w:rPr>
          <w:i/>
        </w:rPr>
        <w:t>В</w:t>
      </w:r>
      <w:r>
        <w:t xml:space="preserve"> </w:t>
      </w:r>
      <w:r>
        <w:rPr>
          <w:i/>
        </w:rPr>
        <w:t>юношеском возрасте</w:t>
      </w:r>
      <w:r>
        <w:t xml:space="preserve"> суммарный балл признаков возрастной инволюции (D2) равнялся нулю. По нашим данным, именно к</w:t>
      </w:r>
    </w:p>
    <w:p w:rsidR="004B6076" w:rsidRDefault="009E1091">
      <w:pPr>
        <w:ind w:left="-5" w:right="22"/>
      </w:pPr>
      <w:r>
        <w:t>20 годам гистоморфометрические показатели достигают уровня дефинитивных значений. Это и толщина эпидермиса (D1)=59,95±</w:t>
      </w:r>
      <w:r>
        <w:t>0,33; σ=0,98; p &lt;0,05; и толщина сосочкового слоя дермы (D8)=137,27±2,43; σ=7,29; p &lt;0,05. Базальная мембрана хорошо развита, о чем свидетельствуют значения интегрального индекса (D7)=1,48±0,03; σ=0,08; p &lt;0,05.</w:t>
      </w:r>
    </w:p>
    <w:p w:rsidR="004B6076" w:rsidRDefault="009E1091">
      <w:pPr>
        <w:ind w:left="-5" w:right="22"/>
      </w:pPr>
      <w:r>
        <w:t>К 20 годам увеличивается количественное соде</w:t>
      </w:r>
      <w:r>
        <w:t>ржание эластических волокон, сами волокна утолщаются: D4=1,92±0,08; σ=0,36; p &lt;0,05. Процентное содержание коллагеновых волокон при этом по сравнению с предыдущей возрастной группой практически не меняется.</w:t>
      </w:r>
    </w:p>
    <w:p w:rsidR="004B6076" w:rsidRDefault="009E1091">
      <w:pPr>
        <w:ind w:left="-5" w:right="22"/>
      </w:pPr>
      <w:r>
        <w:rPr>
          <w:i/>
        </w:rPr>
        <w:t>Возраст от 21 до 30 лет</w:t>
      </w:r>
      <w:r>
        <w:t xml:space="preserve"> можно расценить как перио</w:t>
      </w:r>
      <w:r>
        <w:t>д относительной стабилизации ввиду отсутствия признаков возрастных изменений, выраженных в количественном эквиваленте (рис. 2.1.8, 2.1.16, 2.1.18, 2.1.20, 2.1.22, 2.1.24, 2.1.26). В последующей декаде уже отмечены начальные признаки возрастных изменений.</w:t>
      </w:r>
    </w:p>
    <w:p w:rsidR="004B6076" w:rsidRDefault="009E1091">
      <w:pPr>
        <w:spacing w:after="0"/>
        <w:ind w:left="-5" w:right="22"/>
      </w:pPr>
      <w:r>
        <w:rPr>
          <w:i/>
        </w:rPr>
        <w:t>В</w:t>
      </w:r>
      <w:r>
        <w:rPr>
          <w:i/>
        </w:rPr>
        <w:t xml:space="preserve"> возрасте от 31 до 40 лет</w:t>
      </w:r>
      <w:r>
        <w:t xml:space="preserve"> незначительно снижается (на 3,5%) по сравнению с возрастной группой от 21 до 30 лет количественное содержание коллагеновых волокон, уменьшается (на 5,6%) толщина эластических волокон. Уменьшение на 14% значений показателя, характе</w:t>
      </w:r>
      <w:r>
        <w:t>ризующего дермо-эпидермальное соединение, не сопровождается визуально различимой сглаженностью (рис. 2.1.10, 2.1.12, 2.1.14). Среднее значение количества баллов возрастных изменений D2=0,98±0,20; σ=1,27; p &lt;0,05.</w:t>
      </w:r>
    </w:p>
    <w:p w:rsidR="004B6076" w:rsidRDefault="009E1091">
      <w:pPr>
        <w:spacing w:after="0" w:line="259" w:lineRule="auto"/>
        <w:ind w:left="0" w:firstLine="0"/>
      </w:pPr>
      <w:r>
        <w:rPr>
          <w:noProof/>
        </w:rPr>
        <w:drawing>
          <wp:inline distT="0" distB="0" distL="0" distR="0">
            <wp:extent cx="3498463" cy="3643279"/>
            <wp:effectExtent l="0" t="0" r="0" b="0"/>
            <wp:docPr id="934" name="Picture 9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" name="Picture 934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98463" cy="3643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>Рис. 2.1.8.</w:t>
      </w:r>
      <w:r>
        <w:t xml:space="preserve"> Препарат кожи; мужчина, 25 ле</w:t>
      </w:r>
      <w:r>
        <w:t>т. Окраска по Ван-Гизону,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2850599" cy="3445109"/>
            <wp:effectExtent l="0" t="0" r="0" b="0"/>
            <wp:docPr id="948" name="Picture 9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" name="Picture 948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50599" cy="3445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2.1.9.</w:t>
      </w:r>
      <w:r>
        <w:t xml:space="preserve"> Препарат кожи; мужчина, 45 лет. Окраска по Ван-Гизону, ×100</w:t>
      </w:r>
    </w:p>
    <w:p w:rsidR="004B6076" w:rsidRDefault="009E1091">
      <w:pPr>
        <w:spacing w:after="0"/>
        <w:ind w:left="-5" w:right="22"/>
      </w:pPr>
      <w:r>
        <w:t xml:space="preserve">В гистологических препаратах кожи от трупов лиц </w:t>
      </w:r>
      <w:r>
        <w:rPr>
          <w:i/>
        </w:rPr>
        <w:t>в возрасте</w:t>
      </w:r>
      <w:r>
        <w:t xml:space="preserve"> 41–50 </w:t>
      </w:r>
      <w:r>
        <w:rPr>
          <w:i/>
        </w:rPr>
        <w:t>лет</w:t>
      </w:r>
      <w:r>
        <w:t xml:space="preserve"> возрастные изменения более выраженные: снижается (на 8%) толщина эпидермиса, главным образом за счет истончения шиповатого и зернистого слоев. Роговой слой, напротив, демонстрирует тенденцию к утолщению, разрыхлению. В базальном слое эпидермиса выявлялись</w:t>
      </w:r>
      <w:r>
        <w:t xml:space="preserve"> единичные участки как гиперплазии, так и атрофии. Отмечается визуально различимая сглаженность дермо-эпидермального соединения. D7=1,12±0,01; σ=0,01; p &lt;0,05. Снижение его по сравнению с декадой 21–30 лет составляет 22,3%. Толщина сосочкового слоя дермы у</w:t>
      </w:r>
      <w:r>
        <w:t>меньшается (на 3,5%), D8=135,10±4,11; σ=21,46; p &lt;0,05. В верхних отделах дермы формируются первоначальные признаки изменений коллагеновых волокон в виде сглаженной фибриллярности. Нарушение периодической исчерченности исследователи связывают с недостатком</w:t>
      </w:r>
      <w:r>
        <w:t xml:space="preserve"> зрелых молекул коллагена [36, 87]. Волокна располагаются более рыхло, появляются единичные участки гомогенизации, нарушается их пространственная ориентация за счет расположения вдоль поверхности (см. рис. 2.1.9). Снижается по сравнению с декадой 21–30 лет</w:t>
      </w:r>
      <w:r>
        <w:t xml:space="preserve"> содержание коллагеновых волокон (на 2,8%), толщина эластических волокон увеличивается в 1,5 раза.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010659" cy="2248467"/>
            <wp:effectExtent l="0" t="0" r="0" b="0"/>
            <wp:docPr id="967" name="Picture 9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" name="Picture 967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10659" cy="224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>Рис. 2.1.10.</w:t>
      </w:r>
      <w:r>
        <w:t xml:space="preserve"> Препарат кожи; мужчина, 33 года. Окраска гематоксилин-эозином,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025903" cy="1463409"/>
            <wp:effectExtent l="0" t="0" r="0" b="0"/>
            <wp:docPr id="971" name="Picture 9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" name="Picture 971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25903" cy="1463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2.1.11.</w:t>
      </w:r>
      <w:r>
        <w:t xml:space="preserve"> Препарат кожи; мужчина, 78 лет. Окраска гематоксилин-эозино</w:t>
      </w:r>
      <w:r>
        <w:t>м, ×100</w:t>
      </w:r>
    </w:p>
    <w:p w:rsidR="004B6076" w:rsidRDefault="009E1091">
      <w:pPr>
        <w:spacing w:after="13"/>
        <w:ind w:left="-5" w:right="22"/>
      </w:pPr>
      <w:r>
        <w:rPr>
          <w:b/>
        </w:rPr>
        <w:t>Рис. 2.1.12.</w:t>
      </w:r>
      <w:r>
        <w:t xml:space="preserve"> Препарат кожи; мужчина, 42 года. Окраска по Вейгерту,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163098" cy="2583832"/>
            <wp:effectExtent l="0" t="0" r="0" b="0"/>
            <wp:docPr id="988" name="Picture 9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" name="Picture 988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63098" cy="258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018281" cy="2263711"/>
            <wp:effectExtent l="0" t="0" r="0" b="0"/>
            <wp:wrapTopAndBottom/>
            <wp:docPr id="984" name="Picture 9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" name="Picture 984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18281" cy="22637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Рис. 2.1.13. </w:t>
      </w:r>
      <w:r>
        <w:t>Препарат кожи; мужчина, 68 лет. Окраска по Вейгерту,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163098" cy="4214924"/>
            <wp:effectExtent l="0" t="0" r="0" b="0"/>
            <wp:docPr id="992" name="Picture 9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" name="Picture 992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63098" cy="421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2.1.14.</w:t>
      </w:r>
      <w:r>
        <w:t xml:space="preserve"> Препарат кожи; мужчина, 32 года. Окраска по Вейгерту, ×1000</w:t>
      </w:r>
    </w:p>
    <w:p w:rsidR="004B6076" w:rsidRDefault="009E1091">
      <w:pPr>
        <w:ind w:left="-5" w:right="22"/>
      </w:pPr>
      <w:r>
        <w:t>Различим дисбаланс коллаген</w:t>
      </w:r>
      <w:r>
        <w:t>-эластинового соотношения как предикт образования морщин. Следует отметить, что в целом возрастной интервал 41–50 лет имеет достаточно высокий темп возрастных изменений. Индекс пролиферации Ki-67=9,1±2,2% (7,3–11,6). Количество базальных клеток, экспрессир</w:t>
      </w:r>
      <w:r>
        <w:t>ующих маркер апоптоза: р53=1,8±0,6% (1,0–2,3). Экспрессия маркера bcl-2 в эпителиоцитах=4,7±2,1% (2,5–7,5) (см. рис. 2.1.7, г–е).</w:t>
      </w:r>
    </w:p>
    <w:p w:rsidR="004B6076" w:rsidRDefault="009E1091">
      <w:pPr>
        <w:spacing w:after="0"/>
        <w:ind w:left="-5" w:right="22"/>
      </w:pPr>
      <w:r>
        <w:t xml:space="preserve">Возрастная инволюция в последующее десятилетие (51–60 </w:t>
      </w:r>
      <w:r>
        <w:rPr>
          <w:i/>
        </w:rPr>
        <w:t>лет</w:t>
      </w:r>
      <w:r>
        <w:t>) продолжается, что подтверждается статистически достоверными различи</w:t>
      </w:r>
      <w:r>
        <w:t>ями исследуемых показателей с более молодыми возрастными группами. Толщина эпидермиса по сравнению с группой 21–30 лет уменьшается на 20,7%, по сравнению с предыдущей — на 12%. Нарушается роговой слой, прогрессирует сглаженность контура дерма-эпидермальног</w:t>
      </w:r>
      <w:r>
        <w:t>о соединения, интегральный индекс (D7=1,10±0,02; σ=0,08; p &lt;0,05).</w:t>
      </w:r>
    </w:p>
    <w:p w:rsidR="004B6076" w:rsidRDefault="009E1091">
      <w:pPr>
        <w:spacing w:after="13"/>
        <w:ind w:left="-5" w:right="22"/>
      </w:pPr>
      <w:r>
        <w:t>Снижение его по сравнению с возрастной группой 21–30 лет составляет 24,5%, по сравнению с предыдущим десятилетием — на</w:t>
      </w:r>
    </w:p>
    <w:p w:rsidR="004B6076" w:rsidRDefault="009E1091">
      <w:pPr>
        <w:ind w:left="-5" w:right="22"/>
      </w:pPr>
      <w:r>
        <w:t xml:space="preserve">1,8%. В дерме формируются визуально различимые пустоты, прогрессирует </w:t>
      </w:r>
      <w:r>
        <w:t>редукция волокнистой сети. Уменьшается процентное содержание коллагеновых (на 10%) и эластических волокон, изменяется соотношение плотности их распределения. В первую очередь, с редукцией эластических волокон связывают процесс снижения эластичности возраст</w:t>
      </w:r>
      <w:r>
        <w:t>ной кожи и формирование морщин. Фиксируются фрагментация коллагеновых волокон и гетерогенность их структуры, в препаратах появляются скрученные, комковатые волокна. По мере старения подобные явления распространяются на более глубокие слои дермы. Происходящ</w:t>
      </w:r>
      <w:r>
        <w:t>ие процессы, вероятнее всего, сопряжены с изменением гормонального уровня.</w:t>
      </w:r>
    </w:p>
    <w:p w:rsidR="004B6076" w:rsidRDefault="009E1091">
      <w:pPr>
        <w:ind w:left="-5" w:right="22"/>
      </w:pPr>
      <w:r>
        <w:t>С возрастом эластические волокна характеризуются формированием участков «сенильного эластоза». Следует отличать его от солнечного актинического эластоза, представляющего собой дестр</w:t>
      </w:r>
      <w:r>
        <w:t>укцию дермальных волокон с формированием базофильных гомогенных масс. Патогистологическим маркером фотостарения является скопление преимущественно в сосочковом слое дермы эластоидных масс на фоне дегенеративных изменений коллагена [214].</w:t>
      </w:r>
    </w:p>
    <w:p w:rsidR="004B6076" w:rsidRDefault="009E1091">
      <w:pPr>
        <w:spacing w:after="0"/>
        <w:ind w:left="-5" w:right="22"/>
      </w:pPr>
      <w:r>
        <w:rPr>
          <w:i/>
        </w:rPr>
        <w:t>В пожилом возрасте</w:t>
      </w:r>
      <w:r>
        <w:t xml:space="preserve"> возрастная инволюция продолжается, однако темп происходящих изменений в седьмой (61–70 лет) и восьмой (71–80 лет) декадах снижается. Эпидермис истончается и разрыхляется. Дермальные волокна с выраженной пространственной дезорганизацией имеют вид хаотичных</w:t>
      </w:r>
      <w:r>
        <w:t>, грубых (утолщенных) пучков с участками гомогенизации, встречаются участки «запустения» (без соединительнотканных волокон). Граница между эпидермисом и дермой выравнивается, в восьмой декаде зачастую имеет вид прямой линии. Снижено количество фибробластов</w:t>
      </w:r>
      <w:r>
        <w:t>. Содержание коллагеновых волокон по сравнению с периодом относительной стабилизации уменьшается на 24%. Нарушается периодическая исчерченность волокнистых структур (см. рис. 2.1.13, 2.1.23). Происходящие процессы, вероятнее всего, связаны с нарушением про</w:t>
      </w:r>
      <w:r>
        <w:t>цесса «созревания» коллагена, нарушением соотношения предшественников и зрелых субстанций [36, 87]. Эластические волокна огрубевают, волокна теряют контурность, разбухают, окрашиваются метахромно. Толщина эластических волокон у лиц в возрасте от 61 до 70 л</w:t>
      </w:r>
      <w:r>
        <w:t>ет увеличивается по сравнению со значениями в возрасте от 21 до 30 лет более чем в 2 раза. Значение показателя, характеризующего выраженность завитка эластического волокна, также увеличивается в 2,23 раза. Визуально различимо не только утолщение волокон, н</w:t>
      </w:r>
      <w:r>
        <w:t>о и увеличение объемной доли этих волокон в гистологическом препарате. При окраске по Вейгерту в сосочковом слое дермы выявляются фуксинофильноокрашенные эластические волокна (см. рис. 2.1.13, 2.1.17, 2.1.19, 2.1.21,</w:t>
      </w:r>
    </w:p>
    <w:p w:rsidR="004B6076" w:rsidRDefault="009E1091">
      <w:pPr>
        <w:ind w:left="-5" w:right="22"/>
      </w:pPr>
      <w:r>
        <w:t>2.1.23).</w:t>
      </w:r>
    </w:p>
    <w:p w:rsidR="004B6076" w:rsidRDefault="009E1091">
      <w:pPr>
        <w:spacing w:after="13"/>
        <w:ind w:left="-5" w:right="22"/>
      </w:pPr>
      <w:r>
        <w:rPr>
          <w:i/>
        </w:rPr>
        <w:t>У лиц старше 75 лет</w:t>
      </w:r>
      <w:r>
        <w:t xml:space="preserve"> эпидермис </w:t>
      </w:r>
      <w:r>
        <w:t>достаточно тонкий, с перинуклеарной вакуолизацией клеток. Толщина эпидермиса</w:t>
      </w:r>
    </w:p>
    <w:p w:rsidR="004B6076" w:rsidRDefault="009E1091">
      <w:pPr>
        <w:ind w:left="-5" w:right="22"/>
      </w:pPr>
      <w:r>
        <w:t>(D1)=47,95±1,77 (см. рис. 2.1.15). В базальном слое эпидермиса у лиц старше 70 лет индекс пролиферации Ki-67 составляет 1,7±0,6% (0,3–2,8) при p &lt;0,05. Количество базальных клеток</w:t>
      </w:r>
      <w:r>
        <w:t>, экспрессирующих маркер апоптоза: р53=6,2±1,9% (5,5–7,8) при p &lt;0,05. В умеренном количестве эпителиоцитов базального слоя экспрессируется маркер bcl-2 — 0,4±0,1% (0,1–0,5) при p &lt;0,05 (см. рис. 2.1.7, ж–и). Сосочковый слой дермы атрофирован, граница межд</w:t>
      </w:r>
      <w:r>
        <w:t xml:space="preserve">у эпидермисом и дермой нередко представляется в виде ровной линии. В дерме, особенно в ее сосочковом слое, уменьшено количество клеточных элементов. В старческом возрасте расширяются зоны разряжения, визуализируются очаги деколлагенизации (в них различимы </w:t>
      </w:r>
      <w:r>
        <w:t>тоненькие волоконца, глыбки, обрывки коллагена), увеличивается фуксинофилия волокон. Деструкция эластических волокон нарастает, они набухают, утолщаются, склеиваются с формированием «комков», частично фрагментируются, распадаются.</w:t>
      </w:r>
    </w:p>
    <w:p w:rsidR="004B6076" w:rsidRDefault="009E1091">
      <w:pPr>
        <w:ind w:left="-5" w:right="22"/>
      </w:pPr>
      <w:r>
        <w:t>На рис. 2.1.8, 2.1.10, 2.</w:t>
      </w:r>
      <w:r>
        <w:t>1.12, 2.1.14, 2.1.18, 2.1.20, 2.1.22, 2.1.24, 2.1.26 — хорошо выраженное эпидермально-дермальное соединение, множественные сосочки, эпидермис с пролиферативной активностью. Дермальные волокна относительно упорядочены, с чередованием коллагеновых и эластиче</w:t>
      </w:r>
      <w:r>
        <w:t>ских волокон; равномерно расположены по всей поверхности, имеют вид «мазков» розового цвета.</w:t>
      </w:r>
    </w:p>
    <w:p w:rsidR="004B6076" w:rsidRDefault="009E1091">
      <w:pPr>
        <w:ind w:left="-5" w:right="22"/>
      </w:pPr>
      <w:r>
        <w:t>На рис. 2.1.9 — сглаженность эпидермально-дермального соединения, неравномерная толщина эпидермиса, выраженная кератинизация; огрубение коллагеновых волокон, колич</w:t>
      </w:r>
      <w:r>
        <w:t>ество эластических волокон снижено.</w:t>
      </w:r>
    </w:p>
    <w:p w:rsidR="004B6076" w:rsidRDefault="009E1091">
      <w:pPr>
        <w:ind w:left="-5" w:right="22"/>
      </w:pPr>
      <w:r>
        <w:t>На рис. 2.1.11, 2.1.13 — сглаженность эпидермально-дермального соединения, разрыхление рогового слоя. На рис. 2.1.13 — неравномерное истончение эпидермиса, уменьшение количества его слоев, дезорганизация, фрагментация де</w:t>
      </w:r>
      <w:r>
        <w:t>рмальных волокон.</w:t>
      </w:r>
    </w:p>
    <w:p w:rsidR="004B6076" w:rsidRDefault="009E1091">
      <w:pPr>
        <w:ind w:left="-5" w:right="22"/>
      </w:pPr>
      <w:r>
        <w:t>На рис. 2.1.15 — истончение и уменьшение количества слоев эпидермиса.</w:t>
      </w:r>
    </w:p>
    <w:p w:rsidR="004B6076" w:rsidRDefault="009E1091">
      <w:pPr>
        <w:spacing w:after="13"/>
        <w:ind w:left="-5" w:right="22"/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475597" cy="4626507"/>
            <wp:effectExtent l="0" t="0" r="0" b="0"/>
            <wp:wrapTopAndBottom/>
            <wp:docPr id="1072" name="Picture 10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" name="Picture 1072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75597" cy="46265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Рис. 2.1.15.</w:t>
      </w:r>
      <w:r>
        <w:t xml:space="preserve"> Препарат кожи; мужчина, 72 года. Окраска по Вейгерту, ×1000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231696" cy="2903952"/>
            <wp:effectExtent l="0" t="0" r="0" b="0"/>
            <wp:docPr id="1076" name="Picture 10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" name="Picture 107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31696" cy="2903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line="431" w:lineRule="auto"/>
        <w:ind w:left="-5" w:right="4507"/>
      </w:pPr>
      <w:r>
        <w:rPr>
          <w:b/>
        </w:rPr>
        <w:t>Рис. 2.1.16.</w:t>
      </w:r>
      <w:r>
        <w:t xml:space="preserve"> Препарат кожи; мужчина, 25 лет. Окраска по Вейгерту, ×400 На рис. 2.1.17 — тонкие дезорганизованные волокна с фрагментацией; эластоз.</w:t>
      </w:r>
    </w:p>
    <w:p w:rsidR="004B6076" w:rsidRDefault="009E1091">
      <w:pPr>
        <w:ind w:left="-5" w:right="22"/>
      </w:pPr>
      <w:r>
        <w:rPr>
          <w:b/>
        </w:rPr>
        <w:t xml:space="preserve">Рис. 2.1.17. </w:t>
      </w:r>
      <w:r>
        <w:t>Препарат кожи; мужчина, 68 лет. Окраска по Вейгерту, ×400</w:t>
      </w:r>
    </w:p>
    <w:p w:rsidR="004B6076" w:rsidRDefault="009E1091">
      <w:pPr>
        <w:spacing w:after="0"/>
        <w:ind w:left="-5" w:right="22"/>
      </w:pPr>
      <w:r>
        <w:rPr>
          <w:noProof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231696" cy="2423772"/>
            <wp:effectExtent l="0" t="0" r="0" b="0"/>
            <wp:wrapTopAndBottom/>
            <wp:docPr id="1084" name="Picture 10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" name="Picture 1084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31696" cy="24237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 рис. 2.1.19 — сглаженность эпидермально-дермал</w:t>
      </w:r>
      <w:r>
        <w:t>ьного соединения, неравномерное истончение эпидермиса, уменьшено количество слоев, базальная мембрана не выражена; дезорганизация волокон, эластоз; уменьшение толщины сосочкового и сетчатого слоев дермы.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269805" cy="3871937"/>
            <wp:effectExtent l="0" t="0" r="0" b="0"/>
            <wp:docPr id="1091" name="Picture 10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" name="Picture 1091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269805" cy="387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>Рис. 2.1.18.</w:t>
      </w:r>
      <w:r>
        <w:t xml:space="preserve"> Препарат кожи; мужчина, 22 года. Окра</w:t>
      </w:r>
      <w:r>
        <w:t>ска по Вейгерту, ×100</w:t>
      </w:r>
    </w:p>
    <w:p w:rsidR="004B6076" w:rsidRDefault="009E1091">
      <w:pPr>
        <w:spacing w:after="0" w:line="259" w:lineRule="auto"/>
        <w:ind w:left="0" w:firstLine="0"/>
      </w:pPr>
      <w:r>
        <w:rPr>
          <w:noProof/>
        </w:rPr>
        <w:drawing>
          <wp:inline distT="0" distB="0" distL="0" distR="0">
            <wp:extent cx="3262183" cy="2789624"/>
            <wp:effectExtent l="0" t="0" r="0" b="0"/>
            <wp:docPr id="1095" name="Picture 10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" name="Picture 1095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62183" cy="2789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>Рис. 2.1.19.</w:t>
      </w:r>
      <w:r>
        <w:t xml:space="preserve"> Препарат кожи; мужчина, 77 лет. Окраска по Вейгерту,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208829" cy="4268277"/>
            <wp:effectExtent l="0" t="0" r="0" b="0"/>
            <wp:docPr id="1102" name="Picture 1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" name="Picture 1102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08829" cy="4268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2.1.20.</w:t>
      </w:r>
      <w:r>
        <w:t xml:space="preserve"> Препарат кожи; мужчина, 25 лет. Окраска по Вейгерту, ×200</w:t>
      </w:r>
    </w:p>
    <w:p w:rsidR="004B6076" w:rsidRDefault="009E1091">
      <w:pPr>
        <w:ind w:left="-5" w:right="22"/>
      </w:pPr>
      <w:r>
        <w:t>На рис. 2.1.21 — сглаженность эпидермально-дермального соединения (неравномерное истончение эпидермиса, избыточная кератинизация); дезорганизация волокон, эластоз.</w:t>
      </w:r>
    </w:p>
    <w:p w:rsidR="004B6076" w:rsidRDefault="009E1091">
      <w:pPr>
        <w:ind w:left="-5" w:right="22"/>
      </w:pPr>
      <w:r>
        <w:t>На рис. 2.1.23 — сглаженность эпидермально-дермального соединения; дезорганизация волокон, э</w:t>
      </w:r>
      <w:r>
        <w:t>ластоз.</w:t>
      </w:r>
    </w:p>
    <w:p w:rsidR="004B6076" w:rsidRDefault="009E1091">
      <w:pPr>
        <w:ind w:left="-5" w:right="22"/>
      </w:pPr>
      <w:r>
        <w:t>На рис. 2.1.25 — сглаженность эпидермально-дермального соединения, неравномерное истончение эпидермиса, избыточная кератинизация; коллагеновые волокна расположены рыхло, параллельно поверхности эпидермиса; эластоз; дезорганизация волокон, более выр</w:t>
      </w:r>
      <w:r>
        <w:t>аженная в верхнем слое дермы. На рис. 2.1.27 — фрагментация волокон, очаги гомогенизации.</w:t>
      </w:r>
    </w:p>
    <w:p w:rsidR="004B6076" w:rsidRDefault="009E1091">
      <w:pPr>
        <w:ind w:left="-5" w:right="22"/>
      </w:pPr>
      <w:r>
        <w:rPr>
          <w:b/>
        </w:rPr>
        <w:t xml:space="preserve">Резюме. </w:t>
      </w:r>
      <w:r>
        <w:t>Возрастная инволюция, сопровождающая хроностарение кожи, присуща всем компонентам как эпидермиса, так и дермы [124, 125].</w:t>
      </w:r>
    </w:p>
    <w:p w:rsidR="004B6076" w:rsidRDefault="009E1091">
      <w:pPr>
        <w:spacing w:after="0"/>
        <w:ind w:left="-5" w:right="22"/>
      </w:pPr>
      <w:r>
        <w:t>Полученные результаты [124] доказыва</w:t>
      </w:r>
      <w:r>
        <w:t>ют возможность использования иммуногистохимических маркеров Ki-67, bcl-2, p53 как количественных параметров комплексной оценки биологического возраста.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163098" cy="3109744"/>
            <wp:effectExtent l="0" t="0" r="0" b="0"/>
            <wp:docPr id="1117" name="Picture 11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" name="Picture 1117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63098" cy="3109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2.1.21.</w:t>
      </w:r>
      <w:r>
        <w:t xml:space="preserve"> Препарат кожи; мужчина, 77 лет. Окраска по Вейгерту, ×200</w:t>
      </w:r>
    </w:p>
    <w:p w:rsidR="004B6076" w:rsidRDefault="009E1091">
      <w:pPr>
        <w:spacing w:after="13"/>
        <w:ind w:left="-5" w:right="22"/>
      </w:pPr>
      <w:r>
        <w:rPr>
          <w:b/>
        </w:rPr>
        <w:t>Рис. 2.1.22.</w:t>
      </w:r>
      <w:r>
        <w:t xml:space="preserve"> Препарат кожи; муж</w:t>
      </w:r>
      <w:r>
        <w:t>чина, 25 лет. Окраска по Массону,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35657" cy="2721026"/>
            <wp:effectExtent l="0" t="0" r="0" b="0"/>
            <wp:docPr id="1128" name="Picture 11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" name="Picture 1128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35657" cy="2721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noProof/>
        </w:rPr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193586" cy="2942062"/>
            <wp:effectExtent l="0" t="0" r="0" b="0"/>
            <wp:wrapTopAndBottom/>
            <wp:docPr id="1124" name="Picture 11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" name="Picture 1124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93586" cy="2942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Рис. 2.1.23.</w:t>
      </w:r>
      <w:r>
        <w:t xml:space="preserve"> Препарат кожи; мужчина, 77 лет. Окраска по Массону,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35657" cy="3772852"/>
            <wp:effectExtent l="0" t="0" r="0" b="0"/>
            <wp:docPr id="1132" name="Picture 11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" name="Picture 1132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35657" cy="3772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noProof/>
        </w:rPr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033525" cy="2766758"/>
            <wp:effectExtent l="0" t="0" r="0" b="0"/>
            <wp:wrapTopAndBottom/>
            <wp:docPr id="1139" name="Picture 11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" name="Picture 1139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33525" cy="27667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Рис. 2.1.24.</w:t>
      </w:r>
      <w:r>
        <w:t xml:space="preserve"> Препарат кожи; мужчина, 25 лет. Окраска по Массону, ×100 </w:t>
      </w:r>
      <w:r>
        <w:rPr>
          <w:b/>
        </w:rPr>
        <w:t>Рис. 2.1.25.</w:t>
      </w:r>
      <w:r>
        <w:t xml:space="preserve"> Препарат кожи; мужчина, 65 лет. Окраска по Массону,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025903" cy="4031997"/>
            <wp:effectExtent l="0" t="0" r="0" b="0"/>
            <wp:docPr id="1143" name="Picture 1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" name="Picture 1143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25903" cy="4031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2.1.26.</w:t>
      </w:r>
      <w:r>
        <w:t xml:space="preserve"> Препарат кожи; мужчина, 28 лет. Окраска по Массону, ×200 </w:t>
      </w:r>
      <w:r>
        <w:rPr>
          <w:b/>
        </w:rPr>
        <w:t>Рис. 2.1.27.</w:t>
      </w:r>
      <w:r>
        <w:t xml:space="preserve"> Препарат кожи; мужчина, 64 года. Окраска по Массону, ×200</w:t>
      </w:r>
    </w:p>
    <w:p w:rsidR="004B6076" w:rsidRDefault="009E1091">
      <w:pPr>
        <w:spacing w:after="304"/>
        <w:ind w:left="-5" w:right="22"/>
      </w:pPr>
      <w:r>
        <w:t>Установлено, что с возрастом коллагеновый матрикс подвергается существенным инволютивным изменениям, характеризующ</w:t>
      </w:r>
      <w:r>
        <w:t>имся определенной динамикой. Уменьшение процентного содержания коллагеновых волокон отмечено уже у лиц в группе от 31 до 40 лет. Процент снижения данного показателя в последующие декады составил 4,2% (41–50 лет), 3,2% (51– 60 лет). Толщина эластического во</w:t>
      </w:r>
      <w:r>
        <w:t xml:space="preserve">локна увеличивалась на протяжении трех декад (31–40; 41–50; 51–60 лет) с минимальным приростом в последующем. Схожая динамика зафиксирована и у показателя, характеризующего выраженность завитка эластического волокна: максимум прироста в период от 31 до 60 </w:t>
      </w:r>
      <w:r>
        <w:t>лет и минимум в последующие годы. Количественные изменения сопровождались и качественными преобразованиями: дезорганизацией, уплотнением волокон, их утолщением и скрученностью. Интегральный индекс, характеризующий дерма-эпидермальное соединение, продемонст</w:t>
      </w:r>
      <w:r>
        <w:t>рировал наличие достоверных различий между возрастными группами с десятилетним интервалом. Несомненным преимуществом данного параметра является его универсальность (для измерения не требуется уникального окрашивания), а также хорошая воспроизводимость пока</w:t>
      </w:r>
      <w:r>
        <w:t>зателя.</w:t>
      </w:r>
    </w:p>
    <w:p w:rsidR="004B6076" w:rsidRDefault="009E1091">
      <w:pPr>
        <w:pStyle w:val="Heading2"/>
        <w:ind w:left="-5"/>
      </w:pPr>
      <w:r>
        <w:t>2.2. Морфометрические возрастные изменения хрящевой ткани и щитовидного хряща</w:t>
      </w:r>
    </w:p>
    <w:p w:rsidR="004B6076" w:rsidRDefault="009E1091">
      <w:pPr>
        <w:spacing w:after="0"/>
        <w:ind w:left="-5" w:right="22"/>
      </w:pPr>
      <w:r>
        <w:rPr>
          <w:b/>
        </w:rPr>
        <w:t xml:space="preserve">Состояние вопроса. </w:t>
      </w:r>
      <w:r>
        <w:t>ЩХ (</w:t>
      </w:r>
      <w:r>
        <w:rPr>
          <w:i/>
        </w:rPr>
        <w:t>сartilagо thyrоidea</w:t>
      </w:r>
      <w:r>
        <w:t>) является самым крупным из девяти хрящей гортани. Он располагается впереди щитовидной железы и не полностью окружает гортань. С</w:t>
      </w:r>
      <w:r>
        <w:t>остоит из двух половин (пластинок) четырехугольной формы, которые конъюгируют в середине, образуя выступ гортани — «адамово яблоко». Нижний край каждой пластинки формирует с перстневидным хрящом перстнещитовидный сустав. На верхнем крае хряща имеется треуг</w:t>
      </w:r>
      <w:r>
        <w:t>ольная верхняя щитовидная вырезка.</w:t>
      </w:r>
    </w:p>
    <w:p w:rsidR="004B6076" w:rsidRDefault="009E1091">
      <w:pPr>
        <w:ind w:left="-5" w:right="22"/>
      </w:pPr>
      <w:r>
        <w:rPr>
          <w:noProof/>
        </w:rPr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2698161" cy="3612791"/>
            <wp:effectExtent l="0" t="0" r="0" b="0"/>
            <wp:wrapTopAndBottom/>
            <wp:docPr id="1150" name="Picture 11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" name="Picture 1150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698161" cy="36127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Нижняя щитовидная вырезка на нижнем крае хряща выражена слабо.</w:t>
      </w:r>
    </w:p>
    <w:p w:rsidR="004B6076" w:rsidRDefault="009E1091">
      <w:pPr>
        <w:ind w:left="-5" w:right="22"/>
      </w:pPr>
      <w:r>
        <w:t xml:space="preserve">Задние края пластинок образуют верхние и нижние рога. Верхний рог является длинным и узким, а нижний — широким, коротким, толстым и заканчивается конической </w:t>
      </w:r>
      <w:r>
        <w:t xml:space="preserve">частью, которая дает продолжение щитовидной связке и имеет суставную поверхность для соединения с перстневидным хрящом. Весь верхний край ЩХ присоединен к подъязычной кости щитовидной мембраной. По наблюдениям С.Б. Зелигмана, первые признаки этой мембраны </w:t>
      </w:r>
      <w:r>
        <w:t>обнаруживаются у эмбриона, и наибольшего развития она достигает в конце периода полового созревания [51]. Верхние рога ЩХ соединяются с подъязычной костью щитоподъязычной связкой, в которой может располагаться небольшой волокнистый хрящ — сесамовидный хрящ</w:t>
      </w:r>
      <w:r>
        <w:t xml:space="preserve"> (остаток ранее существовавшей связи между ЩХ и подъязычной костью).</w:t>
      </w:r>
    </w:p>
    <w:p w:rsidR="004B6076" w:rsidRDefault="009E1091">
      <w:pPr>
        <w:ind w:left="-5" w:right="22"/>
      </w:pPr>
      <w:r>
        <w:t>ЩХ располагается на уровне IV–V шейных позвонков . Косая линия пластинок ЩХ располагается на уровне верхнебоковых краев щитовидной железы. В области верхнего края пластинок может располаг</w:t>
      </w:r>
      <w:r>
        <w:t>аться щитовидное отверстие, пропускающее верхнюю гортанную артерию. Движение хряща в суставе вызывает изменение напряженности в голосовых складках, которая, в свою очередь, производит изменение голоса [63].</w:t>
      </w:r>
    </w:p>
    <w:p w:rsidR="004B6076" w:rsidRDefault="009E1091">
      <w:pPr>
        <w:ind w:left="-5" w:right="22"/>
      </w:pPr>
      <w:r>
        <w:t>Источниками развития хрящей гортани являются энто</w:t>
      </w:r>
      <w:r>
        <w:t>дерма первичной кишки и мезодерма [76]. Закладки будущих хрящей появляются очень рано, на 4-й неделе внутриутробного развития, источником их развития являются вторая и третья жаберные дуги. На 5-й неделе внутриутробного развития на месте будущего образован</w:t>
      </w:r>
      <w:r>
        <w:t>ия черпаловидных хрящей формируются бугорки, представляющие собой скопления мезенхимы, — источники развития черпаловидных хрящей и черпаловидно-надгортанных складок. Спереди от них закладываются рожковидные и клиновидные хрящи. На ранней стадии развития бо</w:t>
      </w:r>
      <w:r>
        <w:t>льшие рога подъязычной кости непосредственно переходят в верхние рога ЩХ. В последующем происходит их обособление, и на этом месте образуется боковая щитовидно-подъязычная связка. На момент рождения гортань у новорожденного расположена выше своей скелетото</w:t>
      </w:r>
      <w:r>
        <w:t>пической границы у взрослого человека, хрящи уже сформированы и находятся на уровне II–IV шейных позвонков. Пластинки ЩХ по структуре очень тонкие и эластичные, угол смыкания между пластинками тупой. У новорожденных он составляет 130°, к 16 годам у мальчик</w:t>
      </w:r>
      <w:r>
        <w:t>ов и девочек он равен 106° и 128° соответственно [76].</w:t>
      </w:r>
    </w:p>
    <w:p w:rsidR="004B6076" w:rsidRDefault="009E1091">
      <w:pPr>
        <w:ind w:left="-5" w:right="22"/>
      </w:pPr>
      <w:r>
        <w:t>По данным A. Gawlikоwska-Strоka и соавт. (2010), размеры хрящей гортани недоношенных детей, новорожденных и маленьких детей последовательно увеличиваются и находятся в прямой связи с ростом ребенка [25</w:t>
      </w:r>
      <w:r>
        <w:t>0]. В дальнейшем в постнатальном онтогенезе происходит изменение размеров ЩХ. В первые 4 года размеры гортани быстро увеличиваются. В период полового созревания отмечается второй этап активного роста, который продолжается до 25 лет. Вместе с увеличением ра</w:t>
      </w:r>
      <w:r>
        <w:t>змеров самого ЩХ его пластинки становятся более толстыми, но продолжают сохранять свою гибкость. Дальнейшие возрастные изменения связаны с отложением солей кальция и окостенением, при этом пластинки становятся более хрупкими и ломкими [404].</w:t>
      </w:r>
    </w:p>
    <w:p w:rsidR="004B6076" w:rsidRDefault="009E1091">
      <w:pPr>
        <w:ind w:left="-5" w:right="22"/>
      </w:pPr>
      <w:r>
        <w:t>Морфометрическ</w:t>
      </w:r>
      <w:r>
        <w:t>ие параметры ЩХ в постнатальном онтогенезе имеют не только возрастные, но также половые и расовые (этнические) отличия [51, 186, 216, 282, 333, 346, 350]. Некоторые исследователи отмечают множество вариантов и индивидуальных особенностей процесса окостенен</w:t>
      </w:r>
      <w:r>
        <w:t>ия этих хрящей [337, 338]. Основные факторы, с которыми они связывают этот процесс, — пол, возраст, наличие сопутствующих хронических заболеваний, функциональная активность органа.</w:t>
      </w:r>
    </w:p>
    <w:p w:rsidR="004B6076" w:rsidRDefault="009E1091">
      <w:pPr>
        <w:ind w:left="-5" w:right="22"/>
      </w:pPr>
      <w:r>
        <w:rPr>
          <w:b/>
        </w:rPr>
        <w:t xml:space="preserve">Гистологическое строение ЩХ. </w:t>
      </w:r>
      <w:r>
        <w:t>ЩХ состоит из гиалиновой хрящевой ткани, котор</w:t>
      </w:r>
      <w:r>
        <w:t>ая является самым распространенным типом хряща в организме человека [310]. Она формирует скелет зародыша, а во взрослом организме содержится в местах соединения ребер с грудиной, в гортани, воздухоносных путях и на суставных поверхностях костей [363].</w:t>
      </w:r>
    </w:p>
    <w:p w:rsidR="004B6076" w:rsidRDefault="009E1091">
      <w:pPr>
        <w:ind w:left="-5" w:right="22"/>
      </w:pPr>
      <w:r>
        <w:t>В пр</w:t>
      </w:r>
      <w:r>
        <w:t>оцессе эмбрионального развития мезенхимальные клетки из мезенхимальной бластемы дифференцируются в хондробласты, а те, в свою очередь, в хондроциты. Хондробласты и их предшественники располагаются в надхрящнице и синтезируют основное вещество хряща (его ма</w:t>
      </w:r>
      <w:r>
        <w:t>трикс), который занимает до 95% его объема и состоит из 60–80% внутриклеточной жидкости, 15% коллагеновых волокон (80% — II типа; 15% — IX, XI; 5% — III, VI, X, XII, XIV типа), 9% глюкозоаминогликанов, протеогликанов, аггреканов (хондроэтин-4-сульфат, хонд</w:t>
      </w:r>
      <w:r>
        <w:t>роэтин-6-сульфат, кератин сульфат) и 5% гликопротеинов и глюкозоаминогликанов [108, 109, 219, 220].</w:t>
      </w:r>
    </w:p>
    <w:p w:rsidR="004B6076" w:rsidRDefault="009E1091">
      <w:pPr>
        <w:ind w:left="-5" w:right="22"/>
      </w:pPr>
      <w:r>
        <w:t xml:space="preserve">При этом клетки хрящевой ткани (хондробласты, хондроциты I, II, III типа) занимают до 5% объема хряща. Молодые клетки, выделяя глюкозоаминогликаны и другие </w:t>
      </w:r>
      <w:r>
        <w:t xml:space="preserve">вещества, замыкают себя в капсулу, превращаясь в хондроциты в лакунах. Далее вследствие нарушения синтетических и секреторных процессов в хондроцитах они после деления далеко не расходятся и образуют так называемые изогенные группы хрящевых клеток, зрелые </w:t>
      </w:r>
      <w:r>
        <w:t>хондроциты [11, 219].</w:t>
      </w:r>
    </w:p>
    <w:p w:rsidR="004B6076" w:rsidRDefault="009E1091">
      <w:pPr>
        <w:ind w:left="-5" w:right="22"/>
      </w:pPr>
      <w:r>
        <w:t>Снаружи ЩХ покрыт надхрящницей, под которой располагаются молодые хондроциты веретенообразной формы. В более глубоких слоях хрящевые клетки увеличиваются в размере и приобретают овальную, округлую или кубическую форму.</w:t>
      </w:r>
    </w:p>
    <w:p w:rsidR="004B6076" w:rsidRDefault="009E1091">
      <w:pPr>
        <w:spacing w:after="0"/>
        <w:ind w:left="-5" w:right="22"/>
      </w:pPr>
      <w:r>
        <w:t>С возрастом в х</w:t>
      </w:r>
      <w:r>
        <w:t>рящевой ткани уменьшаются концентрация глюкозоаминогликанов, количество внутриклеточной жидкости, появляются асбестовые волокна (скопление коллагеновых фибрилл), ослабляются процессы деления клеток, что приводит к дегенеративным перестройкам хряща. С помощ</w:t>
      </w:r>
      <w:r>
        <w:t>ью хондрокластов происходит резорбция дистрофически измененных клеток и межклеточного вещества. Отмечено, что в зонах перестройки хряща могут появиться кровеносные сосуды или начаться процессы кальцификации [202, 244]. Также была отмечена важная роль апопт</w:t>
      </w:r>
      <w:r>
        <w:t>озахондроцитов в возрастных изменениях хряща.</w:t>
      </w:r>
    </w:p>
    <w:p w:rsidR="004B6076" w:rsidRDefault="009E1091">
      <w:pPr>
        <w:ind w:left="-5" w:right="22"/>
      </w:pPr>
      <w:r>
        <w:t>Апоптоз является важной составляющей механизма гибели хондроцитов в процессе эндохондрального окостенения [221].</w:t>
      </w:r>
    </w:p>
    <w:p w:rsidR="004B6076" w:rsidRDefault="009E1091">
      <w:pPr>
        <w:ind w:left="-5" w:right="22"/>
      </w:pPr>
      <w:r>
        <w:t>Процесс эндохондрального окостенения происходит в детском возрасте, когда на замену гиалиновому хрящу приходит кость. Кроме того, данный тип хряща формирует эпифизарную пластину роста и суставную поверхность на костях [363]. Энхондральная оссификация — это</w:t>
      </w:r>
      <w:r>
        <w:t xml:space="preserve"> сложный процесс, во время которого покоящиеся хондроциты подвергаются быстрой клеточной пролиферации, затем гипертрофируются, подвергаются минерализации, клеточной гибели и замещаются костными клетками. Ультраструктурный анализ показал, что процесс минера</w:t>
      </w:r>
      <w:r>
        <w:t>лизации в ЩХ начинается близко к хрящевым каналам, содержащим коллагеновые (асбестовые) волокна [221]. Причины возникновения этих процессов до конца не поняты. Kirsсh и Сlaassen установили непосредственную взаимосвязь между пузырьками в межклеточном вещест</w:t>
      </w:r>
      <w:r>
        <w:t>ве хряща, содержащими «игольчатые кристаллы», и местами возникновения полей минерализации в ЩХ в процессе эндохондральной оссификации.</w:t>
      </w:r>
    </w:p>
    <w:p w:rsidR="004B6076" w:rsidRDefault="009E1091">
      <w:pPr>
        <w:ind w:left="-5" w:right="22"/>
      </w:pPr>
      <w:r>
        <w:t>С помощью иммуногистохимических исследований было показано, что большое количество зрелых хондроцитов подвергается запрог</w:t>
      </w:r>
      <w:r>
        <w:t>раммированной клеточной гибели, сопровождающейся клеточной фрагментацией и гидропическим отеком клеток, что также вносит свой вклад в возрастную перестройку структуры ЩХ. Как и многие хрящи человека, ЩХ подвергается оссификации и кальцификации с возрастом.</w:t>
      </w:r>
      <w:r>
        <w:t xml:space="preserve"> Отметим, что это два разных процесса, причем кальцификация всегда предшествует оссификации [338]. Вышеописанные изменения являются естественными процессами минерализации хрящевой ткани, которые обычно начинаются после подросткового периода и постепенно ак</w:t>
      </w:r>
      <w:r>
        <w:t>тивизируются с возрастом [337].</w:t>
      </w:r>
    </w:p>
    <w:p w:rsidR="004B6076" w:rsidRDefault="009E1091">
      <w:pPr>
        <w:ind w:left="-5" w:right="22"/>
      </w:pPr>
      <w:r>
        <w:rPr>
          <w:b/>
        </w:rPr>
        <w:t xml:space="preserve">Возможность идентификации личности по возрастным особенностям ЩХ. </w:t>
      </w:r>
      <w:r>
        <w:t xml:space="preserve">Анализ современной отечественной и зарубежной литературы показал, что изучение ЩХ в целях идентификации имеет разрозненные данные о его гендерных различиях [51, 186, 220, 295] и возрастных изменениях в отдельные возрастные периоды и большую вариабельность </w:t>
      </w:r>
      <w:r>
        <w:t>полученных данных [220, 230, 231, 249, 337, 338, 341].</w:t>
      </w:r>
    </w:p>
    <w:p w:rsidR="004B6076" w:rsidRDefault="009E1091">
      <w:pPr>
        <w:ind w:left="-5" w:right="22"/>
      </w:pPr>
      <w:r>
        <w:t>По данным отечественных ученых, обызвествление хрящей гортани и замещение их костной тканью является физиологическим процессом и начинается с момента прекращения роста скелета, с периода полового созре</w:t>
      </w:r>
      <w:r>
        <w:t xml:space="preserve">вания, и увеличивается с возрастом [51]. В результате другого исследования И.В. Грабова и Л.В. Дервисье более точно установлено, что окостенение хрящей гортани начинается с ЩХ в возрасте 19–20 лет у мужчин, с 18 лет — у женщин. Было доказано, что скорость </w:t>
      </w:r>
      <w:r>
        <w:t>процесса окостенения зависит не только от пола и возраста, но и от влияния эндокринной системы и работы мышц [63].</w:t>
      </w:r>
    </w:p>
    <w:p w:rsidR="004B6076" w:rsidRDefault="009E1091">
      <w:pPr>
        <w:ind w:left="-5" w:right="22"/>
      </w:pPr>
      <w:r>
        <w:t>Литературные данные о рентгенанатомии ЩХ имеют отрывочный характер. Показано, что необызвествленный хрящ частично задерживает рентгеновские л</w:t>
      </w:r>
      <w:r>
        <w:t>учи и представлен гомогенной малоинтенсивной тенью на уровне IV–VI позвонков. С возрастом в результате обызвествления тень хряща становится более отчетливой, и хорошо заметна его конфигурация. В пожилом и старческом возрасте ЩХ приобретает тонкую костную с</w:t>
      </w:r>
      <w:r>
        <w:t>труктуру, напоминающую атрофированную кость [243].</w:t>
      </w:r>
    </w:p>
    <w:p w:rsidR="004B6076" w:rsidRDefault="009E1091">
      <w:pPr>
        <w:ind w:left="-5" w:right="22"/>
      </w:pPr>
      <w:r>
        <w:t>В 1959 г. С.Б. Зелигман на 844 образцах гортани от мужчин и женщин проследил их возрастные изменения и сделал вывод о естественной природе замещения хрящевой ткани на костную. Эти изменения он расценил как</w:t>
      </w:r>
      <w:r>
        <w:t xml:space="preserve"> закономерные возрастные преобразования, которые начинаются в 16 лет у мужчин и в 17 лет у женщин. Особо было отмечено, что данную особенность строения гортани можно использовать для определения возраста и пола индивида [51].</w:t>
      </w:r>
    </w:p>
    <w:p w:rsidR="004B6076" w:rsidRDefault="009E1091">
      <w:pPr>
        <w:ind w:left="-5" w:right="22"/>
      </w:pPr>
      <w:r>
        <w:t>Вопросы возрастных особенносте</w:t>
      </w:r>
      <w:r>
        <w:t xml:space="preserve">й ЩХ широко освещены в работах L.M. Turk и соавт. Они проследили различные изменения в хрящах гортани человека рентгенографическими и гистологическими методами на 48 трупах (21 труп мужского пола и 27 трупов женского пола) в диапазоне от 14 до 101 года. У </w:t>
      </w:r>
      <w:r>
        <w:t xml:space="preserve">всех объектов исследования наблюдались рентгенологические признаки кальцификации гиалиновых хрящевых тканей хрящей гортани. Гистологическое исследование показало различные дегенеративные процессы, включая кальцификацию, но также выявило оссификацию даже у </w:t>
      </w:r>
      <w:r>
        <w:t>некоторых молодых образцов. Был сделан вывод о том, что рентгенологическое исследование было точным методом обнаружения кальцификации и оссификации, которые были различимы, так как более крупные массы кальцифицированного хряща имеют плотный однородный рент</w:t>
      </w:r>
      <w:r>
        <w:t>генологический вид, в отличие от трабекулярного рисунка кости [395].</w:t>
      </w:r>
    </w:p>
    <w:p w:rsidR="004B6076" w:rsidRDefault="009E1091">
      <w:pPr>
        <w:ind w:left="-5" w:right="22"/>
      </w:pPr>
      <w:r>
        <w:t>Известно, что хрящи гортани с возрастом претерпевают изменения, к числу которых относятся минерализация и окостенение. G.L. de la Grandmaisоn и соавт. количественно проанализировали степе</w:t>
      </w:r>
      <w:r>
        <w:t>нь непроницаемости гортанных хрящей для ионизирующего излучения, чтобы определить, может ли рентген гортани использоваться в судебной медицине для оценки возраста человека. Была выявлена положительная корреляция между степенью полной непроницаемости для ио</w:t>
      </w:r>
      <w:r>
        <w:t>низирующего излучения гортани и возрастом, получен коэффициент корреляции 0,7 [231].</w:t>
      </w:r>
    </w:p>
    <w:p w:rsidR="004B6076" w:rsidRDefault="009E1091">
      <w:pPr>
        <w:ind w:left="-5" w:right="22"/>
      </w:pPr>
      <w:r>
        <w:t xml:space="preserve">S. Türkmen и соавт. проводили ретроспективное исследование по определению рентгенологических физиологических возрастных изменений в гортани у 300 человек. Авторы обратили </w:t>
      </w:r>
      <w:r>
        <w:t>внимание, что окостенение в ЩХ началось в нижнем роге и прогрессировало до переднего рога по центральной тонкой пластинке. Исследователи пришли к выводу, что возрастные изменения гортанных тканей очевидны на рентгенограммах, а потому рентгенографию ЩХ можн</w:t>
      </w:r>
      <w:r>
        <w:t>о использовать как эффективный метод идентификации возраста [396].</w:t>
      </w:r>
    </w:p>
    <w:p w:rsidR="004B6076" w:rsidRDefault="009E1091">
      <w:pPr>
        <w:ind w:left="-5" w:right="22"/>
      </w:pPr>
      <w:r>
        <w:t>M. Mupparapu и соавт. провели ряд исследований для определения изменений физиологического окостенения гортанных хрящей, оценив рентгенограммы шеи здоровых мужчин и женщин (n=359). Частоты и</w:t>
      </w:r>
      <w:r>
        <w:t xml:space="preserve"> доверительные интервалы были получены и сведены в таблицу показателей окостенения ЩХ и перстневидного хряща. Окостенение ЩХ наблюдалось чаще по сравнению с перстневидным хрящом. Различные степени окостенения ЩХ и перстневидного хряща были обнаружены у 186</w:t>
      </w:r>
      <w:r>
        <w:t xml:space="preserve"> пациентов в возрасте 30 лет и старше. Рентгенологически было установлено, что темпы окостенения увеличиваются с возрастом, наиболее активно — после 30 лет [338].</w:t>
      </w:r>
    </w:p>
    <w:p w:rsidR="004B6076" w:rsidRDefault="009E1091">
      <w:pPr>
        <w:ind w:left="-5" w:right="22"/>
      </w:pPr>
      <w:r>
        <w:t>В другом исследовании J. Сheng и соавт. искали точный метод определения возраста лиц мужского</w:t>
      </w:r>
      <w:r>
        <w:t xml:space="preserve"> пола. В исследование были включены 73 мужчины, возраст которых был известен. Восемь показателей отобрали по рентгенограммам, которые были разделены на шесть уровней, а затем выстраивали математическую модель, чтобы определить возраст методом линейной регр</w:t>
      </w:r>
      <w:r>
        <w:t>ессии. В результате среднеквадратичное отклонение для ЩХ у мужчин составило 1,854, а коэффициент корреляции — 0,9971. Таким образом, наблюдение доказало, что оценка возраста с помощью рентгенографических показателей ЩХ может подойти для возрастной идентифи</w:t>
      </w:r>
      <w:r>
        <w:t>кации лиц мужского пола от 13 до 67 лет [216].</w:t>
      </w:r>
    </w:p>
    <w:p w:rsidR="004B6076" w:rsidRDefault="009E1091">
      <w:pPr>
        <w:ind w:left="-5" w:right="22"/>
      </w:pPr>
      <w:r>
        <w:t>K.D. Dang-Tran и соавт. в своей работе пришли к выводу, что дальнейшее усовершенствование методов рентгенологической визуализации ЩХ позволит более точно оценивать временные рамки его окостенения. Авторы ретро</w:t>
      </w:r>
      <w:r>
        <w:t xml:space="preserve">спективно проанализировали снимки компьютерной томографии 312 французских пациентов с применением программной постобработки, чтобы исследовать образец окостенения ЩХ, вычислив костный объем хряща на 3D-реконструкциях. Коэффициенты корреляции Пирсона между </w:t>
      </w:r>
      <w:r>
        <w:t>возрастом и морфологическими изменениями ЩХ составили 0,73 для мужчин и 0,75 для женщин (среднее квадратичное отклонение — 18,02 и 17,06) и указывали на значительную межличностную изменчивость. Хотя корреляция между возрастом и морфологическими изменениями</w:t>
      </w:r>
      <w:r>
        <w:t xml:space="preserve"> ЩХ была найдена, авторы отмечают, что данный метод изучения окостенения ЩХ был недостаточно точным для оценки возраста конкретного индивида [230].</w:t>
      </w:r>
    </w:p>
    <w:p w:rsidR="004B6076" w:rsidRDefault="009E1091">
      <w:pPr>
        <w:ind w:left="-5" w:right="22"/>
      </w:pPr>
      <w:r>
        <w:t xml:space="preserve">Из-за увеличивающейся с возрастом хрупкости ЩХ весьма подвержен повреждению при травмах шеи, особенно у лиц </w:t>
      </w:r>
      <w:r>
        <w:t>старшего возраста. Р. Naimо и соавт. провели исследование компьютерных томограмм головы и шеи 431 умершего человека в возрасте от 1 дня до 100 лет, включая 25 жертв удушения, для оценки их возрастных изменений. Было обнаружено, что связь возраста и окостен</w:t>
      </w:r>
      <w:r>
        <w:t>ения существует, но в этом исследовании не было возможности установить узкие диапазоны возраста по степени кальцификации ЩХ [341, 346].</w:t>
      </w:r>
    </w:p>
    <w:p w:rsidR="004B6076" w:rsidRDefault="009E1091">
      <w:pPr>
        <w:ind w:left="-5" w:right="22"/>
      </w:pPr>
      <w:r>
        <w:t>В зарубежной литературе имеется ряд работ по изучению антропометрических характеристик ЩХ в различных популяциях. Провед</w:t>
      </w:r>
      <w:r>
        <w:t>ено исследование взрослого населения Хорватии [295], Нигерии [186], Индии [333] и др. Во всех работах была обнаружена значительная разница размеров ЩХ у мужчин и женщин, но отсутствуют данные об их возрастных изменениях.</w:t>
      </w:r>
    </w:p>
    <w:p w:rsidR="004B6076" w:rsidRDefault="009E1091">
      <w:pPr>
        <w:ind w:left="-5" w:right="22"/>
      </w:pPr>
      <w:r>
        <w:t>Таким образом, на основании предста</w:t>
      </w:r>
      <w:r>
        <w:t>вленных данных можно заключить, что в литературе имеются разрозненные сведения, касающиеся рентгенологических, антропометрических, гистологических особенностей строения ЩХ человека. Описана динамика окостенения и строения, но отсутствует подробное описание</w:t>
      </w:r>
      <w:r>
        <w:t xml:space="preserve"> его гистологической структуры в различные возрастные периоды. При этом следует отметить, что в большинстве работ отсутствуют количественные характеристики изучаемых показателей, так же как и комплексный подход к изучению его возрастных изменений и половых</w:t>
      </w:r>
      <w:r>
        <w:t xml:space="preserve"> отличий.</w:t>
      </w:r>
    </w:p>
    <w:p w:rsidR="004B6076" w:rsidRDefault="009E1091">
      <w:pPr>
        <w:spacing w:after="158" w:line="270" w:lineRule="auto"/>
        <w:ind w:left="-5" w:right="156"/>
      </w:pPr>
      <w:r>
        <w:rPr>
          <w:b/>
        </w:rPr>
        <w:t>Методика исследования</w:t>
      </w:r>
    </w:p>
    <w:p w:rsidR="004B6076" w:rsidRDefault="009E1091">
      <w:pPr>
        <w:ind w:left="-5" w:right="22"/>
      </w:pPr>
      <w:r>
        <w:rPr>
          <w:i/>
        </w:rPr>
        <w:t xml:space="preserve">Рентгенологический метод. </w:t>
      </w:r>
      <w:r>
        <w:t>Рентгенологическое исследование ЩХ выполняется в передней проекции при помощи рентгенаппарата (например, SRI, модель SR-130 SDU, при следующих параметрах: KVP — 40, MAS — 0,7, TIME — 0,05, L — 86 см</w:t>
      </w:r>
      <w:r>
        <w:t>), с записью результатов в графические файлы формата DIСОMс последующей конвертацией в JPEG-формат. Полученное графическое изображение рентгенограммы ЩХ исследуется с помощью программы графического анализа изображений (Adоbe Phоtоshоp СS6).</w:t>
      </w:r>
    </w:p>
    <w:p w:rsidR="004B6076" w:rsidRDefault="009E1091">
      <w:pPr>
        <w:ind w:left="-5" w:right="22"/>
      </w:pPr>
      <w:r>
        <w:t>Алгоритм исслед</w:t>
      </w:r>
      <w:r>
        <w:t>ования включает следующие этапы: определение на снимке рентгенограмм общей площади ЩХ, вычисление площади костной, хрящевой ткани в процентах и их соотношения относительно друг друга (рис. 2.2.1, 2.2.2).</w:t>
      </w:r>
    </w:p>
    <w:p w:rsidR="004B6076" w:rsidRDefault="009E1091">
      <w:pPr>
        <w:ind w:left="-5" w:right="22"/>
      </w:pPr>
      <w:r>
        <w:rPr>
          <w:i/>
        </w:rPr>
        <w:t xml:space="preserve">Гистологический метод. </w:t>
      </w:r>
      <w:r>
        <w:t>Для гистологического исследов</w:t>
      </w:r>
      <w:r>
        <w:t>ания при вскрытии трупов необходимо изъять подъязычно-гортаннотрахеальный комплекс, провести его внешний осмотр и мануальное исследование. Далее — провести скелетирование и отслойку надхрящницы с последующим забором части правой пластинки ЩХ размером до 1,</w:t>
      </w:r>
      <w:r>
        <w:t>5 см (рис. 2.2.3).</w:t>
      </w:r>
    </w:p>
    <w:p w:rsidR="004B6076" w:rsidRDefault="009E1091">
      <w:pPr>
        <w:spacing w:after="13"/>
        <w:ind w:left="-5" w:right="22"/>
      </w:pPr>
      <w:r>
        <w:rPr>
          <w:b/>
        </w:rPr>
        <w:t>Рис. 2.2.1.</w:t>
      </w:r>
      <w:r>
        <w:t xml:space="preserve"> Метод измерения площади щитовидного хряща с помощью программы Adоbe Phоtоshоp СS6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20413" cy="1768286"/>
            <wp:effectExtent l="0" t="0" r="0" b="0"/>
            <wp:docPr id="1380" name="Picture 13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" name="Picture 1380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620413" cy="1768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0"/>
        <w:ind w:left="-5" w:right="22"/>
      </w:pPr>
      <w:r>
        <w:rPr>
          <w:noProof/>
        </w:rPr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650901" cy="2073163"/>
            <wp:effectExtent l="0" t="0" r="0" b="0"/>
            <wp:wrapTopAndBottom/>
            <wp:docPr id="1376" name="Picture 13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" name="Picture 1376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50901" cy="2073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Рис. 2.2.2.</w:t>
      </w:r>
      <w:r>
        <w:t xml:space="preserve"> Метод измерения площади окостенения щитовидного хряща на рентгенограммах с помощью программы Adоbe Phоtоshоp СS6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460353"/>
                <wp:effectExtent l="0" t="0" r="0" b="0"/>
                <wp:docPr id="111745" name="Group 1117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460353"/>
                          <a:chOff x="0" y="0"/>
                          <a:chExt cx="4062485" cy="3460353"/>
                        </a:xfrm>
                      </wpg:grpSpPr>
                      <wps:wsp>
                        <wps:cNvPr id="1386" name="Shape 1386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89" name="Shape 1389"/>
                        <wps:cNvSpPr/>
                        <wps:spPr>
                          <a:xfrm>
                            <a:off x="7622" y="3456533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47" name="Shape 157447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48" name="Shape 157448"/>
                        <wps:cNvSpPr/>
                        <wps:spPr>
                          <a:xfrm>
                            <a:off x="0" y="345273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2" name="Shape 1392"/>
                        <wps:cNvSpPr/>
                        <wps:spPr>
                          <a:xfrm>
                            <a:off x="3811" y="7615"/>
                            <a:ext cx="0" cy="3445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45123">
                                <a:moveTo>
                                  <a:pt x="0" y="0"/>
                                </a:moveTo>
                                <a:lnTo>
                                  <a:pt x="0" y="344512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49" name="Shape 157449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50" name="Shape 157450"/>
                        <wps:cNvSpPr/>
                        <wps:spPr>
                          <a:xfrm>
                            <a:off x="4054863" y="345273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5" name="Shape 1395"/>
                        <wps:cNvSpPr/>
                        <wps:spPr>
                          <a:xfrm>
                            <a:off x="4058674" y="7615"/>
                            <a:ext cx="0" cy="3445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45123">
                                <a:moveTo>
                                  <a:pt x="0" y="0"/>
                                </a:moveTo>
                                <a:lnTo>
                                  <a:pt x="0" y="344512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97" name="Picture 139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1"/>
                            <a:ext cx="4047241" cy="344510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745" style="width:319.881pt;height:272.469pt;mso-position-horizontal-relative:char;mso-position-vertical-relative:line" coordsize="40624,34603">
                <v:shape id="Shape 1386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389" style="position:absolute;width:40472;height:0;left:76;top:34565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451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52" style="position:absolute;width:91;height:91;left:0;top:34527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392" style="position:absolute;width:0;height:34451;left:38;top:76;" coordsize="0,3445123" path="m0,0l0,3445123">
                  <v:stroke weight="0.600151pt" endcap="flat" dashstyle="1 1" joinstyle="bevel" on="true" color="#c0c0c0"/>
                  <v:fill on="false" color="#000000" opacity="0"/>
                </v:shape>
                <v:shape id="Shape 157453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54" style="position:absolute;width:91;height:91;left:40548;top:34527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395" style="position:absolute;width:0;height:34451;left:40586;top:76;" coordsize="0,3445123" path="m0,0l0,3445123">
                  <v:stroke weight="0.600151pt" endcap="flat" dashstyle="1 1" joinstyle="bevel" on="true" color="#c0c0c0"/>
                  <v:fill on="false" color="#000000" opacity="0"/>
                </v:shape>
                <v:shape id="Picture 1397" style="position:absolute;width:40472;height:34451;left:76;top:76;" filled="f">
                  <v:imagedata r:id="rId42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2.2.3.</w:t>
      </w:r>
      <w:r>
        <w:t xml:space="preserve"> Схема забора материала для гистологического исследования</w:t>
      </w:r>
    </w:p>
    <w:p w:rsidR="004B6076" w:rsidRDefault="009E1091">
      <w:pPr>
        <w:spacing w:after="13"/>
        <w:ind w:left="-5" w:right="22"/>
      </w:pPr>
      <w:r>
        <w:t>Приготовление препаратов из ЩХ осуществляется по методике, включающей стандартные процедуры: это фиксация в</w:t>
      </w:r>
    </w:p>
    <w:p w:rsidR="004B6076" w:rsidRDefault="009E1091">
      <w:pPr>
        <w:spacing w:after="0" w:line="265" w:lineRule="auto"/>
        <w:ind w:left="4847"/>
      </w:pPr>
      <w:r>
        <w:rPr>
          <w:sz w:val="16"/>
        </w:rPr>
        <w:t>♠</w:t>
      </w:r>
    </w:p>
    <w:p w:rsidR="004B6076" w:rsidRDefault="009E1091">
      <w:pPr>
        <w:ind w:left="-5" w:right="22"/>
      </w:pPr>
      <w:r>
        <w:t>забуференном растворе формальдегида (Формалина ) (10%) → промывка → стандартная спиртова</w:t>
      </w:r>
      <w:r>
        <w:t>я проводка → декальцинация срезов в 12-процентном растворе азотной кислоты → заливка в парафин жидкий → изготовление срезов толщиной 5–7 мкм → окраска гематоксилин-эозином.</w:t>
      </w:r>
    </w:p>
    <w:p w:rsidR="004B6076" w:rsidRDefault="009E1091">
      <w:pPr>
        <w:spacing w:after="0"/>
        <w:ind w:left="-5" w:right="22"/>
      </w:pPr>
      <w:r>
        <w:t xml:space="preserve">С помощью микроскопа в каждом объекте проводят микрофотографирование с проведением </w:t>
      </w:r>
      <w:r>
        <w:t>дальнейшего морфометрического измерения, используя программу для морфометрического исследования и программу графического анализа изображений (Adоbe Phоtоshоp СS6). Дальнейшая морфометрия проводится в соответствии с общими методологическими рекомендациями</w:t>
      </w:r>
    </w:p>
    <w:p w:rsidR="004B6076" w:rsidRDefault="009E1091">
      <w:pPr>
        <w:ind w:left="-5" w:right="22"/>
      </w:pPr>
      <w:r>
        <w:t>[</w:t>
      </w:r>
      <w:r>
        <w:t>1, 23, 24, 154, 232].</w:t>
      </w:r>
    </w:p>
    <w:p w:rsidR="004B6076" w:rsidRDefault="009E1091">
      <w:pPr>
        <w:spacing w:after="0"/>
        <w:ind w:left="-5" w:right="22"/>
      </w:pPr>
      <w:r>
        <w:t>В каждом объекте в трех полях зрения микроскопа с пропуском двух-трех полей зрения осуществляется измерение следующих параметров: площадь костной ткани, площадь хрящевой ткани, средняя площадь костной ткани в поле зрения, средняя площ</w:t>
      </w:r>
      <w:r>
        <w:t>адь хрящевой ткани в поле зрения, средняя ширина хрящевой пластинки, толщина кортикальной пластинки, количество трабекул в препарате и в поле зрения микроскопа, средняя площадь трабекул, средняя длина трабекул, максимальная толщина трабекул, минимальная то</w:t>
      </w:r>
      <w:r>
        <w:t xml:space="preserve">лщина трабекул, средняя толщина трабекул, количество молодых хондроцитов, количество зрелых хондроцитов, ширина зоны молодого хряща, ширина зоны зрелого хряща, соотношение зон зрелого и молодого хряща, площадь ретикулярной и жировой ткани и их соотношение </w:t>
      </w:r>
      <w:r>
        <w:t>(табл. 2.2.1, рис. 2.2.4–2.2.7). Методика проведения измерений представлена в табл. 2.2.2.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522860"/>
                <wp:effectExtent l="0" t="0" r="0" b="0"/>
                <wp:docPr id="108917" name="Group 1089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522860"/>
                          <a:chOff x="0" y="0"/>
                          <a:chExt cx="4062485" cy="2522860"/>
                        </a:xfrm>
                      </wpg:grpSpPr>
                      <wps:wsp>
                        <wps:cNvPr id="1429" name="Shape 1429"/>
                        <wps:cNvSpPr/>
                        <wps:spPr>
                          <a:xfrm>
                            <a:off x="7622" y="379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2" name="Shape 1432"/>
                        <wps:cNvSpPr/>
                        <wps:spPr>
                          <a:xfrm>
                            <a:off x="7622" y="251904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55" name="Shape 15745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56" name="Shape 157456"/>
                        <wps:cNvSpPr/>
                        <wps:spPr>
                          <a:xfrm>
                            <a:off x="0" y="251522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5" name="Shape 1435"/>
                        <wps:cNvSpPr/>
                        <wps:spPr>
                          <a:xfrm>
                            <a:off x="3811" y="7615"/>
                            <a:ext cx="0" cy="2507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7605">
                                <a:moveTo>
                                  <a:pt x="0" y="0"/>
                                </a:moveTo>
                                <a:lnTo>
                                  <a:pt x="0" y="250760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57" name="Shape 157457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58" name="Shape 157458"/>
                        <wps:cNvSpPr/>
                        <wps:spPr>
                          <a:xfrm>
                            <a:off x="4054863" y="251522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8" name="Shape 1438"/>
                        <wps:cNvSpPr/>
                        <wps:spPr>
                          <a:xfrm>
                            <a:off x="4058674" y="7615"/>
                            <a:ext cx="0" cy="2507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7605">
                                <a:moveTo>
                                  <a:pt x="0" y="0"/>
                                </a:moveTo>
                                <a:lnTo>
                                  <a:pt x="0" y="250760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40" name="Picture 144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34"/>
                            <a:ext cx="4047241" cy="250761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8917" style="width:319.881pt;height:198.65pt;mso-position-horizontal-relative:char;mso-position-vertical-relative:line" coordsize="40624,25228">
                <v:shape id="Shape 1429" style="position:absolute;width:40472;height:0;left:76;top:3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432" style="position:absolute;width:40472;height:0;left:76;top:25190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459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60" style="position:absolute;width:91;height:91;left:0;top:2515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435" style="position:absolute;width:0;height:25076;left:38;top:76;" coordsize="0,2507605" path="m0,0l0,2507605">
                  <v:stroke weight="0.600151pt" endcap="flat" dashstyle="1 1" joinstyle="bevel" on="true" color="#c0c0c0"/>
                  <v:fill on="false" color="#000000" opacity="0"/>
                </v:shape>
                <v:shape id="Shape 157461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62" style="position:absolute;width:91;height:91;left:40548;top:2515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438" style="position:absolute;width:0;height:25076;left:40586;top:76;" coordsize="0,2507605" path="m0,0l0,2507605">
                  <v:stroke weight="0.600151pt" endcap="flat" dashstyle="1 1" joinstyle="bevel" on="true" color="#c0c0c0"/>
                  <v:fill on="false" color="#000000" opacity="0"/>
                </v:shape>
                <v:shape id="Picture 1440" style="position:absolute;width:40472;height:25076;left:76;top:76;" filled="f">
                  <v:imagedata r:id="rId44"/>
                </v:shape>
              </v:group>
            </w:pict>
          </mc:Fallback>
        </mc:AlternateContent>
      </w:r>
    </w:p>
    <w:p w:rsidR="004B6076" w:rsidRDefault="009E1091">
      <w:pPr>
        <w:spacing w:after="13"/>
        <w:ind w:left="-5" w:right="22"/>
      </w:pPr>
      <w:r>
        <w:rPr>
          <w:b/>
        </w:rPr>
        <w:t>Рис. 2.2.4.</w:t>
      </w:r>
      <w:r>
        <w:t xml:space="preserve"> Измерение площади костной ткани в поле зрения. Окраска гематоксилин-эозином,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048769"/>
                <wp:effectExtent l="0" t="0" r="0" b="0"/>
                <wp:docPr id="108918" name="Group 1089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048769"/>
                          <a:chOff x="0" y="0"/>
                          <a:chExt cx="4062485" cy="3048769"/>
                        </a:xfrm>
                      </wpg:grpSpPr>
                      <wps:wsp>
                        <wps:cNvPr id="1445" name="Shape 1445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48" name="Shape 1448"/>
                        <wps:cNvSpPr/>
                        <wps:spPr>
                          <a:xfrm>
                            <a:off x="7622" y="3044974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63" name="Shape 157463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64" name="Shape 157464"/>
                        <wps:cNvSpPr/>
                        <wps:spPr>
                          <a:xfrm>
                            <a:off x="0" y="304115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1" name="Shape 1451"/>
                        <wps:cNvSpPr/>
                        <wps:spPr>
                          <a:xfrm>
                            <a:off x="3811" y="7640"/>
                            <a:ext cx="0" cy="3033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33514">
                                <a:moveTo>
                                  <a:pt x="0" y="0"/>
                                </a:moveTo>
                                <a:lnTo>
                                  <a:pt x="0" y="303351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65" name="Shape 157465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66" name="Shape 157466"/>
                        <wps:cNvSpPr/>
                        <wps:spPr>
                          <a:xfrm>
                            <a:off x="4054863" y="304115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4" name="Shape 1454"/>
                        <wps:cNvSpPr/>
                        <wps:spPr>
                          <a:xfrm>
                            <a:off x="4058674" y="7640"/>
                            <a:ext cx="0" cy="3033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33514">
                                <a:moveTo>
                                  <a:pt x="0" y="0"/>
                                </a:moveTo>
                                <a:lnTo>
                                  <a:pt x="0" y="303351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56" name="Picture 145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52"/>
                            <a:ext cx="4047241" cy="30335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8918" style="width:319.881pt;height:240.061pt;mso-position-horizontal-relative:char;mso-position-vertical-relative:line" coordsize="40624,30487">
                <v:shape id="Shape 1445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448" style="position:absolute;width:40472;height:0;left:76;top:30449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467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68" style="position:absolute;width:91;height:91;left:0;top:30411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451" style="position:absolute;width:0;height:30335;left:38;top:76;" coordsize="0,3033514" path="m0,0l0,3033514">
                  <v:stroke weight="0.600151pt" endcap="flat" dashstyle="1 1" joinstyle="bevel" on="true" color="#c0c0c0"/>
                  <v:fill on="false" color="#000000" opacity="0"/>
                </v:shape>
                <v:shape id="Shape 157469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70" style="position:absolute;width:91;height:91;left:40548;top:30411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454" style="position:absolute;width:0;height:30335;left:40586;top:76;" coordsize="0,3033514" path="m0,0l0,3033514">
                  <v:stroke weight="0.600151pt" endcap="flat" dashstyle="1 1" joinstyle="bevel" on="true" color="#c0c0c0"/>
                  <v:fill on="false" color="#000000" opacity="0"/>
                </v:shape>
                <v:shape id="Picture 1456" style="position:absolute;width:40472;height:30335;left:76;top:76;" filled="f">
                  <v:imagedata r:id="rId46"/>
                </v:shape>
              </v:group>
            </w:pict>
          </mc:Fallback>
        </mc:AlternateContent>
      </w:r>
    </w:p>
    <w:p w:rsidR="004B6076" w:rsidRDefault="009E1091">
      <w:pPr>
        <w:spacing w:after="13"/>
        <w:ind w:left="-5" w:right="22"/>
      </w:pPr>
      <w:r>
        <w:rPr>
          <w:b/>
        </w:rPr>
        <w:t>Рис. 2.2.5.</w:t>
      </w:r>
      <w:r>
        <w:t xml:space="preserve"> Измерение количества молодых хондроцитов в поле зрения.</w:t>
      </w:r>
      <w:r>
        <w:t xml:space="preserve"> Окраска гематоксилин-эозином,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469505"/>
                <wp:effectExtent l="0" t="0" r="0" b="0"/>
                <wp:docPr id="108919" name="Group 1089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469505"/>
                          <a:chOff x="0" y="0"/>
                          <a:chExt cx="4062485" cy="2469505"/>
                        </a:xfrm>
                      </wpg:grpSpPr>
                      <wps:wsp>
                        <wps:cNvPr id="1461" name="Shape 1461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4" name="Shape 1464"/>
                        <wps:cNvSpPr/>
                        <wps:spPr>
                          <a:xfrm>
                            <a:off x="7622" y="246571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71" name="Shape 157471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72" name="Shape 157472"/>
                        <wps:cNvSpPr/>
                        <wps:spPr>
                          <a:xfrm>
                            <a:off x="0" y="246189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7" name="Shape 1467"/>
                        <wps:cNvSpPr/>
                        <wps:spPr>
                          <a:xfrm>
                            <a:off x="3811" y="7640"/>
                            <a:ext cx="0" cy="2454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4250">
                                <a:moveTo>
                                  <a:pt x="0" y="0"/>
                                </a:moveTo>
                                <a:lnTo>
                                  <a:pt x="0" y="245425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73" name="Shape 157473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74" name="Shape 157474"/>
                        <wps:cNvSpPr/>
                        <wps:spPr>
                          <a:xfrm>
                            <a:off x="4054863" y="246189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70" name="Shape 1470"/>
                        <wps:cNvSpPr/>
                        <wps:spPr>
                          <a:xfrm>
                            <a:off x="4058674" y="7640"/>
                            <a:ext cx="0" cy="2454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4250">
                                <a:moveTo>
                                  <a:pt x="0" y="0"/>
                                </a:moveTo>
                                <a:lnTo>
                                  <a:pt x="0" y="245425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72" name="Picture 147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40"/>
                            <a:ext cx="4047241" cy="245425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8919" style="width:319.881pt;height:194.449pt;mso-position-horizontal-relative:char;mso-position-vertical-relative:line" coordsize="40624,24695">
                <v:shape id="Shape 1461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464" style="position:absolute;width:40472;height:0;left:76;top:2465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475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76" style="position:absolute;width:91;height:91;left:0;top:24618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467" style="position:absolute;width:0;height:24542;left:38;top:76;" coordsize="0,2454250" path="m0,0l0,2454250">
                  <v:stroke weight="0.600151pt" endcap="flat" dashstyle="1 1" joinstyle="bevel" on="true" color="#c0c0c0"/>
                  <v:fill on="false" color="#000000" opacity="0"/>
                </v:shape>
                <v:shape id="Shape 157477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78" style="position:absolute;width:91;height:91;left:40548;top:24618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470" style="position:absolute;width:0;height:24542;left:40586;top:76;" coordsize="0,2454250" path="m0,0l0,2454250">
                  <v:stroke weight="0.600151pt" endcap="flat" dashstyle="1 1" joinstyle="bevel" on="true" color="#c0c0c0"/>
                  <v:fill on="false" color="#000000" opacity="0"/>
                </v:shape>
                <v:shape id="Picture 1472" style="position:absolute;width:40472;height:24542;left:76;top:76;" filled="f">
                  <v:imagedata r:id="rId48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2.2.6.</w:t>
      </w:r>
      <w:r>
        <w:t xml:space="preserve"> Измерение толщины и длины трабекул, измерение зоны молодого и зрелого хряща. Окрашивание гематоксилинэозином. Микрофотография, ×100</w:t>
      </w:r>
    </w:p>
    <w:p w:rsidR="004B6076" w:rsidRDefault="009E1091">
      <w:pPr>
        <w:spacing w:after="13"/>
        <w:ind w:left="-5" w:right="22"/>
      </w:pPr>
      <w:r>
        <w:rPr>
          <w:b/>
        </w:rPr>
        <w:t>Рис. 2.2.7.</w:t>
      </w:r>
      <w:r>
        <w:t xml:space="preserve"> Этап измерения на препарате площади ретикулярной ткани. Окраск</w:t>
      </w:r>
      <w:r>
        <w:t>а гематоксилин-эозином. Микрофотография.</w:t>
      </w:r>
    </w:p>
    <w:p w:rsidR="004B6076" w:rsidRDefault="009E1091">
      <w:pPr>
        <w:ind w:left="-5" w:right="22"/>
      </w:pPr>
      <w:r>
        <w:t>Увеличение: ок. 10, об. 10</w:t>
      </w:r>
    </w:p>
    <w:p w:rsidR="004B6076" w:rsidRDefault="009E1091">
      <w:pPr>
        <w:ind w:left="-5" w:right="22"/>
      </w:pPr>
      <w:r>
        <w:t>Начальное поле зрения соответствует левому верхнему участку препарата, далее предметное стекло смещается слева направо и сверху вниз. Измерения проводятся не во всех полях зрения, а с пропуском до трех-четырех полей зрения.</w:t>
      </w:r>
    </w:p>
    <w:tbl>
      <w:tblPr>
        <w:tblStyle w:val="TableGrid"/>
        <w:tblpPr w:vertAnchor="page" w:horzAnchor="page" w:tblpX="120" w:tblpY="15172"/>
        <w:tblOverlap w:val="never"/>
        <w:tblW w:w="11655" w:type="dxa"/>
        <w:tblInd w:w="0" w:type="dxa"/>
        <w:tblCellMar>
          <w:top w:w="124" w:type="dxa"/>
          <w:left w:w="36" w:type="dxa"/>
          <w:bottom w:w="0" w:type="dxa"/>
          <w:right w:w="41" w:type="dxa"/>
        </w:tblCellMar>
        <w:tblLook w:val="04A0" w:firstRow="1" w:lastRow="0" w:firstColumn="1" w:lastColumn="0" w:noHBand="0" w:noVBand="1"/>
      </w:tblPr>
      <w:tblGrid>
        <w:gridCol w:w="948"/>
        <w:gridCol w:w="1392"/>
        <w:gridCol w:w="9314"/>
      </w:tblGrid>
      <w:tr w:rsidR="004B6076">
        <w:trPr>
          <w:trHeight w:val="528"/>
        </w:trPr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Имя признака</w:t>
            </w:r>
          </w:p>
        </w:tc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Название признака</w:t>
            </w:r>
          </w:p>
        </w:tc>
        <w:tc>
          <w:tcPr>
            <w:tcW w:w="931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Способ измерения</w:t>
            </w:r>
          </w:p>
        </w:tc>
      </w:tr>
      <w:tr w:rsidR="004B6076">
        <w:trPr>
          <w:trHeight w:val="738"/>
        </w:trPr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C1</w:t>
            </w:r>
          </w:p>
        </w:tc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Площадь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костной ткани в препарате</w:t>
            </w:r>
          </w:p>
        </w:tc>
        <w:tc>
          <w:tcPr>
            <w:tcW w:w="9314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 помощью графического редактора измеряется площадь, занимаемая костной тканью на всем препарате, при условии, что площадь всего препарата принята за 100%</w:t>
            </w:r>
          </w:p>
        </w:tc>
      </w:tr>
      <w:tr w:rsidR="004B6076">
        <w:trPr>
          <w:trHeight w:val="402"/>
        </w:trPr>
        <w:tc>
          <w:tcPr>
            <w:tcW w:w="11655" w:type="dxa"/>
            <w:gridSpan w:val="3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4B6076" w:rsidRDefault="004B6076">
            <w:pPr>
              <w:spacing w:after="160" w:line="259" w:lineRule="auto"/>
              <w:ind w:left="0" w:firstLine="0"/>
            </w:pPr>
          </w:p>
        </w:tc>
      </w:tr>
    </w:tbl>
    <w:p w:rsidR="004B6076" w:rsidRDefault="009E1091">
      <w:pPr>
        <w:spacing w:after="20"/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0</wp:posOffset>
                </wp:positionV>
                <wp:extent cx="4062485" cy="2317056"/>
                <wp:effectExtent l="0" t="0" r="0" b="0"/>
                <wp:wrapTopAndBottom/>
                <wp:docPr id="124675" name="Group 124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317056"/>
                          <a:chOff x="0" y="0"/>
                          <a:chExt cx="4062485" cy="2317056"/>
                        </a:xfrm>
                      </wpg:grpSpPr>
                      <wps:wsp>
                        <wps:cNvPr id="1728" name="Shape 1728"/>
                        <wps:cNvSpPr/>
                        <wps:spPr>
                          <a:xfrm>
                            <a:off x="7622" y="379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31" name="Shape 1731"/>
                        <wps:cNvSpPr/>
                        <wps:spPr>
                          <a:xfrm>
                            <a:off x="7622" y="231326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79" name="Shape 15747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80" name="Shape 157480"/>
                        <wps:cNvSpPr/>
                        <wps:spPr>
                          <a:xfrm>
                            <a:off x="0" y="230944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34" name="Shape 1734"/>
                        <wps:cNvSpPr/>
                        <wps:spPr>
                          <a:xfrm>
                            <a:off x="3811" y="7615"/>
                            <a:ext cx="0" cy="2301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01826">
                                <a:moveTo>
                                  <a:pt x="0" y="0"/>
                                </a:moveTo>
                                <a:lnTo>
                                  <a:pt x="0" y="230182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81" name="Shape 157481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82" name="Shape 157482"/>
                        <wps:cNvSpPr/>
                        <wps:spPr>
                          <a:xfrm>
                            <a:off x="4054863" y="230944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37" name="Shape 1737"/>
                        <wps:cNvSpPr/>
                        <wps:spPr>
                          <a:xfrm>
                            <a:off x="4058674" y="7615"/>
                            <a:ext cx="0" cy="2301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01826">
                                <a:moveTo>
                                  <a:pt x="0" y="0"/>
                                </a:moveTo>
                                <a:lnTo>
                                  <a:pt x="0" y="230182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739" name="Picture 173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7"/>
                            <a:ext cx="4047241" cy="230182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675" style="width:319.881pt;height:182.445pt;position:absolute;mso-position-horizontal-relative:page;mso-position-horizontal:absolute;margin-left:4.80121pt;mso-position-vertical-relative:page;margin-top:0pt;" coordsize="40624,23170">
                <v:shape id="Shape 1728" style="position:absolute;width:40472;height:0;left:76;top:3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731" style="position:absolute;width:40472;height:0;left:76;top:23132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483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84" style="position:absolute;width:91;height:91;left:0;top:23094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734" style="position:absolute;width:0;height:23018;left:38;top:76;" coordsize="0,2301826" path="m0,0l0,2301826">
                  <v:stroke weight="0.600151pt" endcap="flat" dashstyle="1 1" joinstyle="bevel" on="true" color="#c0c0c0"/>
                  <v:fill on="false" color="#000000" opacity="0"/>
                </v:shape>
                <v:shape id="Shape 157485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86" style="position:absolute;width:91;height:91;left:40548;top:23094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737" style="position:absolute;width:0;height:23018;left:40586;top:76;" coordsize="0,2301826" path="m0,0l0,2301826">
                  <v:stroke weight="0.600151pt" endcap="flat" dashstyle="1 1" joinstyle="bevel" on="true" color="#c0c0c0"/>
                  <v:fill on="false" color="#000000" opacity="0"/>
                </v:shape>
                <v:shape id="Picture 1739" style="position:absolute;width:40472;height:23018;left:76;top:76;" filled="f">
                  <v:imagedata r:id="rId50"/>
                </v:shape>
                <w10:wrap type="topAndBottom"/>
              </v:group>
            </w:pict>
          </mc:Fallback>
        </mc:AlternateContent>
      </w:r>
      <w:r>
        <w:rPr>
          <w:b/>
        </w:rPr>
        <w:t>Таблица 2.2.1.</w:t>
      </w:r>
      <w:r>
        <w:t xml:space="preserve"> Программа признаков гистоморфометрического исследования хрящевой ткани</w:t>
      </w:r>
    </w:p>
    <w:tbl>
      <w:tblPr>
        <w:tblStyle w:val="TableGrid"/>
        <w:tblW w:w="7394" w:type="dxa"/>
        <w:tblInd w:w="24" w:type="dxa"/>
        <w:tblCellMar>
          <w:top w:w="112" w:type="dxa"/>
          <w:left w:w="36" w:type="dxa"/>
          <w:bottom w:w="0" w:type="dxa"/>
          <w:right w:w="40" w:type="dxa"/>
        </w:tblCellMar>
        <w:tblLook w:val="04A0" w:firstRow="1" w:lastRow="0" w:firstColumn="1" w:lastColumn="0" w:noHBand="0" w:noVBand="1"/>
      </w:tblPr>
      <w:tblGrid>
        <w:gridCol w:w="1392"/>
        <w:gridCol w:w="6002"/>
      </w:tblGrid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Имя признака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Название признака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 — площадь костной ткани на препарате, %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1511" w:firstLine="4201"/>
            </w:pPr>
            <w:r>
              <w:rPr>
                <w:sz w:val="16"/>
              </w:rPr>
              <w:t xml:space="preserve">2 </w:t>
            </w:r>
            <w:r>
              <w:t>S — площадь костной ткани на препарате, мкм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С3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Число костных балок, среднее в поле зрения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С4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Число костных балок, среднее в препарате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С5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1511" w:firstLine="4201"/>
            </w:pPr>
            <w:r>
              <w:rPr>
                <w:sz w:val="16"/>
              </w:rPr>
              <w:t xml:space="preserve">2 </w:t>
            </w:r>
            <w:r>
              <w:t>S — среднее значение площади трабекул, мкм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С6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108" w:right="3156" w:hanging="108"/>
            </w:pPr>
            <w:r>
              <w:t>L</w:t>
            </w:r>
            <w:r>
              <w:tab/>
              <w:t xml:space="preserve"> — длина трабекул, мкм </w:t>
            </w:r>
            <w:r>
              <w:rPr>
                <w:sz w:val="16"/>
              </w:rPr>
              <w:t>min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С7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108" w:right="3065" w:hanging="108"/>
            </w:pPr>
            <w:r>
              <w:t>L</w:t>
            </w:r>
            <w:r>
              <w:tab/>
              <w:t xml:space="preserve"> — длина трабекул, мкм </w:t>
            </w:r>
            <w:r>
              <w:rPr>
                <w:sz w:val="16"/>
              </w:rPr>
              <w:t>max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С8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108" w:right="2457" w:hanging="108"/>
            </w:pPr>
            <w:r>
              <w:t>L</w:t>
            </w:r>
            <w:r>
              <w:tab/>
              <w:t xml:space="preserve"> — длина трабекул, мкм </w:t>
            </w:r>
            <w:r>
              <w:rPr>
                <w:sz w:val="16"/>
              </w:rPr>
              <w:t>среднее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С9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tabs>
                <w:tab w:val="center" w:pos="1548"/>
              </w:tabs>
              <w:spacing w:after="0" w:line="259" w:lineRule="auto"/>
              <w:ind w:left="0" w:firstLine="0"/>
            </w:pPr>
            <w:r>
              <w:t>t</w:t>
            </w:r>
            <w:r>
              <w:tab/>
              <w:t xml:space="preserve"> — толщина трабекул, мкм</w:t>
            </w:r>
          </w:p>
          <w:p w:rsidR="004B6076" w:rsidRDefault="009E1091">
            <w:pPr>
              <w:spacing w:after="0" w:line="259" w:lineRule="auto"/>
              <w:ind w:left="48" w:firstLine="0"/>
            </w:pPr>
            <w:r>
              <w:rPr>
                <w:sz w:val="16"/>
              </w:rPr>
              <w:t>max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С10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48" w:right="2975" w:hanging="48"/>
            </w:pPr>
            <w:r>
              <w:t>t</w:t>
            </w:r>
            <w:r>
              <w:tab/>
              <w:t xml:space="preserve"> — толщина трабекул, мкм </w:t>
            </w:r>
            <w:r>
              <w:rPr>
                <w:sz w:val="16"/>
              </w:rPr>
              <w:t>min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С11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48" w:right="2277" w:hanging="48"/>
            </w:pPr>
            <w:r>
              <w:t>t</w:t>
            </w:r>
            <w:r>
              <w:tab/>
              <w:t xml:space="preserve"> — толщина трабекул, мкм </w:t>
            </w:r>
            <w:r>
              <w:rPr>
                <w:sz w:val="16"/>
              </w:rPr>
              <w:t>среднее</w:t>
            </w:r>
          </w:p>
        </w:tc>
      </w:tr>
      <w:tr w:rsidR="004B6076">
        <w:trPr>
          <w:trHeight w:val="52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С12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t — толщина кортикальной пластинки, среднее в поле зрения, мкм</w:t>
            </w:r>
          </w:p>
        </w:tc>
      </w:tr>
      <w:tr w:rsidR="004B6076">
        <w:trPr>
          <w:trHeight w:val="384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С13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1411" w:firstLine="0"/>
              <w:jc w:val="center"/>
            </w:pPr>
            <w:r>
              <w:rPr>
                <w:sz w:val="16"/>
              </w:rPr>
              <w:t>2</w:t>
            </w:r>
          </w:p>
          <w:p w:rsidR="004B6076" w:rsidRDefault="009E1091">
            <w:pPr>
              <w:spacing w:after="0" w:line="259" w:lineRule="auto"/>
              <w:ind w:left="132" w:right="1678" w:hanging="132"/>
            </w:pPr>
            <w:r>
              <w:t>S</w:t>
            </w:r>
            <w:r>
              <w:tab/>
              <w:t xml:space="preserve"> — площадь жировой ткани, мкм </w:t>
            </w:r>
            <w:r>
              <w:rPr>
                <w:sz w:val="16"/>
              </w:rPr>
              <w:t>среднее</w:t>
            </w:r>
          </w:p>
        </w:tc>
      </w:tr>
      <w:tr w:rsidR="004B6076">
        <w:trPr>
          <w:trHeight w:val="384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С14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2347" w:firstLine="0"/>
              <w:jc w:val="center"/>
            </w:pPr>
            <w:r>
              <w:rPr>
                <w:sz w:val="16"/>
              </w:rPr>
              <w:t>2</w:t>
            </w:r>
          </w:p>
          <w:p w:rsidR="004B6076" w:rsidRDefault="009E1091">
            <w:pPr>
              <w:spacing w:after="0" w:line="259" w:lineRule="auto"/>
              <w:ind w:left="132" w:right="1211" w:hanging="132"/>
            </w:pPr>
            <w:r>
              <w:t>S</w:t>
            </w:r>
            <w:r>
              <w:tab/>
              <w:t xml:space="preserve"> — площадь ретикулярной ткани, мкм </w:t>
            </w:r>
            <w:r>
              <w:rPr>
                <w:sz w:val="16"/>
              </w:rPr>
              <w:t>среднее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С15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С13/С14 (соотношение площади жировой и ретикулярной ткани)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С16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 — площадь хрящевой ткани на препарате, %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С17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1319" w:firstLine="4393"/>
            </w:pPr>
            <w:r>
              <w:rPr>
                <w:sz w:val="16"/>
              </w:rPr>
              <w:t xml:space="preserve">2 </w:t>
            </w:r>
            <w:r>
              <w:t>S — площадь хрящевой ткани на препарате, мкм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С18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хондробластов, среднее в препарате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С19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хондробластов, среднее в поле зрения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С20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хондроцитов, среднее в поле зрения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С21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Ширина зоны молодого хряща, мкм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С22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Ширина зоны зрелого хряща, мкм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С23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С22/С21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С24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Ширина хрящевой пластинки, среднее в поле зрения, мкм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С25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С2/С17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С26</w:t>
            </w:r>
          </w:p>
        </w:tc>
        <w:tc>
          <w:tcPr>
            <w:tcW w:w="600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С1/С16</w:t>
            </w:r>
          </w:p>
        </w:tc>
      </w:tr>
    </w:tbl>
    <w:p w:rsidR="004B6076" w:rsidRDefault="009E1091">
      <w:pPr>
        <w:ind w:left="-5" w:right="22"/>
      </w:pPr>
      <w:r>
        <w:rPr>
          <w:b/>
        </w:rPr>
        <w:t>Таблица 2.2.2.</w:t>
      </w:r>
      <w:r>
        <w:t xml:space="preserve"> Морфометрические параметры в щитовидном хряще</w:t>
      </w:r>
    </w:p>
    <w:tbl>
      <w:tblPr>
        <w:tblStyle w:val="TableGrid"/>
        <w:tblpPr w:vertAnchor="page" w:horzAnchor="page" w:tblpX="2479" w:tblpY="6"/>
        <w:tblOverlap w:val="never"/>
        <w:tblW w:w="9278" w:type="dxa"/>
        <w:tblInd w:w="0" w:type="dxa"/>
        <w:tblCellMar>
          <w:top w:w="106" w:type="dxa"/>
          <w:left w:w="1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9278"/>
      </w:tblGrid>
      <w:tr w:rsidR="004B6076">
        <w:trPr>
          <w:trHeight w:val="948"/>
        </w:trPr>
        <w:tc>
          <w:tcPr>
            <w:tcW w:w="92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523" w:firstLine="0"/>
            </w:pPr>
            <w:r>
              <w:t>С помощью графического редактора измеряется площадь костной ткани в пяти полях зрения микроскопа с пропуском каждого второго поля зрения на увеличении 10, результаты измерения площад</w:t>
            </w:r>
            <w:r>
              <w:t>и костной ткани в пяти полях зрения суммируются, полученное значение делится на 5, в результате получена средняя площадь костной ткани в поле зрения микроскопа</w:t>
            </w:r>
          </w:p>
        </w:tc>
      </w:tr>
    </w:tbl>
    <w:tbl>
      <w:tblPr>
        <w:tblStyle w:val="TableGrid"/>
        <w:tblpPr w:vertAnchor="page" w:horzAnchor="page" w:tblpX="1086" w:tblpY="6"/>
        <w:tblOverlap w:val="never"/>
        <w:tblW w:w="1356" w:type="dxa"/>
        <w:tblInd w:w="0" w:type="dxa"/>
        <w:tblCellMar>
          <w:top w:w="0" w:type="dxa"/>
          <w:left w:w="18" w:type="dxa"/>
          <w:bottom w:w="0" w:type="dxa"/>
          <w:right w:w="100" w:type="dxa"/>
        </w:tblCellMar>
        <w:tblLook w:val="04A0" w:firstRow="1" w:lastRow="0" w:firstColumn="1" w:lastColumn="0" w:noHBand="0" w:noVBand="1"/>
      </w:tblPr>
      <w:tblGrid>
        <w:gridCol w:w="1356"/>
      </w:tblGrid>
      <w:tr w:rsidR="004B6076">
        <w:trPr>
          <w:trHeight w:val="948"/>
        </w:trPr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Площадь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костной ткани</w:t>
            </w:r>
          </w:p>
        </w:tc>
      </w:tr>
    </w:tbl>
    <w:tbl>
      <w:tblPr>
        <w:tblStyle w:val="TableGrid"/>
        <w:tblpPr w:vertAnchor="page" w:horzAnchor="page" w:tblpX="138" w:tblpY="6"/>
        <w:tblOverlap w:val="never"/>
        <w:tblW w:w="912" w:type="dxa"/>
        <w:tblInd w:w="0" w:type="dxa"/>
        <w:tblCellMar>
          <w:top w:w="0" w:type="dxa"/>
          <w:left w:w="1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912"/>
      </w:tblGrid>
      <w:tr w:rsidR="004B6076">
        <w:trPr>
          <w:trHeight w:val="948"/>
        </w:trPr>
        <w:tc>
          <w:tcPr>
            <w:tcW w:w="9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C2</w:t>
            </w:r>
          </w:p>
        </w:tc>
      </w:tr>
    </w:tbl>
    <w:p w:rsidR="004B6076" w:rsidRDefault="009E1091">
      <w:pPr>
        <w:spacing w:after="490" w:line="259" w:lineRule="auto"/>
        <w:ind w:left="-96" w:right="18" w:firstLine="0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0</wp:posOffset>
                </wp:positionV>
                <wp:extent cx="7622" cy="10693400"/>
                <wp:effectExtent l="0" t="0" r="0" b="0"/>
                <wp:wrapSquare wrapText="bothSides"/>
                <wp:docPr id="122157" name="Group 122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2" cy="10693400"/>
                          <a:chOff x="0" y="0"/>
                          <a:chExt cx="7622" cy="10693400"/>
                        </a:xfrm>
                      </wpg:grpSpPr>
                      <wps:wsp>
                        <wps:cNvPr id="157487" name="Shape 157487"/>
                        <wps:cNvSpPr/>
                        <wps:spPr>
                          <a:xfrm>
                            <a:off x="0" y="0"/>
                            <a:ext cx="9144" cy="10693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69340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693400"/>
                                </a:lnTo>
                                <a:lnTo>
                                  <a:pt x="0" y="106934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2157" style="width:0.600151pt;height:842pt;position:absolute;mso-position-horizontal-relative:page;mso-position-horizontal:absolute;margin-left:4.80121pt;mso-position-vertical-relative:page;margin-top:0pt;" coordsize="76,106934">
                <v:shape id="Shape 157488" style="position:absolute;width:91;height:106934;left:0;top:0;" coordsize="9144,10693400" path="m0,0l9144,0l9144,10693400l0,10693400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7484728</wp:posOffset>
                </wp:positionH>
                <wp:positionV relativeFrom="page">
                  <wp:posOffset>0</wp:posOffset>
                </wp:positionV>
                <wp:extent cx="7622" cy="10693400"/>
                <wp:effectExtent l="0" t="0" r="0" b="0"/>
                <wp:wrapSquare wrapText="bothSides"/>
                <wp:docPr id="122158" name="Group 1221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2" cy="10693400"/>
                          <a:chOff x="0" y="0"/>
                          <a:chExt cx="7622" cy="10693400"/>
                        </a:xfrm>
                      </wpg:grpSpPr>
                      <wps:wsp>
                        <wps:cNvPr id="157489" name="Shape 157489"/>
                        <wps:cNvSpPr/>
                        <wps:spPr>
                          <a:xfrm>
                            <a:off x="0" y="0"/>
                            <a:ext cx="9144" cy="10693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69340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693400"/>
                                </a:lnTo>
                                <a:lnTo>
                                  <a:pt x="0" y="106934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2158" style="width:0.600159pt;height:842pt;position:absolute;mso-position-horizontal-relative:page;mso-position-horizontal:absolute;margin-left:589.349pt;mso-position-vertical-relative:page;margin-top:0pt;" coordsize="76,106934">
                <v:shape id="Shape 157490" style="position:absolute;width:91;height:106934;left:0;top:0;" coordsize="9144,10693400" path="m0,0l9144,0l9144,10693400l0,10693400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</w:p>
    <w:tbl>
      <w:tblPr>
        <w:tblStyle w:val="TableGrid"/>
        <w:tblW w:w="11619" w:type="dxa"/>
        <w:tblInd w:w="4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1392"/>
        <w:gridCol w:w="9296"/>
      </w:tblGrid>
      <w:tr w:rsidR="004B6076">
        <w:trPr>
          <w:trHeight w:val="94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94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C3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52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948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Среднее количество костных балок в поле зрения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0" w:type="dxa"/>
                <w:left w:w="18" w:type="dxa"/>
                <w:bottom w:w="0" w:type="dxa"/>
                <w:right w:w="113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948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На препарате при увеличении в 20 раз считается количество всех костных балок в пяти полях зрения с пропуском двух-трех полей зрения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720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720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C4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52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720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Количество костных балок в препарате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720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На препарате при увеличении в 20 раз считается количество всех костных балок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720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720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C5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720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Средняя площадь трабекул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720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 препарате на увеличении 20 в пяти полях зрения с пропуском в 2 поля зрения при помощи программы измеряется площадь всех трабекул в поле зрения, затем проводится расчет среднего показателя для образца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720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720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C6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92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720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Минимальная длина трабекул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720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 препарате на увеличении 20 в пяти полях зрения с пропуском в 2–3 поля зрения при помощи программы измеряется минимальная длина всех костных балок (трабекул) в поле зрения, затем проводится расчет среднего показателя для образца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720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720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C7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18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720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Максимальная длина трабекул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720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 препарате на увеличении 20 в пяти полях зрения с пропуском в 2–3 поля зрения при помощи программы измеряется максимальная длина всех костных балок (трабекул) в поле зрения, затем проводится расчет среднего показателя для образца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720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720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C8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720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Средняя длина трабекул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106" w:type="dxa"/>
                <w:left w:w="18" w:type="dxa"/>
                <w:bottom w:w="0" w:type="dxa"/>
                <w:right w:w="104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720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 препарате на увеличении 20 в пяти полях зрения с пропуском в 2–3 поля зрения при помощи программы измеряется длина всех костных балок (трабекул) в поле зрения, затем проводится расчет среднего показателя для образца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720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720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C9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18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720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Максимальная толщина трабекул, мкм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720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 препарате на увеличении 20 в пяти полях зрения с пропуском в 2–3 поля зрения при помощи программы измеряется толщина всех костных балок (трабекул) в поле зрения, выбирается максимальное значение для образца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864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864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C10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864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Минимальная толщина трабекул, мкм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864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 препарате на увеличении 20 в пяти полях зрения с пропуском в 2–3 поля зрения при помощи программы измеряется толщина всех костных балок (трабекул) в поле зрения, выбирается минимальное значение для образца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94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94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C11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948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Средняя толщина трабекул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948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 препарате на увеличении 20 в пяти полях зрения с пропуском в 2–3 поля зрения при помощи программы измеряется толщина всех костных балок (трабекул) в поле зрения, считаются минимальное и максимальное значения для образца, вычисляется среднее значение толщ</w:t>
                  </w:r>
                  <w:r>
                    <w:t>ины трабекул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94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94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C12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948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Толщина кортикальной пластинки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948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right="369" w:firstLine="0"/>
                  </w:pPr>
                  <w:r>
                    <w:t>С помощью программы измеряется толщина кортикальной пластинки по периметру образца в пяти полях зрения с пропуском каждого второго поля зрения микроскопа на увеличении 20 (10), результаты измерений в пяти полях зрения суммируются, полученное значение делит</w:t>
                  </w:r>
                  <w:r>
                    <w:t>ся на 5, в результате получена средняя толщина кортикальной пластинки в поле зрения микроскопа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94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94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C13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0" w:type="dxa"/>
                <w:left w:w="18" w:type="dxa"/>
                <w:bottom w:w="0" w:type="dxa"/>
                <w:right w:w="29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948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Средняя площадь жировой ткани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106" w:type="dxa"/>
                <w:left w:w="18" w:type="dxa"/>
                <w:bottom w:w="0" w:type="dxa"/>
                <w:right w:w="88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948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 помощью программы измеряется площадь жировой ткани в пяти полях зрения с пропуском каждого второго поля зрения микроскопа на увеличении 20, результаты измерения в пяти полях зрения суммируются, полученное значение делится на 5, в результате получено сред</w:t>
                  </w:r>
                  <w:r>
                    <w:t>нее значение площади жировой ткани в поле зрения микроскопа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94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94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C14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108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948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Средняя площадь ретикулярной ткани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948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 помощью программы измеряется площадь ретикулярной ткани в пяти полях зрения с пропуском каждого второго поля зрения микроскопа на увеличении 20, результаты измерения в пяти полях зрения суммируются, полученное значение делится на 5, в результате получено</w:t>
                  </w:r>
                  <w:r>
                    <w:t xml:space="preserve"> среднее значение площади ретикулярной ткани в поле зрения микроскопа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58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58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C15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0" w:type="dxa"/>
                <w:left w:w="18" w:type="dxa"/>
                <w:bottom w:w="0" w:type="dxa"/>
                <w:right w:w="106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588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  <w:jc w:val="both"/>
                  </w:pPr>
                  <w:r>
                    <w:t>Соотношение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C13 к C14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94" w:type="dxa"/>
                <w:left w:w="18" w:type="dxa"/>
                <w:bottom w:w="0" w:type="dxa"/>
                <w:right w:w="44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588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449" w:firstLine="0"/>
                    <w:jc w:val="center"/>
                  </w:pPr>
                  <w:r>
                    <w:rPr>
                      <w:sz w:val="16"/>
                    </w:rPr>
                    <w:t>2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  <w:jc w:val="both"/>
                  </w:pPr>
                  <w:r>
                    <w:t>Показатель «средняя площадь жировой ткани» в мкм делится на показатель «площадь ретикулярной</w:t>
                  </w:r>
                </w:p>
                <w:p w:rsidR="004B6076" w:rsidRDefault="009E1091">
                  <w:pPr>
                    <w:spacing w:after="0" w:line="259" w:lineRule="auto"/>
                    <w:ind w:left="1152" w:firstLine="0"/>
                  </w:pPr>
                  <w:r>
                    <w:rPr>
                      <w:sz w:val="16"/>
                    </w:rPr>
                    <w:t>2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ткани» в мкм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94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94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C16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948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Площадь хрящевой ткани в препарате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948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 помощью программы измеряется площадь, занимаемая хрящевой тканью на всем препарате, при условии, что площадь всего препарата принята за 100%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94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94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C17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948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Площадь хрящевой ткани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106" w:type="dxa"/>
                <w:left w:w="18" w:type="dxa"/>
                <w:bottom w:w="0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948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 xml:space="preserve">С помощью программы измеряется площадь хрящевой ткани в пяти полях зрения микроскопа с пропуском каждого второго поля зрения на увеличении 10, результаты измерения площади хрящевой ткани в пяти полях зрения суммируются, полученное значение делится на 5, в </w:t>
                  </w:r>
                  <w:r>
                    <w:t>результате получена средняя площадь хрящевой ткани в поле зрения микроскопа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94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94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C18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948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Среднее количество молодых хондроцитов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948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На препарате от трех до пяти полей зрения проводится подсчет количества молодых хондроцитов, затем вычисляется среднее значение для образца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94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94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C19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356" w:type="dxa"/>
              <w:tblInd w:w="18" w:type="dxa"/>
              <w:tblCellMar>
                <w:top w:w="106" w:type="dxa"/>
                <w:left w:w="18" w:type="dxa"/>
                <w:bottom w:w="0" w:type="dxa"/>
                <w:right w:w="36" w:type="dxa"/>
              </w:tblCellMar>
              <w:tblLook w:val="04A0" w:firstRow="1" w:lastRow="0" w:firstColumn="1" w:lastColumn="0" w:noHBand="0" w:noVBand="1"/>
            </w:tblPr>
            <w:tblGrid>
              <w:gridCol w:w="1356"/>
            </w:tblGrid>
            <w:tr w:rsidR="004B6076">
              <w:trPr>
                <w:trHeight w:val="948"/>
              </w:trPr>
              <w:tc>
                <w:tcPr>
                  <w:tcW w:w="135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Количество молодых хондроцитов в поле зрения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929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461" w:right="11757" w:firstLine="0"/>
            </w:pPr>
          </w:p>
          <w:tbl>
            <w:tblPr>
              <w:tblStyle w:val="TableGrid"/>
              <w:tblW w:w="9278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278"/>
            </w:tblGrid>
            <w:tr w:rsidR="004B6076">
              <w:trPr>
                <w:trHeight w:val="948"/>
              </w:trPr>
              <w:tc>
                <w:tcPr>
                  <w:tcW w:w="927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На препарате при увеличении 20 в пяти полях зрения с пропуском в 2–3 поля зрения считается количество молодых (одиночных) хондроцитов, далее производится расчет среднего значения для образца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</w:tbl>
    <w:p w:rsidR="004B6076" w:rsidRDefault="009E1091">
      <w:pPr>
        <w:spacing w:after="0"/>
        <w:ind w:left="-5" w:right="22"/>
      </w:pPr>
      <w:r>
        <w:rPr>
          <w:b/>
        </w:rPr>
        <w:t xml:space="preserve">Характеристика возрастных изменений хрящевой ткани. </w:t>
      </w:r>
      <w:r>
        <w:t>В возрасте до 18 лет ЩХ представлен только хрящевой тканью. Так как хрящевая ткань плохо отражает рентгеновские лучи, в данном возрастном периоде хрящи гортани достаточно плохо визуализируются, видны только наружные и внутренние контуры (очертания) ЩХ (рис</w:t>
      </w:r>
      <w:r>
        <w:t>. 2.2.8).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66145" cy="2515235"/>
            <wp:effectExtent l="0" t="0" r="0" b="0"/>
            <wp:docPr id="2333" name="Picture 23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3" name="Picture 2333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666145" cy="251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pPr w:vertAnchor="page" w:horzAnchor="page" w:tblpX="120" w:tblpY="6"/>
        <w:tblOverlap w:val="never"/>
        <w:tblW w:w="11655" w:type="dxa"/>
        <w:tblInd w:w="0" w:type="dxa"/>
        <w:tblCellMar>
          <w:top w:w="106" w:type="dxa"/>
          <w:left w:w="36" w:type="dxa"/>
          <w:bottom w:w="0" w:type="dxa"/>
          <w:right w:w="36" w:type="dxa"/>
        </w:tblCellMar>
        <w:tblLook w:val="04A0" w:firstRow="1" w:lastRow="0" w:firstColumn="1" w:lastColumn="0" w:noHBand="0" w:noVBand="1"/>
      </w:tblPr>
      <w:tblGrid>
        <w:gridCol w:w="948"/>
        <w:gridCol w:w="1392"/>
        <w:gridCol w:w="9314"/>
      </w:tblGrid>
      <w:tr w:rsidR="004B6076">
        <w:trPr>
          <w:trHeight w:val="966"/>
        </w:trPr>
        <w:tc>
          <w:tcPr>
            <w:tcW w:w="948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C20</w:t>
            </w:r>
          </w:p>
        </w:tc>
        <w:tc>
          <w:tcPr>
            <w:tcW w:w="1392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зрелых хондроцитов в поле зрения</w:t>
            </w:r>
          </w:p>
        </w:tc>
        <w:tc>
          <w:tcPr>
            <w:tcW w:w="9314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На препарате при увеличении 20 в пяти полях зрения с пропуском в 2–3 поля зрения считается количество зрелых (изогрупп, сгруппированных, групповых, лакунарных) хондроцитов, далее производится расчет среднего значения для образца. Обращалось внимание на кол</w:t>
            </w:r>
            <w:r>
              <w:t>ичество хондроцитов в лакуне</w:t>
            </w:r>
          </w:p>
        </w:tc>
      </w:tr>
      <w:tr w:rsidR="004B6076">
        <w:trPr>
          <w:trHeight w:val="984"/>
        </w:trPr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C21</w:t>
            </w:r>
          </w:p>
        </w:tc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Ширина зоны молодого хряща</w:t>
            </w:r>
          </w:p>
        </w:tc>
        <w:tc>
          <w:tcPr>
            <w:tcW w:w="931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 xml:space="preserve">С помощью программы измеряется ширина зоны молодого хряща в пяти полях зрения с пропуском каждого второго поля зрения микроскопа на увеличении 20, результаты измерения ширины зоны молодого хряща </w:t>
            </w:r>
            <w:r>
              <w:t>в пяти полях зрения суммируются, полученное значение делится на 5, в результате получена средняя ширина зоны молодого хряща в поле зрения микроскопа</w:t>
            </w:r>
          </w:p>
        </w:tc>
      </w:tr>
      <w:tr w:rsidR="004B6076">
        <w:trPr>
          <w:trHeight w:val="984"/>
        </w:trPr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C22</w:t>
            </w:r>
          </w:p>
        </w:tc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Ширина зоны зрелого хряща</w:t>
            </w:r>
          </w:p>
        </w:tc>
        <w:tc>
          <w:tcPr>
            <w:tcW w:w="931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 помощью программы измеряется ширина зоны зрелого хряща в пяти полях зрения с пропуском каждого второго поля зрения микроскопа на увеличении 20, результаты измерения ширины зоны зрелого хряща в пяти полях зрения суммируются, полученное значение делится на</w:t>
            </w:r>
            <w:r>
              <w:t xml:space="preserve"> 5, в результате получено среднее значение в поле зрения микроскопа</w:t>
            </w:r>
          </w:p>
        </w:tc>
      </w:tr>
      <w:tr w:rsidR="004B6076">
        <w:trPr>
          <w:trHeight w:val="528"/>
        </w:trPr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C23</w:t>
            </w:r>
          </w:p>
        </w:tc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Соотношение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C22/C21</w:t>
            </w:r>
          </w:p>
        </w:tc>
        <w:tc>
          <w:tcPr>
            <w:tcW w:w="931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Показатель «ширина зоны молодого хряща» делится на показатель «ширина зоны зрелого хряща»</w:t>
            </w:r>
          </w:p>
        </w:tc>
      </w:tr>
      <w:tr w:rsidR="004B6076">
        <w:trPr>
          <w:trHeight w:val="984"/>
        </w:trPr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C24</w:t>
            </w:r>
          </w:p>
        </w:tc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Средняя ширина хрящевой пластинки</w:t>
            </w:r>
          </w:p>
        </w:tc>
        <w:tc>
          <w:tcPr>
            <w:tcW w:w="931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 помощью программы измеряется ширина хрящевой ткани по периметру образца в пяти полях зрения с пропуском каждого второго поля зрения микроскопа на увеличении 20 (10), результаты измерения ширины хрящевой ткани в пяти полях зрения суммируются, полученное з</w:t>
            </w:r>
            <w:r>
              <w:t>начение делится на 5, в результате получена средняя площадь хрящевой ткани в поле зрения микроскопа</w:t>
            </w:r>
          </w:p>
        </w:tc>
      </w:tr>
      <w:tr w:rsidR="004B6076">
        <w:trPr>
          <w:trHeight w:val="624"/>
        </w:trPr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C25</w:t>
            </w:r>
          </w:p>
        </w:tc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Соотношение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C2/C17</w:t>
            </w:r>
          </w:p>
        </w:tc>
        <w:tc>
          <w:tcPr>
            <w:tcW w:w="931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3913" w:firstLine="0"/>
            </w:pPr>
            <w:r>
              <w:rPr>
                <w:sz w:val="16"/>
              </w:rPr>
              <w:t>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Показатель «площадь костной ткани» в мкм делится на показатель «площадь хрящевой ткани» в</w:t>
            </w:r>
          </w:p>
          <w:p w:rsidR="004B6076" w:rsidRDefault="009E1091">
            <w:pPr>
              <w:spacing w:after="0" w:line="259" w:lineRule="auto"/>
              <w:ind w:left="348" w:firstLine="0"/>
            </w:pPr>
            <w:r>
              <w:rPr>
                <w:sz w:val="16"/>
              </w:rPr>
              <w:t>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мкм</w:t>
            </w:r>
          </w:p>
        </w:tc>
      </w:tr>
      <w:tr w:rsidR="004B6076">
        <w:trPr>
          <w:trHeight w:val="528"/>
        </w:trPr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C26</w:t>
            </w:r>
          </w:p>
        </w:tc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Соотношение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C1/C17</w:t>
            </w:r>
          </w:p>
        </w:tc>
        <w:tc>
          <w:tcPr>
            <w:tcW w:w="931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Показатель «площадь костной ткани» в % делится на показатель «площадь хрящевой ткани» в %</w:t>
            </w:r>
          </w:p>
        </w:tc>
      </w:tr>
    </w:tbl>
    <w:p w:rsidR="004B6076" w:rsidRDefault="009E1091">
      <w:pPr>
        <w:ind w:left="-5" w:right="22"/>
      </w:pPr>
      <w:r>
        <w:rPr>
          <w:b/>
        </w:rPr>
        <w:t>Рис. 2.2.8.</w:t>
      </w:r>
      <w:r>
        <w:t xml:space="preserve"> Рентгенограмма щитовидного хряща мальчика, 9 лет</w:t>
      </w:r>
    </w:p>
    <w:p w:rsidR="004B6076" w:rsidRDefault="009E1091">
      <w:pPr>
        <w:spacing w:after="0"/>
        <w:ind w:left="-5" w:right="22"/>
      </w:pPr>
      <w:r>
        <w:t>С 19 и до 35 лет в нижнезаднем углу и нижних рогах ЩХ появляются первые очаги костной ткани (костная ткань занимает до 29% площади хряща — табл. 2.2.3). С увеличением возраста к уже имеющемуся окостенению присоединяется костная ткань в нижней части пластин</w:t>
      </w:r>
      <w:r>
        <w:t>ки: она занимает сначала 1/4 ее высоты, затем — 1/2 пластинки (табл. 2.2.3). На рентгенограмме начинают достаточно ясно и четко вырисовываться основные анатомические элементы ЩХ ввиду его прогрессирующего окостенения. Очаги кальцификации у нижнего края пла</w:t>
      </w:r>
      <w:r>
        <w:t>стинки с возрастом распространяются в разные стороны, приобретая «костную рамку», или «краевое» окостенение (табл. 2.2.3, рис. 2.2.9, 2.2.10).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1958826"/>
                <wp:effectExtent l="0" t="0" r="0" b="0"/>
                <wp:docPr id="110752" name="Group 1107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1958826"/>
                          <a:chOff x="0" y="0"/>
                          <a:chExt cx="4062485" cy="1958826"/>
                        </a:xfrm>
                      </wpg:grpSpPr>
                      <wps:wsp>
                        <wps:cNvPr id="2344" name="Shape 2344"/>
                        <wps:cNvSpPr/>
                        <wps:spPr>
                          <a:xfrm>
                            <a:off x="7622" y="379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7" name="Shape 2347"/>
                        <wps:cNvSpPr/>
                        <wps:spPr>
                          <a:xfrm>
                            <a:off x="7622" y="1955006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91" name="Shape 157491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92" name="Shape 157492"/>
                        <wps:cNvSpPr/>
                        <wps:spPr>
                          <a:xfrm>
                            <a:off x="0" y="195121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0" name="Shape 2350"/>
                        <wps:cNvSpPr/>
                        <wps:spPr>
                          <a:xfrm>
                            <a:off x="3811" y="7615"/>
                            <a:ext cx="0" cy="19435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43596">
                                <a:moveTo>
                                  <a:pt x="0" y="0"/>
                                </a:moveTo>
                                <a:lnTo>
                                  <a:pt x="0" y="194359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93" name="Shape 157493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94" name="Shape 157494"/>
                        <wps:cNvSpPr/>
                        <wps:spPr>
                          <a:xfrm>
                            <a:off x="4054863" y="195121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3" name="Shape 2353"/>
                        <wps:cNvSpPr/>
                        <wps:spPr>
                          <a:xfrm>
                            <a:off x="4058674" y="7615"/>
                            <a:ext cx="0" cy="19435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43596">
                                <a:moveTo>
                                  <a:pt x="0" y="0"/>
                                </a:moveTo>
                                <a:lnTo>
                                  <a:pt x="0" y="194359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355" name="Picture 2355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09"/>
                            <a:ext cx="4047241" cy="19435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0752" style="width:319.881pt;height:154.238pt;mso-position-horizontal-relative:char;mso-position-vertical-relative:line" coordsize="40624,19588">
                <v:shape id="Shape 2344" style="position:absolute;width:40472;height:0;left:76;top:3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347" style="position:absolute;width:40472;height:0;left:76;top:19550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495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96" style="position:absolute;width:91;height:91;left:0;top:1951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350" style="position:absolute;width:0;height:19435;left:38;top:76;" coordsize="0,1943596" path="m0,0l0,1943596">
                  <v:stroke weight="0.600151pt" endcap="flat" dashstyle="1 1" joinstyle="bevel" on="true" color="#c0c0c0"/>
                  <v:fill on="false" color="#000000" opacity="0"/>
                </v:shape>
                <v:shape id="Shape 157497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498" style="position:absolute;width:91;height:91;left:40548;top:1951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353" style="position:absolute;width:0;height:19435;left:40586;top:76;" coordsize="0,1943596" path="m0,0l0,1943596">
                  <v:stroke weight="0.600151pt" endcap="flat" dashstyle="1 1" joinstyle="bevel" on="true" color="#c0c0c0"/>
                  <v:fill on="false" color="#000000" opacity="0"/>
                </v:shape>
                <v:shape id="Picture 2355" style="position:absolute;width:40472;height:19435;left:76;top:76;" filled="f">
                  <v:imagedata r:id="rId53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2.2.9.</w:t>
      </w:r>
      <w:r>
        <w:t xml:space="preserve"> Рентгенограмма щитовидного хряща мужчины, 25 лет</w:t>
      </w:r>
    </w:p>
    <w:p w:rsidR="004B6076" w:rsidRDefault="009E1091">
      <w:pPr>
        <w:ind w:left="-5" w:right="22"/>
      </w:pPr>
      <w:r>
        <w:rPr>
          <w:b/>
        </w:rPr>
        <w:t>Рис. 2.2.10.</w:t>
      </w:r>
      <w:r>
        <w:t xml:space="preserve"> Рентгенограмма щитовидного хряща мужч</w:t>
      </w:r>
      <w:r>
        <w:t>ины, 28 лет</w:t>
      </w:r>
    </w:p>
    <w:p w:rsidR="004B6076" w:rsidRDefault="009E1091">
      <w:pPr>
        <w:spacing w:after="0"/>
        <w:ind w:left="-5" w:right="99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0</wp:posOffset>
                </wp:positionV>
                <wp:extent cx="4062485" cy="2073151"/>
                <wp:effectExtent l="0" t="0" r="0" b="0"/>
                <wp:wrapTopAndBottom/>
                <wp:docPr id="111934" name="Group 1119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073151"/>
                          <a:chOff x="0" y="0"/>
                          <a:chExt cx="4062485" cy="2073151"/>
                        </a:xfrm>
                      </wpg:grpSpPr>
                      <wps:wsp>
                        <wps:cNvPr id="2363" name="Shape 2363"/>
                        <wps:cNvSpPr/>
                        <wps:spPr>
                          <a:xfrm>
                            <a:off x="7622" y="379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6" name="Shape 2366"/>
                        <wps:cNvSpPr/>
                        <wps:spPr>
                          <a:xfrm>
                            <a:off x="7622" y="2069356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499" name="Shape 15749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00" name="Shape 157500"/>
                        <wps:cNvSpPr/>
                        <wps:spPr>
                          <a:xfrm>
                            <a:off x="0" y="20655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9" name="Shape 2369"/>
                        <wps:cNvSpPr/>
                        <wps:spPr>
                          <a:xfrm>
                            <a:off x="3811" y="7615"/>
                            <a:ext cx="0" cy="2057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57921">
                                <a:moveTo>
                                  <a:pt x="0" y="0"/>
                                </a:moveTo>
                                <a:lnTo>
                                  <a:pt x="0" y="2057921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01" name="Shape 157501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02" name="Shape 157502"/>
                        <wps:cNvSpPr/>
                        <wps:spPr>
                          <a:xfrm>
                            <a:off x="4054863" y="20655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2" name="Shape 2372"/>
                        <wps:cNvSpPr/>
                        <wps:spPr>
                          <a:xfrm>
                            <a:off x="4058674" y="7615"/>
                            <a:ext cx="0" cy="2057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57921">
                                <a:moveTo>
                                  <a:pt x="0" y="0"/>
                                </a:moveTo>
                                <a:lnTo>
                                  <a:pt x="0" y="2057921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374" name="Picture 237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7"/>
                            <a:ext cx="4047241" cy="20579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11934" style="width:319.881pt;height:163.24pt;position:absolute;mso-position-horizontal-relative:page;mso-position-horizontal:absolute;margin-left:4.80121pt;mso-position-vertical-relative:page;margin-top:0pt;" coordsize="40624,20731">
                <v:shape id="Shape 2363" style="position:absolute;width:40472;height:0;left:76;top:3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366" style="position:absolute;width:40472;height:0;left:76;top:20693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03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04" style="position:absolute;width:91;height:91;left:0;top:2065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369" style="position:absolute;width:0;height:20579;left:38;top:76;" coordsize="0,2057921" path="m0,0l0,2057921">
                  <v:stroke weight="0.600151pt" endcap="flat" dashstyle="1 1" joinstyle="bevel" on="true" color="#c0c0c0"/>
                  <v:fill on="false" color="#000000" opacity="0"/>
                </v:shape>
                <v:shape id="Shape 157505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06" style="position:absolute;width:91;height:91;left:40548;top:2065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372" style="position:absolute;width:0;height:20579;left:40586;top:76;" coordsize="0,2057921" path="m0,0l0,2057921">
                  <v:stroke weight="0.600151pt" endcap="flat" dashstyle="1 1" joinstyle="bevel" on="true" color="#c0c0c0"/>
                  <v:fill on="false" color="#000000" opacity="0"/>
                </v:shape>
                <v:shape id="Picture 2374" style="position:absolute;width:40472;height:20579;left:76;top:76;" filled="f">
                  <v:imagedata r:id="rId55"/>
                </v:shape>
                <w10:wrap type="topAndBottom"/>
              </v:group>
            </w:pict>
          </mc:Fallback>
        </mc:AlternateContent>
      </w:r>
      <w:r>
        <w:t>В возрастной группе от 36 до 60 лет отмечается окостенение задних краев пластинок, и общий процент окостенения занимает до 59% площади ЩХ. На рентгенограмме обнаруживаются массивные бесформенные тени окостеневшего хряща снизу пластинок с образ</w:t>
      </w:r>
      <w:r>
        <w:t>ованием «выроста», образующегося при слиянии краевого окостенения (табл. 2.2.3, рис. 2.2.11, 2.2.12).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027436"/>
                <wp:effectExtent l="0" t="0" r="0" b="0"/>
                <wp:docPr id="111938" name="Group 1119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027436"/>
                          <a:chOff x="0" y="0"/>
                          <a:chExt cx="4062485" cy="2027436"/>
                        </a:xfrm>
                      </wpg:grpSpPr>
                      <wps:wsp>
                        <wps:cNvPr id="2382" name="Shape 2382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5" name="Shape 2385"/>
                        <wps:cNvSpPr/>
                        <wps:spPr>
                          <a:xfrm>
                            <a:off x="7622" y="2023641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07" name="Shape 157507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08" name="Shape 157508"/>
                        <wps:cNvSpPr/>
                        <wps:spPr>
                          <a:xfrm>
                            <a:off x="0" y="201982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8" name="Shape 2388"/>
                        <wps:cNvSpPr/>
                        <wps:spPr>
                          <a:xfrm>
                            <a:off x="3811" y="7640"/>
                            <a:ext cx="0" cy="201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2181">
                                <a:moveTo>
                                  <a:pt x="0" y="0"/>
                                </a:moveTo>
                                <a:lnTo>
                                  <a:pt x="0" y="2012181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09" name="Shape 157509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10" name="Shape 157510"/>
                        <wps:cNvSpPr/>
                        <wps:spPr>
                          <a:xfrm>
                            <a:off x="4054863" y="201982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1" name="Shape 2391"/>
                        <wps:cNvSpPr/>
                        <wps:spPr>
                          <a:xfrm>
                            <a:off x="4058674" y="7640"/>
                            <a:ext cx="0" cy="201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2181">
                                <a:moveTo>
                                  <a:pt x="0" y="0"/>
                                </a:moveTo>
                                <a:lnTo>
                                  <a:pt x="0" y="2012181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393" name="Picture 2393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46"/>
                            <a:ext cx="4047241" cy="20121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938" style="width:319.881pt;height:159.641pt;mso-position-horizontal-relative:char;mso-position-vertical-relative:line" coordsize="40624,20274">
                <v:shape id="Shape 2382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385" style="position:absolute;width:40472;height:0;left:76;top:20236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11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12" style="position:absolute;width:91;height:91;left:0;top:20198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388" style="position:absolute;width:0;height:20121;left:38;top:76;" coordsize="0,2012181" path="m0,0l0,2012181">
                  <v:stroke weight="0.600151pt" endcap="flat" dashstyle="1 1" joinstyle="bevel" on="true" color="#c0c0c0"/>
                  <v:fill on="false" color="#000000" opacity="0"/>
                </v:shape>
                <v:shape id="Shape 157513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14" style="position:absolute;width:91;height:91;left:40548;top:20198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391" style="position:absolute;width:0;height:20121;left:40586;top:76;" coordsize="0,2012181" path="m0,0l0,2012181">
                  <v:stroke weight="0.600151pt" endcap="flat" dashstyle="1 1" joinstyle="bevel" on="true" color="#c0c0c0"/>
                  <v:fill on="false" color="#000000" opacity="0"/>
                </v:shape>
                <v:shape id="Picture 2393" style="position:absolute;width:40472;height:20121;left:76;top:76;" filled="f">
                  <v:imagedata r:id="rId57"/>
                </v:shape>
              </v:group>
            </w:pict>
          </mc:Fallback>
        </mc:AlternateContent>
      </w:r>
    </w:p>
    <w:p w:rsidR="004B6076" w:rsidRDefault="009E1091">
      <w:pPr>
        <w:spacing w:after="13"/>
        <w:ind w:left="-5" w:right="22"/>
      </w:pPr>
      <w:r>
        <w:rPr>
          <w:b/>
        </w:rPr>
        <w:t>Рис. 2.2.11.</w:t>
      </w:r>
      <w:r>
        <w:t xml:space="preserve"> Рентгенограмма щитовидного хряща мужчины, 46 лет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1836886"/>
                <wp:effectExtent l="0" t="0" r="0" b="0"/>
                <wp:docPr id="111939" name="Group 1119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1836886"/>
                          <a:chOff x="0" y="0"/>
                          <a:chExt cx="4062485" cy="1836886"/>
                        </a:xfrm>
                      </wpg:grpSpPr>
                      <wps:wsp>
                        <wps:cNvPr id="2398" name="Shape 2398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1" name="Shape 2401"/>
                        <wps:cNvSpPr/>
                        <wps:spPr>
                          <a:xfrm>
                            <a:off x="7622" y="1833066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15" name="Shape 15751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16" name="Shape 157516"/>
                        <wps:cNvSpPr/>
                        <wps:spPr>
                          <a:xfrm>
                            <a:off x="0" y="182927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4" name="Shape 2404"/>
                        <wps:cNvSpPr/>
                        <wps:spPr>
                          <a:xfrm>
                            <a:off x="3811" y="7615"/>
                            <a:ext cx="0" cy="1821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1656">
                                <a:moveTo>
                                  <a:pt x="0" y="0"/>
                                </a:moveTo>
                                <a:lnTo>
                                  <a:pt x="0" y="182165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17" name="Shape 157517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18" name="Shape 157518"/>
                        <wps:cNvSpPr/>
                        <wps:spPr>
                          <a:xfrm>
                            <a:off x="4054863" y="182927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7" name="Shape 2407"/>
                        <wps:cNvSpPr/>
                        <wps:spPr>
                          <a:xfrm>
                            <a:off x="4058674" y="7615"/>
                            <a:ext cx="0" cy="1821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1656">
                                <a:moveTo>
                                  <a:pt x="0" y="0"/>
                                </a:moveTo>
                                <a:lnTo>
                                  <a:pt x="0" y="182165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409" name="Picture 2409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33"/>
                            <a:ext cx="4047241" cy="18216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939" style="width:319.881pt;height:144.637pt;mso-position-horizontal-relative:char;mso-position-vertical-relative:line" coordsize="40624,18368">
                <v:shape id="Shape 2398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401" style="position:absolute;width:40472;height:0;left:76;top:18330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19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20" style="position:absolute;width:91;height:91;left:0;top:1829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404" style="position:absolute;width:0;height:18216;left:38;top:76;" coordsize="0,1821656" path="m0,0l0,1821656">
                  <v:stroke weight="0.600151pt" endcap="flat" dashstyle="1 1" joinstyle="bevel" on="true" color="#c0c0c0"/>
                  <v:fill on="false" color="#000000" opacity="0"/>
                </v:shape>
                <v:shape id="Shape 157521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22" style="position:absolute;width:91;height:91;left:40548;top:1829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407" style="position:absolute;width:0;height:18216;left:40586;top:76;" coordsize="0,1821656" path="m0,0l0,1821656">
                  <v:stroke weight="0.600151pt" endcap="flat" dashstyle="1 1" joinstyle="bevel" on="true" color="#c0c0c0"/>
                  <v:fill on="false" color="#000000" opacity="0"/>
                </v:shape>
                <v:shape id="Picture 2409" style="position:absolute;width:40472;height:18216;left:76;top:76;" filled="f">
                  <v:imagedata r:id="rId59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 xml:space="preserve">Рис. 2.2.12. </w:t>
      </w:r>
      <w:r>
        <w:t>Рентгенограмма щитовидного хряща мужчины, 57 лет</w:t>
      </w:r>
    </w:p>
    <w:p w:rsidR="004B6076" w:rsidRDefault="009E1091">
      <w:pPr>
        <w:spacing w:after="13"/>
        <w:ind w:left="-5" w:right="22"/>
      </w:pPr>
      <w:r>
        <w:rPr>
          <w:b/>
        </w:rPr>
        <w:t>Таблица 2.2.3.</w:t>
      </w:r>
      <w:r>
        <w:t xml:space="preserve"> Общая схема</w:t>
      </w:r>
      <w:r>
        <w:t xml:space="preserve"> окостенения щитовидного хряща с распределением костной ткани, %</w:t>
      </w:r>
    </w:p>
    <w:p w:rsidR="004B6076" w:rsidRDefault="009E1091">
      <w:pPr>
        <w:spacing w:after="0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499990"/>
                <wp:effectExtent l="0" t="0" r="0" b="0"/>
                <wp:docPr id="111943" name="Group 1119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499990"/>
                          <a:chOff x="0" y="0"/>
                          <a:chExt cx="4062485" cy="2499990"/>
                        </a:xfrm>
                      </wpg:grpSpPr>
                      <wps:wsp>
                        <wps:cNvPr id="2416" name="Shape 2416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9" name="Shape 2419"/>
                        <wps:cNvSpPr/>
                        <wps:spPr>
                          <a:xfrm>
                            <a:off x="7622" y="249619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23" name="Shape 157523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24" name="Shape 157524"/>
                        <wps:cNvSpPr/>
                        <wps:spPr>
                          <a:xfrm>
                            <a:off x="0" y="249237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2" name="Shape 2422"/>
                        <wps:cNvSpPr/>
                        <wps:spPr>
                          <a:xfrm>
                            <a:off x="3811" y="7640"/>
                            <a:ext cx="0" cy="24847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4735">
                                <a:moveTo>
                                  <a:pt x="0" y="0"/>
                                </a:moveTo>
                                <a:lnTo>
                                  <a:pt x="0" y="248473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25" name="Shape 157525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26" name="Shape 157526"/>
                        <wps:cNvSpPr/>
                        <wps:spPr>
                          <a:xfrm>
                            <a:off x="4054863" y="249237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5" name="Shape 2425"/>
                        <wps:cNvSpPr/>
                        <wps:spPr>
                          <a:xfrm>
                            <a:off x="4058674" y="7640"/>
                            <a:ext cx="0" cy="24847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4735">
                                <a:moveTo>
                                  <a:pt x="0" y="0"/>
                                </a:moveTo>
                                <a:lnTo>
                                  <a:pt x="0" y="248473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427" name="Picture 2427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39"/>
                            <a:ext cx="4047241" cy="24847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943" style="width:319.881pt;height:196.85pt;mso-position-horizontal-relative:char;mso-position-vertical-relative:line" coordsize="40624,24999">
                <v:shape id="Shape 2416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419" style="position:absolute;width:40472;height:0;left:76;top:24961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27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28" style="position:absolute;width:91;height:91;left:0;top:24923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422" style="position:absolute;width:0;height:24847;left:38;top:76;" coordsize="0,2484735" path="m0,0l0,2484735">
                  <v:stroke weight="0.600151pt" endcap="flat" dashstyle="1 1" joinstyle="bevel" on="true" color="#c0c0c0"/>
                  <v:fill on="false" color="#000000" opacity="0"/>
                </v:shape>
                <v:shape id="Shape 157529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30" style="position:absolute;width:91;height:91;left:40548;top:24923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425" style="position:absolute;width:0;height:24847;left:40586;top:76;" coordsize="0,2484735" path="m0,0l0,2484735">
                  <v:stroke weight="0.600151pt" endcap="flat" dashstyle="1 1" joinstyle="bevel" on="true" color="#c0c0c0"/>
                  <v:fill on="false" color="#000000" opacity="0"/>
                </v:shape>
                <v:shape id="Picture 2427" style="position:absolute;width:40472;height:24847;left:76;top:76;" filled="f">
                  <v:imagedata r:id="rId61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-5" w:right="22"/>
      </w:pPr>
      <w:r>
        <w:t>С 61 года до 96 лет костная ткань распространяется вверх по пластинке и затрагивает всю толщину верхних рогов и большую часть пластинок (до 100% площади). Обызвествление костей и хрящей в пожилом возрасте создает прекрасные возможности для прослеживания ег</w:t>
      </w:r>
      <w:r>
        <w:t>о анатомических структур на рентгенограммах. Отмечается значительное усиление интенсивности теней окостеневших хрящей и повышение резкости их контуров (табл. 2.2.3, рис. 2.2.13).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919189"/>
                <wp:effectExtent l="0" t="0" r="0" b="0"/>
                <wp:docPr id="111603" name="Group 1116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919189"/>
                          <a:chOff x="0" y="0"/>
                          <a:chExt cx="4062485" cy="2919189"/>
                        </a:xfrm>
                      </wpg:grpSpPr>
                      <wps:wsp>
                        <wps:cNvPr id="2437" name="Shape 2437"/>
                        <wps:cNvSpPr/>
                        <wps:spPr>
                          <a:xfrm>
                            <a:off x="7622" y="379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0" name="Shape 2440"/>
                        <wps:cNvSpPr/>
                        <wps:spPr>
                          <a:xfrm>
                            <a:off x="7622" y="2915369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31" name="Shape 157531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32" name="Shape 157532"/>
                        <wps:cNvSpPr/>
                        <wps:spPr>
                          <a:xfrm>
                            <a:off x="0" y="291157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3" name="Shape 2443"/>
                        <wps:cNvSpPr/>
                        <wps:spPr>
                          <a:xfrm>
                            <a:off x="3811" y="7615"/>
                            <a:ext cx="0" cy="29039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03959">
                                <a:moveTo>
                                  <a:pt x="0" y="0"/>
                                </a:moveTo>
                                <a:lnTo>
                                  <a:pt x="0" y="2903959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33" name="Shape 157533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34" name="Shape 157534"/>
                        <wps:cNvSpPr/>
                        <wps:spPr>
                          <a:xfrm>
                            <a:off x="4054863" y="291157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6" name="Shape 2446"/>
                        <wps:cNvSpPr/>
                        <wps:spPr>
                          <a:xfrm>
                            <a:off x="4058674" y="7615"/>
                            <a:ext cx="0" cy="29039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03959">
                                <a:moveTo>
                                  <a:pt x="0" y="0"/>
                                </a:moveTo>
                                <a:lnTo>
                                  <a:pt x="0" y="2903959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448" name="Picture 244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7"/>
                            <a:ext cx="4047241" cy="29039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603" style="width:319.881pt;height:229.857pt;mso-position-horizontal-relative:char;mso-position-vertical-relative:line" coordsize="40624,29191">
                <v:shape id="Shape 2437" style="position:absolute;width:40472;height:0;left:76;top:3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440" style="position:absolute;width:40472;height:0;left:76;top:29153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35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36" style="position:absolute;width:91;height:91;left:0;top:2911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443" style="position:absolute;width:0;height:29039;left:38;top:76;" coordsize="0,2903959" path="m0,0l0,2903959">
                  <v:stroke weight="0.600151pt" endcap="flat" dashstyle="1 1" joinstyle="bevel" on="true" color="#c0c0c0"/>
                  <v:fill on="false" color="#000000" opacity="0"/>
                </v:shape>
                <v:shape id="Shape 157537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38" style="position:absolute;width:91;height:91;left:40548;top:2911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446" style="position:absolute;width:0;height:29039;left:40586;top:76;" coordsize="0,2903959" path="m0,0l0,2903959">
                  <v:stroke weight="0.600151pt" endcap="flat" dashstyle="1 1" joinstyle="bevel" on="true" color="#c0c0c0"/>
                  <v:fill on="false" color="#000000" opacity="0"/>
                </v:shape>
                <v:shape id="Picture 2448" style="position:absolute;width:40472;height:29039;left:76;top:76;" filled="f">
                  <v:imagedata r:id="rId63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2.2.13.</w:t>
      </w:r>
      <w:r>
        <w:t xml:space="preserve"> Рентгенограмма щитовидного хряща мужчины, 68 лет</w:t>
      </w:r>
    </w:p>
    <w:p w:rsidR="004B6076" w:rsidRDefault="009E1091">
      <w:pPr>
        <w:ind w:left="-5" w:right="22"/>
      </w:pPr>
      <w:r>
        <w:t>С увеличением</w:t>
      </w:r>
      <w:r>
        <w:t xml:space="preserve"> возраста меняется соотношение костной и хрящевой ткани в ЩХ, это выражено в увеличении площади костной и уменьшении доли хрящевой ткани.</w:t>
      </w:r>
    </w:p>
    <w:p w:rsidR="004B6076" w:rsidRDefault="009E1091">
      <w:pPr>
        <w:spacing w:after="0"/>
        <w:ind w:left="-5" w:right="22"/>
      </w:pPr>
      <w:r>
        <w:rPr>
          <w:b/>
        </w:rPr>
        <w:t xml:space="preserve">Гистологические характеристики возрастных изменений хрящевой ткани. </w:t>
      </w:r>
      <w:r>
        <w:rPr>
          <w:i/>
        </w:rPr>
        <w:t>В возрастной группе до 18 лет</w:t>
      </w:r>
      <w:r>
        <w:t xml:space="preserve"> ЩХ во всех случаях б</w:t>
      </w:r>
      <w:r>
        <w:t>ыл представлен хрящевой тканью (рис. 2.2.14), состоящей из одиночно расположенных молодых хондроцитов небольшого размера правильной округлой и овальной формы, расположенных диффузно по всему препарату в слабоокрашенном межклеточном веществе (рис. 2.2.15–2.</w:t>
      </w:r>
      <w:r>
        <w:t>2.18). К концу данного возрастного периода появляется зона зрелого хряща, что сопровождается уменьшением количества молодых хондроцитов, появлением отдельных изогрупп, состоящих из двух-пяти зрелых хондроцитов (рис. 2.2.19).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43279" cy="3780474"/>
            <wp:effectExtent l="0" t="0" r="0" b="0"/>
            <wp:docPr id="2462" name="Picture 24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2" name="Picture 2462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643279" cy="3780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2.2.14.</w:t>
      </w:r>
      <w:r>
        <w:t xml:space="preserve"> Препарат щитовид</w:t>
      </w:r>
      <w:r>
        <w:t>ного хряща после очистки от мягких тканей, новорожденный мужского пола</w:t>
      </w:r>
    </w:p>
    <w:p w:rsidR="004B6076" w:rsidRDefault="009E1091">
      <w:pPr>
        <w:spacing w:after="13"/>
        <w:ind w:left="-5" w:right="22"/>
      </w:pPr>
      <w:r>
        <w:rPr>
          <w:b/>
        </w:rPr>
        <w:t>Рис. 2.2.15.</w:t>
      </w:r>
      <w:r>
        <w:t xml:space="preserve"> Молодая хрящевая ткань, с преобладанием хондробластов. Ребенок мужского пола, 1 год. Окраска по Папаниколау,</w:t>
      </w:r>
    </w:p>
    <w:p w:rsidR="004B6076" w:rsidRDefault="009E1091">
      <w:pPr>
        <w:spacing w:after="13"/>
        <w:ind w:left="-5" w:right="22"/>
      </w:pPr>
      <w:r>
        <w:t>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858244"/>
                <wp:effectExtent l="0" t="0" r="0" b="0"/>
                <wp:docPr id="114864" name="Group 1148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858244"/>
                          <a:chOff x="0" y="0"/>
                          <a:chExt cx="4062485" cy="2858244"/>
                        </a:xfrm>
                      </wpg:grpSpPr>
                      <wps:wsp>
                        <wps:cNvPr id="2475" name="Shape 2475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8" name="Shape 2478"/>
                        <wps:cNvSpPr/>
                        <wps:spPr>
                          <a:xfrm>
                            <a:off x="7622" y="2854424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39" name="Shape 15753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40" name="Shape 157540"/>
                        <wps:cNvSpPr/>
                        <wps:spPr>
                          <a:xfrm>
                            <a:off x="0" y="285060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81" name="Shape 2481"/>
                        <wps:cNvSpPr/>
                        <wps:spPr>
                          <a:xfrm>
                            <a:off x="3811" y="7640"/>
                            <a:ext cx="0" cy="28429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2965">
                                <a:moveTo>
                                  <a:pt x="0" y="0"/>
                                </a:moveTo>
                                <a:lnTo>
                                  <a:pt x="0" y="284296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41" name="Shape 157541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42" name="Shape 157542"/>
                        <wps:cNvSpPr/>
                        <wps:spPr>
                          <a:xfrm>
                            <a:off x="4054863" y="285060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84" name="Shape 2484"/>
                        <wps:cNvSpPr/>
                        <wps:spPr>
                          <a:xfrm>
                            <a:off x="4058674" y="7640"/>
                            <a:ext cx="0" cy="28429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2965">
                                <a:moveTo>
                                  <a:pt x="0" y="0"/>
                                </a:moveTo>
                                <a:lnTo>
                                  <a:pt x="0" y="284296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486" name="Picture 2486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40"/>
                            <a:ext cx="4047241" cy="284297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4864" style="width:319.881pt;height:225.059pt;mso-position-horizontal-relative:char;mso-position-vertical-relative:line" coordsize="40624,28582">
                <v:shape id="Shape 2475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478" style="position:absolute;width:40472;height:0;left:76;top:28544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43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44" style="position:absolute;width:91;height:91;left:0;top:2850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481" style="position:absolute;width:0;height:28429;left:38;top:76;" coordsize="0,2842965" path="m0,0l0,2842965">
                  <v:stroke weight="0.600151pt" endcap="flat" dashstyle="1 1" joinstyle="bevel" on="true" color="#c0c0c0"/>
                  <v:fill on="false" color="#000000" opacity="0"/>
                </v:shape>
                <v:shape id="Shape 157545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46" style="position:absolute;width:91;height:91;left:40548;top:2850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484" style="position:absolute;width:0;height:28429;left:40586;top:76;" coordsize="0,2842965" path="m0,0l0,2842965">
                  <v:stroke weight="0.600151pt" endcap="flat" dashstyle="1 1" joinstyle="bevel" on="true" color="#c0c0c0"/>
                  <v:fill on="false" color="#000000" opacity="0"/>
                </v:shape>
                <v:shape id="Picture 2486" style="position:absolute;width:40472;height:28429;left:76;top:76;" filled="f">
                  <v:imagedata r:id="rId66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-5" w:right="22"/>
      </w:pPr>
      <w:r>
        <w:rPr>
          <w:noProof/>
        </w:rPr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658523" cy="2743892"/>
            <wp:effectExtent l="0" t="0" r="0" b="0"/>
            <wp:wrapTopAndBottom/>
            <wp:docPr id="2469" name="Picture 24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9" name="Picture 2469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658523" cy="2743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Рис. 2.2.16.</w:t>
      </w:r>
      <w:r>
        <w:t xml:space="preserve"> Молодая хрящевая ткань, содержащая хондроб</w:t>
      </w:r>
      <w:r>
        <w:t>ласты. Препарат щитовидного хряща; мальчик, 1 год. Окраска гематоксилин-эозином,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048769"/>
                <wp:effectExtent l="0" t="0" r="0" b="0"/>
                <wp:docPr id="114865" name="Group 1148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048769"/>
                          <a:chOff x="0" y="0"/>
                          <a:chExt cx="4062485" cy="3048769"/>
                        </a:xfrm>
                      </wpg:grpSpPr>
                      <wps:wsp>
                        <wps:cNvPr id="2492" name="Shape 2492"/>
                        <wps:cNvSpPr/>
                        <wps:spPr>
                          <a:xfrm>
                            <a:off x="7622" y="379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95" name="Shape 2495"/>
                        <wps:cNvSpPr/>
                        <wps:spPr>
                          <a:xfrm>
                            <a:off x="7622" y="3044949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47" name="Shape 157547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48" name="Shape 157548"/>
                        <wps:cNvSpPr/>
                        <wps:spPr>
                          <a:xfrm>
                            <a:off x="0" y="304112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98" name="Shape 2498"/>
                        <wps:cNvSpPr/>
                        <wps:spPr>
                          <a:xfrm>
                            <a:off x="3811" y="7615"/>
                            <a:ext cx="0" cy="3033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33514">
                                <a:moveTo>
                                  <a:pt x="0" y="0"/>
                                </a:moveTo>
                                <a:lnTo>
                                  <a:pt x="0" y="303351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49" name="Shape 157549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50" name="Shape 157550"/>
                        <wps:cNvSpPr/>
                        <wps:spPr>
                          <a:xfrm>
                            <a:off x="4054863" y="304112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01" name="Shape 2501"/>
                        <wps:cNvSpPr/>
                        <wps:spPr>
                          <a:xfrm>
                            <a:off x="4058674" y="7615"/>
                            <a:ext cx="0" cy="3033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33514">
                                <a:moveTo>
                                  <a:pt x="0" y="0"/>
                                </a:moveTo>
                                <a:lnTo>
                                  <a:pt x="0" y="303351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03" name="Picture 2503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15"/>
                            <a:ext cx="4047241" cy="30335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4865" style="width:319.881pt;height:240.061pt;mso-position-horizontal-relative:char;mso-position-vertical-relative:line" coordsize="40624,30487">
                <v:shape id="Shape 2492" style="position:absolute;width:40472;height:0;left:76;top:3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495" style="position:absolute;width:40472;height:0;left:76;top:30449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51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52" style="position:absolute;width:91;height:91;left:0;top:30411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498" style="position:absolute;width:0;height:30335;left:38;top:76;" coordsize="0,3033514" path="m0,0l0,3033514">
                  <v:stroke weight="0.600151pt" endcap="flat" dashstyle="1 1" joinstyle="bevel" on="true" color="#c0c0c0"/>
                  <v:fill on="false" color="#000000" opacity="0"/>
                </v:shape>
                <v:shape id="Shape 157553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54" style="position:absolute;width:91;height:91;left:40548;top:30411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501" style="position:absolute;width:0;height:30335;left:40586;top:76;" coordsize="0,3033514" path="m0,0l0,3033514">
                  <v:stroke weight="0.600151pt" endcap="flat" dashstyle="1 1" joinstyle="bevel" on="true" color="#c0c0c0"/>
                  <v:fill on="false" color="#000000" opacity="0"/>
                </v:shape>
                <v:shape id="Picture 2503" style="position:absolute;width:40472;height:30335;left:76;top:76;" filled="f">
                  <v:imagedata r:id="rId69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2.2.17.</w:t>
      </w:r>
      <w:r>
        <w:t xml:space="preserve"> Молодая хрящевая ткань, содержащая хондробласты. Препарат щитовидного хряща; мальчик, 1 год. Окраска гематоксилин-эозином, ×100</w:t>
      </w:r>
    </w:p>
    <w:p w:rsidR="004B6076" w:rsidRDefault="009E1091">
      <w:pPr>
        <w:spacing w:after="0"/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0</wp:posOffset>
                </wp:positionV>
                <wp:extent cx="4062485" cy="3041154"/>
                <wp:effectExtent l="0" t="0" r="0" b="0"/>
                <wp:wrapTopAndBottom/>
                <wp:docPr id="110862" name="Group 1108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041154"/>
                          <a:chOff x="0" y="0"/>
                          <a:chExt cx="4062485" cy="3041154"/>
                        </a:xfrm>
                      </wpg:grpSpPr>
                      <wps:wsp>
                        <wps:cNvPr id="2512" name="Shape 2512"/>
                        <wps:cNvSpPr/>
                        <wps:spPr>
                          <a:xfrm>
                            <a:off x="7622" y="379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5" name="Shape 2515"/>
                        <wps:cNvSpPr/>
                        <wps:spPr>
                          <a:xfrm>
                            <a:off x="7622" y="3037334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55" name="Shape 15755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56" name="Shape 157556"/>
                        <wps:cNvSpPr/>
                        <wps:spPr>
                          <a:xfrm>
                            <a:off x="0" y="303351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8" name="Shape 2518"/>
                        <wps:cNvSpPr/>
                        <wps:spPr>
                          <a:xfrm>
                            <a:off x="3811" y="7615"/>
                            <a:ext cx="0" cy="30258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5899">
                                <a:moveTo>
                                  <a:pt x="0" y="0"/>
                                </a:moveTo>
                                <a:lnTo>
                                  <a:pt x="0" y="3025899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57" name="Shape 157557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58" name="Shape 157558"/>
                        <wps:cNvSpPr/>
                        <wps:spPr>
                          <a:xfrm>
                            <a:off x="4054863" y="303351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1" name="Shape 2521"/>
                        <wps:cNvSpPr/>
                        <wps:spPr>
                          <a:xfrm>
                            <a:off x="4058674" y="7615"/>
                            <a:ext cx="0" cy="30258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5899">
                                <a:moveTo>
                                  <a:pt x="0" y="0"/>
                                </a:moveTo>
                                <a:lnTo>
                                  <a:pt x="0" y="3025899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23" name="Picture 2523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7"/>
                            <a:ext cx="4047241" cy="302590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10862" style="width:319.881pt;height:239.461pt;position:absolute;mso-position-horizontal-relative:page;mso-position-horizontal:absolute;margin-left:4.80121pt;mso-position-vertical-relative:page;margin-top:0pt;" coordsize="40624,30411">
                <v:shape id="Shape 2512" style="position:absolute;width:40472;height:0;left:76;top:3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515" style="position:absolute;width:40472;height:0;left:76;top:30373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59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60" style="position:absolute;width:91;height:91;left:0;top:3033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518" style="position:absolute;width:0;height:30258;left:38;top:76;" coordsize="0,3025899" path="m0,0l0,3025899">
                  <v:stroke weight="0.600151pt" endcap="flat" dashstyle="1 1" joinstyle="bevel" on="true" color="#c0c0c0"/>
                  <v:fill on="false" color="#000000" opacity="0"/>
                </v:shape>
                <v:shape id="Shape 157561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62" style="position:absolute;width:91;height:91;left:40548;top:3033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521" style="position:absolute;width:0;height:30258;left:40586;top:76;" coordsize="0,3025899" path="m0,0l0,3025899">
                  <v:stroke weight="0.600151pt" endcap="flat" dashstyle="1 1" joinstyle="bevel" on="true" color="#c0c0c0"/>
                  <v:fill on="false" color="#000000" opacity="0"/>
                </v:shape>
                <v:shape id="Picture 2523" style="position:absolute;width:40472;height:30259;left:76;top:76;" filled="f">
                  <v:imagedata r:id="rId71"/>
                </v:shape>
                <w10:wrap type="topAndBottom"/>
              </v:group>
            </w:pict>
          </mc:Fallback>
        </mc:AlternateContent>
      </w:r>
      <w:r>
        <w:rPr>
          <w:b/>
        </w:rPr>
        <w:t>Рис. 2.2.18.</w:t>
      </w:r>
      <w:r>
        <w:t xml:space="preserve"> Молодая хряще</w:t>
      </w:r>
      <w:r>
        <w:t>вая ткань, содержащая хондробласты. Препарат щитовидного хряща; мальчик, 8 лет. Окраска гематоксилин-эозином,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797225"/>
                <wp:effectExtent l="0" t="0" r="0" b="0"/>
                <wp:docPr id="110864" name="Group 1108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797225"/>
                          <a:chOff x="0" y="0"/>
                          <a:chExt cx="4062485" cy="2797225"/>
                        </a:xfrm>
                      </wpg:grpSpPr>
                      <wps:wsp>
                        <wps:cNvPr id="2529" name="Shape 2529"/>
                        <wps:cNvSpPr/>
                        <wps:spPr>
                          <a:xfrm>
                            <a:off x="7622" y="379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2" name="Shape 2532"/>
                        <wps:cNvSpPr/>
                        <wps:spPr>
                          <a:xfrm>
                            <a:off x="7622" y="279343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63" name="Shape 157563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64" name="Shape 157564"/>
                        <wps:cNvSpPr/>
                        <wps:spPr>
                          <a:xfrm>
                            <a:off x="0" y="27896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5" name="Shape 2535"/>
                        <wps:cNvSpPr/>
                        <wps:spPr>
                          <a:xfrm>
                            <a:off x="3811" y="7615"/>
                            <a:ext cx="0" cy="27819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81995">
                                <a:moveTo>
                                  <a:pt x="0" y="0"/>
                                </a:moveTo>
                                <a:lnTo>
                                  <a:pt x="0" y="278199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65" name="Shape 157565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66" name="Shape 157566"/>
                        <wps:cNvSpPr/>
                        <wps:spPr>
                          <a:xfrm>
                            <a:off x="4054863" y="27896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8" name="Shape 2538"/>
                        <wps:cNvSpPr/>
                        <wps:spPr>
                          <a:xfrm>
                            <a:off x="4058674" y="7615"/>
                            <a:ext cx="0" cy="27819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81995">
                                <a:moveTo>
                                  <a:pt x="0" y="0"/>
                                </a:moveTo>
                                <a:lnTo>
                                  <a:pt x="0" y="278199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40" name="Picture 2540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03"/>
                            <a:ext cx="4047241" cy="278200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0864" style="width:319.881pt;height:220.254pt;mso-position-horizontal-relative:char;mso-position-vertical-relative:line" coordsize="40624,27972">
                <v:shape id="Shape 2529" style="position:absolute;width:40472;height:0;left:76;top:3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532" style="position:absolute;width:40472;height:0;left:76;top:27934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67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68" style="position:absolute;width:91;height:91;left:0;top:2789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535" style="position:absolute;width:0;height:27819;left:38;top:76;" coordsize="0,2781995" path="m0,0l0,2781995">
                  <v:stroke weight="0.600151pt" endcap="flat" dashstyle="1 1" joinstyle="bevel" on="true" color="#c0c0c0"/>
                  <v:fill on="false" color="#000000" opacity="0"/>
                </v:shape>
                <v:shape id="Shape 157569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70" style="position:absolute;width:91;height:91;left:40548;top:2789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538" style="position:absolute;width:0;height:27819;left:40586;top:76;" coordsize="0,2781995" path="m0,0l0,2781995">
                  <v:stroke weight="0.600151pt" endcap="flat" dashstyle="1 1" joinstyle="bevel" on="true" color="#c0c0c0"/>
                  <v:fill on="false" color="#000000" opacity="0"/>
                </v:shape>
                <v:shape id="Picture 2540" style="position:absolute;width:40472;height:27820;left:76;top:76;" filled="f">
                  <v:imagedata r:id="rId73"/>
                </v:shape>
              </v:group>
            </w:pict>
          </mc:Fallback>
        </mc:AlternateContent>
      </w:r>
    </w:p>
    <w:p w:rsidR="004B6076" w:rsidRDefault="009E1091">
      <w:pPr>
        <w:spacing w:after="13"/>
        <w:ind w:left="-5" w:right="22"/>
      </w:pPr>
      <w:r>
        <w:rPr>
          <w:b/>
        </w:rPr>
        <w:t>Рис. 2.2.19.</w:t>
      </w:r>
      <w:r>
        <w:t xml:space="preserve"> Зрелая хрящевая ткань группы хондроцитов из двух-трех клеток. Препарат щитовидного хряща; мужчина, 18 лет.</w:t>
      </w:r>
    </w:p>
    <w:p w:rsidR="004B6076" w:rsidRDefault="009E1091">
      <w:pPr>
        <w:ind w:left="-5" w:right="22"/>
      </w:pPr>
      <w:r>
        <w:t>Окраска гематоксили</w:t>
      </w:r>
      <w:r>
        <w:t>н-эозином, ×200</w:t>
      </w:r>
    </w:p>
    <w:p w:rsidR="004B6076" w:rsidRDefault="009E1091">
      <w:pPr>
        <w:ind w:left="-5" w:right="22"/>
      </w:pPr>
      <w:r>
        <w:rPr>
          <w:i/>
        </w:rPr>
        <w:t>В возрасте</w:t>
      </w:r>
      <w:r>
        <w:t xml:space="preserve"> 19–35 </w:t>
      </w:r>
      <w:r>
        <w:rPr>
          <w:i/>
        </w:rPr>
        <w:t>лет</w:t>
      </w:r>
      <w:r>
        <w:t xml:space="preserve"> процесс окостенения хряща начинается у нижнего края пластинки (рис. 2.2.20, 2.2.21). На препарате молодые хондроциты в небольшом количестве образуют зону молодого хряща (рис. 2.2.22–2.2.23), а зрелые — увеличиваются по </w:t>
      </w:r>
      <w:r>
        <w:t>объему и площади и преобладают над количеством молодых (рис. 2.2.24), костная ткань представлена единичными, тонкими, округлыми, шаровидными, небольшими трабекулами с расположенной между ними ретикулярной тканью (рис. 2.2.25–2.2.27).</w:t>
      </w:r>
    </w:p>
    <w:p w:rsidR="004B6076" w:rsidRDefault="009E1091">
      <w:pPr>
        <w:ind w:left="-5" w:right="22"/>
      </w:pPr>
      <w:r>
        <w:rPr>
          <w:b/>
        </w:rPr>
        <w:t>Рис. 2.2.20.</w:t>
      </w:r>
      <w:r>
        <w:t xml:space="preserve"> Препарат </w:t>
      </w:r>
      <w:r>
        <w:t>щитовидного хряща после очистки от мягких тканей; мужчина, 20 лет</w:t>
      </w:r>
    </w:p>
    <w:p w:rsidR="004B6076" w:rsidRDefault="009E1091">
      <w:pPr>
        <w:spacing w:after="0"/>
        <w:ind w:left="-5" w:right="22"/>
      </w:pPr>
      <w:r>
        <w:rPr>
          <w:noProof/>
        </w:rPr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948156" cy="3262183"/>
            <wp:effectExtent l="0" t="0" r="0" b="0"/>
            <wp:wrapTopAndBottom/>
            <wp:docPr id="2555" name="Picture 25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5" name="Picture 2555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948156" cy="3262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На препаратах ЩХ </w:t>
      </w:r>
      <w:r>
        <w:rPr>
          <w:i/>
        </w:rPr>
        <w:t>в возрасте</w:t>
      </w:r>
      <w:r>
        <w:t xml:space="preserve"> 36–60 </w:t>
      </w:r>
      <w:r>
        <w:rPr>
          <w:i/>
        </w:rPr>
        <w:t>лет</w:t>
      </w:r>
      <w:r>
        <w:t xml:space="preserve"> костная ткань занимает до половины хряща (рис. 2.2.28, 2.2.29), на препарате зона зрелого хряща присутствует почти во всех полях зрения, зрелые хондроц</w:t>
      </w:r>
      <w:r>
        <w:t>иты преобладают над единичными молодыми хондроцитами, составляющими уменьшенную зону молодого хряща (рис. 2.2.30, 2.2.33). На фоне увеличения площади костной ткани в препарате увеличивается количество трабекул (рис. 2.2.30–2.2.33).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429865" cy="3620413"/>
            <wp:effectExtent l="0" t="0" r="0" b="0"/>
            <wp:docPr id="2567" name="Picture 25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7" name="Picture 2567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429865" cy="3620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2.2.21.</w:t>
      </w:r>
      <w:r>
        <w:t xml:space="preserve"> Препарат щитовидного хряща после очистки от мягких тканей; мужчина, 28 лет</w:t>
      </w:r>
    </w:p>
    <w:p w:rsidR="004B6076" w:rsidRDefault="009E1091">
      <w:pPr>
        <w:spacing w:after="0"/>
        <w:ind w:left="-5" w:right="22"/>
      </w:pPr>
      <w:r>
        <w:rPr>
          <w:b/>
        </w:rPr>
        <w:t>Рис. 2.2.22.</w:t>
      </w:r>
      <w:r>
        <w:t xml:space="preserve"> Зрелая хрящевая ткань с преобладанием хондроцитов (группы из трех-четырех-пяти клеток). Препарат щитовидного хряща; мужчина, 35 лет. Окраска гематоксилин-эозином,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4001509" cy="2995416"/>
            <wp:effectExtent l="0" t="0" r="0" b="0"/>
            <wp:docPr id="2579" name="Picture 25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9" name="Picture 2579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001509" cy="299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0"/>
        <w:ind w:left="-5" w:right="22"/>
      </w:pPr>
      <w:r>
        <w:rPr>
          <w:noProof/>
        </w:rPr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506085" cy="2629563"/>
            <wp:effectExtent l="0" t="0" r="0" b="0"/>
            <wp:wrapTopAndBottom/>
            <wp:docPr id="2574" name="Picture 25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" name="Picture 2574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506085" cy="2629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Рис. 2.2.23.</w:t>
      </w:r>
      <w:r>
        <w:t xml:space="preserve"> Костные трабекулы и хрящевая ткань, содержащая зрелые хондроциты в препарате щитовидного хряща; мужчина, 28 лет. Окраска по Папаниколау, ×200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971022" cy="2972550"/>
            <wp:effectExtent l="0" t="0" r="0" b="0"/>
            <wp:docPr id="2584" name="Picture 25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4" name="Picture 2584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971022" cy="297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2.2.24.</w:t>
      </w:r>
      <w:r>
        <w:t xml:space="preserve"> Зрелая хрящевая ткань, с преобладанием хондроцитов (группы из трех-четырех-пяти кл</w:t>
      </w:r>
      <w:r>
        <w:t>еток). Препарат щитовидного хряща; мужчина, 27 лет. Окраска по Папаниколау, ×100</w:t>
      </w:r>
    </w:p>
    <w:p w:rsidR="004B6076" w:rsidRDefault="009E1091">
      <w:pPr>
        <w:spacing w:after="0"/>
        <w:ind w:left="-5" w:right="22"/>
      </w:pPr>
      <w:r>
        <w:rPr>
          <w:b/>
        </w:rPr>
        <w:t>Рис. 2.2.25.</w:t>
      </w:r>
      <w:r>
        <w:t xml:space="preserve"> Гистологическое строение щитовидного хряща лица мужского пола, 32 года. Микрофотография. Окраска гематоксилин-эозином,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490841" cy="2667673"/>
            <wp:effectExtent l="0" t="0" r="0" b="0"/>
            <wp:docPr id="2600" name="Picture 26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0" name="Picture 2600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490841" cy="2667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2.2.26.</w:t>
      </w:r>
      <w:r>
        <w:t xml:space="preserve"> Гистологическое строение щитовидного хряща лица мужского пола, 27 лет. Окраска гематоксилин-эозином, ×100</w:t>
      </w:r>
    </w:p>
    <w:p w:rsidR="004B6076" w:rsidRDefault="009E1091">
      <w:pPr>
        <w:spacing w:after="0"/>
        <w:ind w:left="-5" w:right="22"/>
      </w:pPr>
      <w:r>
        <w:rPr>
          <w:noProof/>
        </w:rPr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506085" cy="2743892"/>
            <wp:effectExtent l="0" t="0" r="0" b="0"/>
            <wp:wrapTopAndBottom/>
            <wp:docPr id="2595" name="Picture 25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5" name="Picture 2595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506085" cy="2743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По сравнению с более молодыми возрастными группами отмечается заметное увеличение толщины трабекул и их количества в поле зрения, пространство между</w:t>
      </w:r>
      <w:r>
        <w:t xml:space="preserve"> костными балками частично заполнено жировой тканью, в отличие от более молодого возраста, где наблюдается ее полное отсутствие или преобладание ретикулярной ткани.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536572" cy="2660051"/>
            <wp:effectExtent l="0" t="0" r="0" b="0"/>
            <wp:docPr id="2607" name="Picture 26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7" name="Picture 2607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536572" cy="2660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2.2.27.</w:t>
      </w:r>
      <w:r>
        <w:t xml:space="preserve"> Зрелая хрящевая ткань с хондроцитами (группы из четырех-пяти клеток) и костн</w:t>
      </w:r>
      <w:r>
        <w:t>ой тканью, участки которой обозначены стрелками. Препарат щитовидного хряща; мужчина, 37 лет. Окраска гематоксилин-эозином, ×100</w:t>
      </w:r>
    </w:p>
    <w:p w:rsidR="004B6076" w:rsidRDefault="009E1091">
      <w:pPr>
        <w:ind w:left="-5" w:right="22"/>
      </w:pPr>
      <w:r>
        <w:rPr>
          <w:b/>
        </w:rPr>
        <w:t xml:space="preserve">Рис. 2.2.28. </w:t>
      </w:r>
      <w:r>
        <w:t>Препарат щитовидного хряща после очистки от мягких тканей; мужчина, 45 лет</w:t>
      </w:r>
    </w:p>
    <w:p w:rsidR="004B6076" w:rsidRDefault="009E1091">
      <w:pPr>
        <w:spacing w:after="0"/>
        <w:ind w:left="-5" w:right="22"/>
      </w:pPr>
      <w:r>
        <w:rPr>
          <w:i/>
        </w:rPr>
        <w:t>В возрасте более 61 года</w:t>
      </w:r>
      <w:r>
        <w:t xml:space="preserve"> хрящевая ткань</w:t>
      </w:r>
      <w:r>
        <w:t xml:space="preserve"> сохранена в единичных случаях только в верхней трети и представлена зрелыми и единичными молодыми хондроцитами, в остальных случаях ЩХ представлен только костной тканью (рис. 2.2.34, 2.2.35).</w:t>
      </w:r>
    </w:p>
    <w:p w:rsidR="004B6076" w:rsidRDefault="009E1091">
      <w:pPr>
        <w:spacing w:after="13"/>
        <w:ind w:left="-5" w:right="22"/>
      </w:pPr>
      <w:r>
        <w:rPr>
          <w:noProof/>
        </w:rPr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544194" cy="2538100"/>
            <wp:effectExtent l="0" t="0" r="0" b="0"/>
            <wp:wrapTopAndBottom/>
            <wp:docPr id="2615" name="Picture 26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5" name="Picture 2615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544194" cy="253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Пространство между трабекулами заполнено в основном жировой тк</w:t>
      </w:r>
      <w:r>
        <w:t>анью (рис. 2.2.36–2.2.40).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506085" cy="3536572"/>
            <wp:effectExtent l="0" t="0" r="0" b="0"/>
            <wp:docPr id="2623" name="Picture 26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3" name="Picture 2623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506085" cy="3536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>Рис. 2.2.29.</w:t>
      </w:r>
      <w:r>
        <w:t xml:space="preserve"> Препарат щитовидного хряща после очистки от мягких тканей; мужчина, 52 года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506085" cy="2637186"/>
            <wp:effectExtent l="0" t="0" r="0" b="0"/>
            <wp:docPr id="2627" name="Picture 26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7" name="Picture 2627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506085" cy="2637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>Рис. 2.2.30.</w:t>
      </w:r>
      <w:r>
        <w:t xml:space="preserve"> Костные трабекулы и зрелая хрящевая ткань с хондроцитами в препарате щитовидного хряща; мужчина, 38 лет.</w:t>
      </w:r>
    </w:p>
    <w:p w:rsidR="004B6076" w:rsidRDefault="009E1091">
      <w:pPr>
        <w:ind w:left="-5" w:right="22"/>
      </w:pPr>
      <w:r>
        <w:t>Окраска по Папаник</w:t>
      </w:r>
      <w:r>
        <w:t>олау, ×200</w:t>
      </w:r>
    </w:p>
    <w:p w:rsidR="004B6076" w:rsidRDefault="009E1091">
      <w:pPr>
        <w:spacing w:after="13"/>
        <w:ind w:left="-5" w:right="22"/>
      </w:pPr>
      <w:r>
        <w:rPr>
          <w:noProof/>
        </w:rPr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620413" cy="2713405"/>
            <wp:effectExtent l="0" t="0" r="0" b="0"/>
            <wp:wrapTopAndBottom/>
            <wp:docPr id="2635" name="Picture 26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5" name="Picture 2635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620413" cy="2713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Рис. 2.2.31.</w:t>
      </w:r>
      <w:r>
        <w:t xml:space="preserve"> Преобладание костной ткани в препарате щитовидного хряща; мужчина, 56 лет. Окраска по Папаниколау, ×200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20413" cy="2469503"/>
            <wp:effectExtent l="0" t="0" r="0" b="0"/>
            <wp:docPr id="2639" name="Picture 26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9" name="Picture 2639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620413" cy="246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>Рис. 2.2.32.</w:t>
      </w:r>
      <w:r>
        <w:t xml:space="preserve"> Гистологическое строение щитовидного хряща; мужчина, 40 лет. Окраска гематоксилин-эозином,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582304" cy="2362796"/>
            <wp:effectExtent l="0" t="0" r="0" b="0"/>
            <wp:docPr id="2643" name="Picture 26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3" name="Picture 2643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582304" cy="2362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2.2.33.</w:t>
      </w:r>
      <w:r>
        <w:t xml:space="preserve"> Гистологическое строение щитовидного хряща; мужчина, 52 года. Окраска гематоксилин-эозином, ×100</w:t>
      </w:r>
    </w:p>
    <w:p w:rsidR="004B6076" w:rsidRDefault="009E1091">
      <w:pPr>
        <w:spacing w:after="13"/>
        <w:ind w:left="-5" w:right="22"/>
      </w:pPr>
      <w:r>
        <w:rPr>
          <w:b/>
        </w:rPr>
        <w:t>Рис. 2.2.34.</w:t>
      </w:r>
      <w:r>
        <w:t xml:space="preserve"> Препарат щитовидного хряща после очистки от мягких тканей; мужчина, 65 лет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28035" cy="2721026"/>
            <wp:effectExtent l="0" t="0" r="0" b="0"/>
            <wp:docPr id="2654" name="Picture 26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4" name="Picture 2654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628035" cy="2721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noProof/>
        </w:rPr>
        <w:drawing>
          <wp:anchor distT="0" distB="0" distL="114300" distR="114300" simplePos="0" relativeHeight="251678720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567060" cy="3810961"/>
            <wp:effectExtent l="0" t="0" r="0" b="0"/>
            <wp:wrapTopAndBottom/>
            <wp:docPr id="2650" name="Picture 26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0" name="Picture 2650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567060" cy="38109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Рис. 2.2.35.</w:t>
      </w:r>
      <w:r>
        <w:t xml:space="preserve"> Препарат щитовидного хряща после очистки от мягких тка</w:t>
      </w:r>
      <w:r>
        <w:t>ней; мужчина, 70 лет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20413" cy="2698161"/>
            <wp:effectExtent l="0" t="0" r="0" b="0"/>
            <wp:docPr id="2658" name="Picture 26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8" name="Picture 2658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620413" cy="2698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8" w:line="234" w:lineRule="auto"/>
        <w:ind w:left="-5"/>
        <w:jc w:val="both"/>
      </w:pPr>
      <w:r>
        <w:rPr>
          <w:b/>
        </w:rPr>
        <w:t>Рис. 2.2.36.</w:t>
      </w:r>
      <w:r>
        <w:t xml:space="preserve"> Костные трабекулы и зрелая хрящевая ткань; мужчина 70 лет. Окраска по Папаниколау, ×100 </w:t>
      </w:r>
      <w:r>
        <w:rPr>
          <w:b/>
        </w:rPr>
        <w:t>Рис. 2.2.37.</w:t>
      </w:r>
      <w:r>
        <w:t xml:space="preserve"> Тонкие костные трабекулы и жировая ткань в препарате щитовидного хряща; мужчина, 77 лет. Окраска гематоксилин-эозином, </w:t>
      </w:r>
      <w:r>
        <w:t>×50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50901" cy="2621942"/>
            <wp:effectExtent l="0" t="0" r="0" b="0"/>
            <wp:docPr id="2670" name="Picture 26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0" name="Picture 2670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650901" cy="262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0"/>
        <w:ind w:left="-5" w:right="22"/>
      </w:pPr>
      <w:r>
        <w:rPr>
          <w:noProof/>
        </w:rPr>
        <w:drawing>
          <wp:anchor distT="0" distB="0" distL="114300" distR="114300" simplePos="0" relativeHeight="251679744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635657" cy="2728648"/>
            <wp:effectExtent l="0" t="0" r="0" b="0"/>
            <wp:wrapTopAndBottom/>
            <wp:docPr id="2665" name="Picture 26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5" name="Picture 2665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635657" cy="2728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Рис. 2.2.38.</w:t>
      </w:r>
      <w:r>
        <w:t xml:space="preserve"> Тонкие и длинные костные трабекулы и жировая ткань щитовидного хряща; мужчина, 61 год, Окраска гематоксилинэозином, 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20413" cy="2949684"/>
            <wp:effectExtent l="0" t="0" r="0" b="0"/>
            <wp:docPr id="2675" name="Picture 26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5" name="Picture 2675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620413" cy="2949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2.2.39.</w:t>
      </w:r>
      <w:r>
        <w:t xml:space="preserve"> Костные трабекулы и жировая ткань в препарате щитовидного хряща; мужчина, 62 года. Окраска гематокси</w:t>
      </w:r>
      <w:r>
        <w:t>линомэозином, ×100</w:t>
      </w:r>
    </w:p>
    <w:p w:rsidR="004B6076" w:rsidRDefault="009E1091">
      <w:pPr>
        <w:ind w:left="-5" w:right="22"/>
      </w:pPr>
      <w:r>
        <w:rPr>
          <w:b/>
        </w:rPr>
        <w:t>Рис. 2.2.40.</w:t>
      </w:r>
      <w:r>
        <w:t xml:space="preserve"> Гистологическое строение щитовидного хряща; мужчина, 75 лет. Микрофотография. Отмечается преобладание костной ткани, межтрабекулярное пространство заполнено жировой тканью. Окраска гематоксилин-эозином, ×50</w:t>
      </w:r>
    </w:p>
    <w:p w:rsidR="004B6076" w:rsidRDefault="009E1091">
      <w:pPr>
        <w:ind w:left="-5" w:right="22"/>
      </w:pPr>
      <w:r>
        <w:rPr>
          <w:b/>
        </w:rPr>
        <w:t xml:space="preserve">Морфометрические </w:t>
      </w:r>
      <w:r>
        <w:rPr>
          <w:b/>
        </w:rPr>
        <w:t xml:space="preserve">признаки возрастных изменений хрящевой ткани. </w:t>
      </w:r>
      <w:r>
        <w:t>У детей и подростков (до 19 лет) хрящевая ткань «молодая», с преобладанием хондробластов (в 2 раза больше) над числом хондроцитов. Костная ткань отсутствует. В данной возрастной группе следующие морфологические</w:t>
      </w:r>
      <w:r>
        <w:t xml:space="preserve"> параметры имеют сильную корреляционную связь с возрастом: число хондробластов (r=–0,8), ширина участка молодого хряща (r=–0,8), ширина участка зрелого хряща (r=–0,85), соотношение зоны молодого и зрелого хряща (r=–0,86).</w:t>
      </w:r>
    </w:p>
    <w:p w:rsidR="004B6076" w:rsidRDefault="009E1091">
      <w:pPr>
        <w:spacing w:after="0"/>
        <w:ind w:left="-5" w:right="22"/>
      </w:pPr>
      <w:r>
        <w:t>С 19 до 35 лет активные процессы о</w:t>
      </w:r>
      <w:r>
        <w:t>ссификации и созревания хрящевой ткани подтверждены коэффициентами корреляции. В данной возрастной группе следующие морфологические параметры имеют сильную корреляционную связь с возрастом:</w:t>
      </w:r>
    </w:p>
    <w:p w:rsidR="004B6076" w:rsidRDefault="009E1091">
      <w:pPr>
        <w:spacing w:after="206"/>
        <w:ind w:left="-15" w:right="188" w:firstLine="5365"/>
      </w:pPr>
      <w:r>
        <w:rPr>
          <w:sz w:val="16"/>
        </w:rPr>
        <w:t xml:space="preserve">2 </w:t>
      </w:r>
      <w:r>
        <w:t>площадь (S) костной ткани (%) (r=0,7); S костной ткани (мкм ) (r=0,71); S жировой ткани (r=0,82); S хрящевой ткани (%) (r=–0,76).</w:t>
      </w:r>
    </w:p>
    <w:p w:rsidR="004B6076" w:rsidRDefault="009E1091">
      <w:pPr>
        <w:ind w:left="-5" w:right="22"/>
      </w:pPr>
      <w:r>
        <w:t>Корреляционная связь средней силы отмечена у показателей: число костных трабекул в препарате (r=0,59); минимальная длина трабе</w:t>
      </w:r>
      <w:r>
        <w:t>кул (r=0,54); ширина кортикального слоя (r=0,51); число хондробластов (r=–0,67); ширина зоны зрелого хряща (r=0,57); ширина зоны молодого хряща (r=–0,54); ширина хрящевой пластинки (r=–0,68); соотношение костной и хрящевой ткани в препарате (r=0,54).</w:t>
      </w:r>
    </w:p>
    <w:p w:rsidR="004B6076" w:rsidRDefault="009E1091">
      <w:pPr>
        <w:spacing w:after="0"/>
        <w:ind w:left="-5" w:right="22"/>
      </w:pPr>
      <w:r>
        <w:t>Микро</w:t>
      </w:r>
      <w:r>
        <w:t>скопическая картина ЩХ для возрастного периода 36–60 лет характеризуется относительной стабилизацией большинства признаков, кроме морфометрических характеристик костных балок. В данной возрастной группе наиболее выражены морфологические изменения у следующ</w:t>
      </w:r>
      <w:r>
        <w:t>их признаков: максимальная и минимальная длина трабекул, площадь хрящевой ткани в</w:t>
      </w:r>
    </w:p>
    <w:p w:rsidR="004B6076" w:rsidRDefault="009E1091">
      <w:pPr>
        <w:spacing w:after="0" w:line="265" w:lineRule="auto"/>
        <w:ind w:left="358"/>
      </w:pPr>
      <w:r>
        <w:rPr>
          <w:sz w:val="16"/>
        </w:rPr>
        <w:t xml:space="preserve">2 </w:t>
      </w:r>
    </w:p>
    <w:p w:rsidR="004B6076" w:rsidRDefault="009E1091">
      <w:pPr>
        <w:ind w:left="-5" w:right="22"/>
      </w:pPr>
      <w:r>
        <w:rPr>
          <w:noProof/>
        </w:rPr>
        <w:drawing>
          <wp:anchor distT="0" distB="0" distL="114300" distR="114300" simplePos="0" relativeHeight="251680768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620413" cy="3109745"/>
            <wp:effectExtent l="0" t="0" r="0" b="0"/>
            <wp:wrapTopAndBottom/>
            <wp:docPr id="2683" name="Picture 26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3" name="Picture 2683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620413" cy="3109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мкм и соотношение площади костной к хрящевой ткани в процентах. Отмечается достоверный прирост длины трабекул (на 37%), увеличение их толщины (на 40%) и количества (в 1,1</w:t>
      </w:r>
      <w:r>
        <w:t>8 раза). Длина трабекул в препарате имеет коэффициент корреляции с возрастом средней силы (r=0,55). Межтрабекулярное пространство заполнено жировой тканью (с увеличением ее площади по сравнению с предыдущей возрастной группой в 5,3 раза) и ретикулофиброзно</w:t>
      </w:r>
      <w:r>
        <w:t>й (с увеличением площади по сравнению с предыдущей возрастной группой в 4,2 раза) примерно в равном долевом соотношении. Уменьшение площади хрящевой ткани сопровождается увеличением числа хондроцитов (в 1,3 раза) с явным преобладанием хондроцитов над хондр</w:t>
      </w:r>
      <w:r>
        <w:t>областами и формированием зоны зрелого хряща. Вокруг образованных костных структур сохраняется хрящевая ткань с группами хондроцитов из четырех-пяти клеток.</w:t>
      </w:r>
    </w:p>
    <w:p w:rsidR="004B6076" w:rsidRDefault="009E1091">
      <w:pPr>
        <w:spacing w:after="0"/>
        <w:ind w:left="-5" w:right="22"/>
      </w:pPr>
      <w:r>
        <w:t>В возрастной группе старше 61 года ЩХ практически полностью оссифицирован, небольшие участки хрящев</w:t>
      </w:r>
      <w:r>
        <w:t>ой ткани имеются в верхней трети пластинок; костные трабекулы неоднородные по длине и толщине. Зафиксированное в данной возрастной группе достоверное увеличение площади костной ткани в препарате связано с увеличением (в 1,8 раза) длины трабекул по сравнени</w:t>
      </w:r>
      <w:r>
        <w:t>ю с более молодым возрастом и средней толщины в 1,5 раза (длина минимальная в 1,45 раза, длина максимальная в 1,33 раза). Установлена достоверная связь средней силы средней толщины костных трабекул с возрастом (r=0,65). Межтрабекулярное пространство заполн</w:t>
      </w:r>
      <w:r>
        <w:t>ено преимущественно жировой тканью, показатель соотношения площади жировой и ретикулярной ткани увеличился в 1,28 раза за счет значительного прироста (более чем в 2 раза) площади жировой ткани. Помимо уменьшения самой площади хрящевой ткани (почти в 3 раза</w:t>
      </w:r>
      <w:r>
        <w:t>, с 43,16 до 14,80%), резко снижено количество молодых хондроцитов (r=0,63), наблюдается уменьшение зоны молодого хряща в 1,3 раза и увеличение зоны зрелого хряща в 1,5 раза (см. рис. 2.2.10, 2.2.18,</w:t>
      </w:r>
    </w:p>
    <w:p w:rsidR="004B6076" w:rsidRDefault="009E1091">
      <w:pPr>
        <w:ind w:left="-5" w:right="22"/>
      </w:pPr>
      <w:r>
        <w:t>2.2.20).</w:t>
      </w:r>
    </w:p>
    <w:p w:rsidR="004B6076" w:rsidRDefault="009E1091">
      <w:pPr>
        <w:spacing w:after="0"/>
        <w:ind w:left="-5" w:right="22"/>
      </w:pPr>
      <w:r>
        <w:t>Наиболее достоверную связь с возрастом имеет показатель «площадь костной ткани» (r=0,82). Процент костной ткани имеет достоверные различия во всех возрастных группах. Минимальная площадь определяется у лиц младше 18 лет, начиная с 19 лет происходит постепе</w:t>
      </w:r>
      <w:r>
        <w:t>нное увеличение данного параметра на протяжении всех изученных периодов. Вместе с площадью костной ткани также увеличивается количество костных балок. Данный показатель имеет минимальное значение в возрасте до 18 лет.</w:t>
      </w:r>
    </w:p>
    <w:p w:rsidR="004B6076" w:rsidRDefault="009E1091">
      <w:pPr>
        <w:ind w:left="-5" w:right="22"/>
      </w:pPr>
      <w:r>
        <w:t>После 19 лет во всех возрастных интерв</w:t>
      </w:r>
      <w:r>
        <w:t>алах количество трабекул увеличивается (r=0,56).</w:t>
      </w:r>
    </w:p>
    <w:p w:rsidR="004B6076" w:rsidRDefault="009E1091">
      <w:pPr>
        <w:spacing w:after="0"/>
        <w:ind w:left="-5" w:right="22"/>
      </w:pPr>
      <w:r>
        <w:t xml:space="preserve">Максимальная и средняя длина трабекул также зависит от возраста индивида. У лиц моложе 18 лет костных трабекул нет ввиду отсутствия костной ткани. Затем в возрасте от 19 до 35 лет отмечается их появление, и </w:t>
      </w:r>
      <w:r>
        <w:t>длина трабекул при этом наименьшая (рис. 2.2.41–2.2.44). В следующем возрастном интервале отмечается небольшое увеличение данного показателя, а в возрасте старше 61 года отмечается резкое достоверное увеличение значения изучаемого параметра. Коэффициент ко</w:t>
      </w:r>
      <w:r>
        <w:t>рреляции данных показателей с возрастом составил 0,53 и 0,67 соответственно.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521328" cy="2644807"/>
            <wp:effectExtent l="0" t="0" r="0" b="0"/>
            <wp:docPr id="2748" name="Picture 27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8" name="Picture 2748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521328" cy="2644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 xml:space="preserve">Рис. 2.2.41. </w:t>
      </w:r>
      <w:r>
        <w:t>Костные трабекулы на продольном срезе пластинки щитовидного хряща; юноша, 20 лет. Окраска по Папаниколау,</w:t>
      </w:r>
    </w:p>
    <w:p w:rsidR="004B6076" w:rsidRDefault="009E1091">
      <w:pPr>
        <w:spacing w:after="13"/>
        <w:ind w:left="-5" w:right="22"/>
      </w:pPr>
      <w:r>
        <w:t>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35657" cy="2728648"/>
            <wp:effectExtent l="0" t="0" r="0" b="0"/>
            <wp:docPr id="2753" name="Picture 27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3" name="Picture 2753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635657" cy="2728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>Рис. 2.2.42.</w:t>
      </w:r>
      <w:r>
        <w:t xml:space="preserve"> Костные трабекулы на продольном срезе </w:t>
      </w:r>
      <w:r>
        <w:t>пластинки щитовидного хряща; мужчина, 38 лет. Окраска по Папаниколау,</w:t>
      </w:r>
    </w:p>
    <w:p w:rsidR="004B6076" w:rsidRDefault="009E1091">
      <w:pPr>
        <w:spacing w:after="13"/>
        <w:ind w:left="-5" w:right="22"/>
      </w:pPr>
      <w:r>
        <w:t>×100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05169" cy="2705782"/>
            <wp:effectExtent l="0" t="0" r="0" b="0"/>
            <wp:docPr id="2758" name="Picture 27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8" name="Picture 2758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605169" cy="2705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>Рис. 2.2.43.</w:t>
      </w:r>
      <w:r>
        <w:t xml:space="preserve"> Костные трабекулы на продольном срезе пластинки щитовидного хряща; мужчина, 68 лет. Окраска по Папаниколау,</w:t>
      </w:r>
    </w:p>
    <w:p w:rsidR="004B6076" w:rsidRDefault="009E1091">
      <w:pPr>
        <w:ind w:left="-5" w:right="22"/>
      </w:pPr>
      <w:r>
        <w:t>×100</w:t>
      </w:r>
    </w:p>
    <w:p w:rsidR="004B6076" w:rsidRDefault="009E1091">
      <w:pPr>
        <w:spacing w:after="13"/>
        <w:ind w:left="-5" w:right="22"/>
      </w:pPr>
      <w:r>
        <w:rPr>
          <w:b/>
        </w:rPr>
        <w:t>Рис. 2.2.44.</w:t>
      </w:r>
      <w:r>
        <w:t xml:space="preserve"> Костные трабекулы на продольном срезе пл</w:t>
      </w:r>
      <w:r>
        <w:t>астинки щитовидного хряща; мужчина, 85 лет. Окраска по Папаниколау,</w:t>
      </w:r>
    </w:p>
    <w:p w:rsidR="004B6076" w:rsidRDefault="009E1091">
      <w:pPr>
        <w:ind w:left="-5" w:right="22"/>
      </w:pPr>
      <w:r>
        <w:t>×100</w:t>
      </w:r>
    </w:p>
    <w:p w:rsidR="004B6076" w:rsidRDefault="009E1091">
      <w:pPr>
        <w:ind w:left="-5" w:right="22"/>
      </w:pPr>
      <w:r>
        <w:t>При изучении показателя толщины кортикальной пластинки у лиц разного возраста установлено, что с возрастом отмечается рост значения данного параметра. До 18 лет кортикальная пластинка</w:t>
      </w:r>
      <w:r>
        <w:t xml:space="preserve"> отсутствует, в группе 19–35 лет отмечается ее появление с минимального значения. В последующих возрастных группах показатель увеличивается еще больше, различия между группами становятся статистически значимыми.</w:t>
      </w:r>
    </w:p>
    <w:p w:rsidR="004B6076" w:rsidRDefault="009E1091">
      <w:pPr>
        <w:spacing w:after="0"/>
        <w:ind w:left="-5" w:right="316"/>
      </w:pPr>
      <w:r>
        <w:rPr>
          <w:noProof/>
        </w:rPr>
        <w:drawing>
          <wp:anchor distT="0" distB="0" distL="114300" distR="114300" simplePos="0" relativeHeight="251681792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589926" cy="2690539"/>
            <wp:effectExtent l="0" t="0" r="0" b="0"/>
            <wp:wrapTopAndBottom/>
            <wp:docPr id="2766" name="Picture 27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6" name="Picture 2766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589926" cy="2690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 исследовании площади жировой ткани в ме</w:t>
      </w:r>
      <w:r>
        <w:t>жтрабекулярном пространстве установлено, что с возрастом отмечается рост данного показателя (рис. 2.2.45, 2.2.46). До 18 лет этого показателя нет из-за отсутствия костной ткани, в группе 19–35 лет его значение возрастает и в последующих возрастных периодах</w:t>
      </w:r>
      <w:r>
        <w:t xml:space="preserve"> увеличивается, но различие между этими двумя группами недостоверно. В следующей возрастной группе значение площади жировой ткани достигает максимального значения, и различия между группами становятся статистически значимыми. Среднее значение жировой и рет</w:t>
      </w:r>
      <w:r>
        <w:t>икулярной ткани имеет наименьшее значение в возрасте 19–35 лет с последующим увеличением до максимального значения в возрасте старше 61 года.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05169" cy="2698161"/>
            <wp:effectExtent l="0" t="0" r="0" b="0"/>
            <wp:docPr id="2782" name="Picture 27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2" name="Picture 2782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3605169" cy="2698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2.2.45.</w:t>
      </w:r>
      <w:r>
        <w:t xml:space="preserve"> Преобладание ретикулярной ткани на поперечном срезе пластинки щитовидного хряща; мужчина, 46 лет. О</w:t>
      </w:r>
      <w:r>
        <w:t>краска гематоксилин-эозином, ×200</w:t>
      </w:r>
    </w:p>
    <w:p w:rsidR="004B6076" w:rsidRDefault="009E1091">
      <w:pPr>
        <w:ind w:left="-5" w:right="22"/>
      </w:pPr>
      <w:r>
        <w:rPr>
          <w:b/>
        </w:rPr>
        <w:t>Рис. 2.2.46.</w:t>
      </w:r>
      <w:r>
        <w:t xml:space="preserve"> Преобладание жировой ткани на поперечном срезе пластинки щитовидного хряща; мужчина, 76 лет. Окраска гематоксилин-эозином, ×50</w:t>
      </w:r>
    </w:p>
    <w:p w:rsidR="004B6076" w:rsidRDefault="009E1091">
      <w:pPr>
        <w:ind w:left="-5" w:right="22"/>
      </w:pPr>
      <w:r>
        <w:t>Среднее значение площади хрящевой ткани имеет наибольшее значение в возрасте до 18</w:t>
      </w:r>
      <w:r>
        <w:t xml:space="preserve"> лет и занимает всю площадь препарата. С увеличением возраста после 19 лет во всех возрастных интервалах отмечается уменьшение данного показателя. При изучении средней площади хрящевой ткани в поле зрения в возрастной группе старше 61 года наблюдается небо</w:t>
      </w:r>
      <w:r>
        <w:t>льшое увеличение площади по сравнению с возрастом 36–60 лет.</w:t>
      </w:r>
    </w:p>
    <w:p w:rsidR="004B6076" w:rsidRDefault="009E1091">
      <w:pPr>
        <w:ind w:left="-5" w:right="22"/>
      </w:pPr>
      <w:r>
        <w:t>Показатель количества молодых хондроцитов в поле зрения имеет наибольшее значение в возрасте до 18 лет, после 19 лет он отчетливо уменьшает свое значение и стабилизируется в возрастных группах 19</w:t>
      </w:r>
      <w:r>
        <w:t>–35 лет, 36–60 лет и старше 61 года. Коэффициент корреляции данного признака с возрастом свидетельствует о наличии связи данного параметра с возрастом средней силы (r=0,5).</w:t>
      </w:r>
    </w:p>
    <w:p w:rsidR="004B6076" w:rsidRDefault="009E1091">
      <w:pPr>
        <w:ind w:left="-5" w:right="22"/>
      </w:pPr>
      <w:r>
        <w:t>Ширина зоны зрелого хряща увеличивается с возрастом. До 18 лет ширина зоны зрелого хряща имеет наименьшее значение, в группе 19–35 и 36–60 лет его значение увеличивается, но различие между этими возрастными группами недостоверно. В последующей возрастной г</w:t>
      </w:r>
      <w:r>
        <w:t>руппе старше 61 года данный показатель приобретает максимальное значение, и различия между группами становятся статистически значимыми, анализ значений данного показателя свидетельствует о наличии достоверной сильной связи данного параметра с возрастом (r=</w:t>
      </w:r>
      <w:r>
        <w:t>0,54).</w:t>
      </w:r>
    </w:p>
    <w:p w:rsidR="004B6076" w:rsidRDefault="009E1091">
      <w:pPr>
        <w:spacing w:after="304"/>
        <w:ind w:left="-5" w:right="22"/>
      </w:pPr>
      <w:r>
        <w:rPr>
          <w:b/>
        </w:rPr>
        <w:t xml:space="preserve">Резюме. </w:t>
      </w:r>
      <w:r>
        <w:t>ЩХ обладает определенной возрастной изменчивостью. Динамика происходящих изменений гистоморфометрических признаков хрящевой ткани и их совокупная оценка посредством статистического анализа позволяет выделить следующие возрастные группы: до 1</w:t>
      </w:r>
      <w:r>
        <w:t>9 лет, 19–35, 36–60, 61–75 и старше 75 лет. Возрастные изменения, происходящие в ЩХ, связаны с процессами созревания хряща, происходящими параллельно: оссификацией хрящевой ткани и замещением ретикулярной ткани жировой.</w:t>
      </w:r>
    </w:p>
    <w:p w:rsidR="004B6076" w:rsidRDefault="009E1091">
      <w:pPr>
        <w:pStyle w:val="Heading2"/>
        <w:ind w:left="-5"/>
      </w:pPr>
      <w:r>
        <w:rPr>
          <w:noProof/>
        </w:rPr>
        <w:drawing>
          <wp:anchor distT="0" distB="0" distL="114300" distR="114300" simplePos="0" relativeHeight="251682816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628035" cy="2728648"/>
            <wp:effectExtent l="0" t="0" r="0" b="0"/>
            <wp:wrapTopAndBottom/>
            <wp:docPr id="2792" name="Picture 27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2" name="Picture 2792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628035" cy="2728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2.3. Морфометрические возрастные из</w:t>
      </w:r>
      <w:r>
        <w:t>менения костной ткани</w:t>
      </w:r>
    </w:p>
    <w:p w:rsidR="004B6076" w:rsidRDefault="009E1091">
      <w:pPr>
        <w:ind w:left="-5" w:right="22"/>
      </w:pPr>
      <w:r>
        <w:rPr>
          <w:b/>
        </w:rPr>
        <w:t xml:space="preserve">Состояние вопроса. </w:t>
      </w:r>
      <w:r>
        <w:t>Идентификационное исследование неопознанного трупа, в том числе анализ неизвестного скелетного материала, требует многоуровневого, полимодального подхода, который может быть усилен применением микроскопических метод</w:t>
      </w:r>
      <w:r>
        <w:t xml:space="preserve">ов. Исследования в области биологии кости, гистоморфологии и гистоморфометрии являются основой интерпретации структуры и организации кости на микроскопическом уровне [23, 24, 65, 66, 108–110, 194, 215, 217, 220, 225–229, 235, 240, 246, 256, 284, 285, 309, </w:t>
      </w:r>
      <w:r>
        <w:t>313, 331, 353, 380, 381, 387, 390–392].</w:t>
      </w:r>
    </w:p>
    <w:p w:rsidR="004B6076" w:rsidRDefault="009E1091">
      <w:pPr>
        <w:ind w:left="-5" w:right="22"/>
      </w:pPr>
      <w:r>
        <w:t>В 1965 г. Эллис Р. Керли опубликовал методику, позволяющую оценить возраст на момент смерти путем микроскопического исследования компактной кости человека [285]. Данный метод, основанный на учете гистоморфологических</w:t>
      </w:r>
      <w:r>
        <w:t xml:space="preserve"> проявлений фундаментальных процессов формирования и ремоделирования кости, получил признание благодаря заявленной точности. С 1965 г. методика претерпела множество модификаций и дополнений, расширена область ее применения к другим костям скелета.</w:t>
      </w:r>
    </w:p>
    <w:p w:rsidR="004B6076" w:rsidRDefault="009E1091">
      <w:pPr>
        <w:ind w:left="-5" w:right="22"/>
      </w:pPr>
      <w:r>
        <w:t>Точность</w:t>
      </w:r>
      <w:r>
        <w:t xml:space="preserve"> оценки возраста на момент смерти посредством гистологического исследования обусловлена возможностью учета количественных показателей. Прикладной характер подобных исследований стимулирует развитие данного направления. В течение последнего десятилетия вект</w:t>
      </w:r>
      <w:r>
        <w:t>ор научного интереса смещается в сторону углубленного понимания биологии костной ткани посредством использования современных технологических разработок [108, 110].</w:t>
      </w:r>
    </w:p>
    <w:p w:rsidR="004B6076" w:rsidRDefault="009E1091">
      <w:pPr>
        <w:spacing w:after="0"/>
        <w:ind w:left="-5" w:right="22"/>
      </w:pPr>
      <w:r>
        <w:t xml:space="preserve">Изменения механической нагрузки, динамика минерального обмена, регенеративные потребности — </w:t>
      </w:r>
      <w:r>
        <w:t>основные факторы, под влиянием которых костная ткань непрерывно, на протяжении всего жизненного цикла перестраивается. Таким образом, основной способностью костной ткани, позволяющей ей восстанавливать микроповреждения, адекватно реагировать на внешние воз</w:t>
      </w:r>
      <w:r>
        <w:t>действия, выполнять гомеостатические функции и др., является ее способность к ремоделированию. Ремоделирование представляет собой непрерывный процесс тканевого оборота путем удаления и замены «пакетов» кости, называемых костными структурными единицами, кот</w:t>
      </w:r>
      <w:r>
        <w:t>орый происходит без изменения макроскопической архитектуры кости. Впервые его описал Н. Frost [246]. Процесс ремоделирования является непрерывным на протяжении всей жизни и включает в себя сложное расположение клеток, называемых основными многоклеточными е</w:t>
      </w:r>
      <w:r>
        <w:t>диницами. Ремоделирование — основа механической компетентности костной ткани, реализующаяся через последовательную смену активации, резорбции и образования (ARF). R.B. Martin и соавт.</w:t>
      </w:r>
    </w:p>
    <w:p w:rsidR="004B6076" w:rsidRDefault="009E1091">
      <w:pPr>
        <w:ind w:left="-5" w:right="22"/>
      </w:pPr>
      <w:r>
        <w:t>(2015) дополнили и расширили данную схему до пяти фаз: резорбция, реверс</w:t>
      </w:r>
      <w:r>
        <w:t>ирование, образование, минерализация и затишье [318].</w:t>
      </w:r>
    </w:p>
    <w:p w:rsidR="004B6076" w:rsidRDefault="009E1091">
      <w:pPr>
        <w:spacing w:after="0"/>
        <w:ind w:left="-5" w:right="22"/>
      </w:pPr>
      <w:r>
        <w:t>Поддержание костного гомеостаза включает сложные взаимодействия на молекулярном, клеточном и тканевом уровне. Остеоциты играют ключевую роль в механотрансдукции и передаче информации к эффекторным клетк</w:t>
      </w:r>
      <w:r>
        <w:t>ам (остеокластам и остеобластам). Данные взаимодействия представляют собой целостную операционную систему, которая позволяет поддерживать общую морфологию, микроархитектуру и механические свойства кости (рис. 2.3.1) [110].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025924"/>
                <wp:effectExtent l="0" t="0" r="0" b="0"/>
                <wp:docPr id="113631" name="Group 1136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025924"/>
                          <a:chOff x="0" y="0"/>
                          <a:chExt cx="4062485" cy="3025924"/>
                        </a:xfrm>
                      </wpg:grpSpPr>
                      <wps:wsp>
                        <wps:cNvPr id="2862" name="Shape 2862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5" name="Shape 2865"/>
                        <wps:cNvSpPr/>
                        <wps:spPr>
                          <a:xfrm>
                            <a:off x="7622" y="3022104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71" name="Shape 157571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72" name="Shape 157572"/>
                        <wps:cNvSpPr/>
                        <wps:spPr>
                          <a:xfrm>
                            <a:off x="0" y="301828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8" name="Shape 2868"/>
                        <wps:cNvSpPr/>
                        <wps:spPr>
                          <a:xfrm>
                            <a:off x="3811" y="7640"/>
                            <a:ext cx="0" cy="3010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10644">
                                <a:moveTo>
                                  <a:pt x="0" y="0"/>
                                </a:moveTo>
                                <a:lnTo>
                                  <a:pt x="0" y="301064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73" name="Shape 157573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74" name="Shape 157574"/>
                        <wps:cNvSpPr/>
                        <wps:spPr>
                          <a:xfrm>
                            <a:off x="4054863" y="301828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1" name="Shape 2871"/>
                        <wps:cNvSpPr/>
                        <wps:spPr>
                          <a:xfrm>
                            <a:off x="4058674" y="7640"/>
                            <a:ext cx="0" cy="3010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10644">
                                <a:moveTo>
                                  <a:pt x="0" y="0"/>
                                </a:moveTo>
                                <a:lnTo>
                                  <a:pt x="0" y="301064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873" name="Picture 2873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77"/>
                            <a:ext cx="4047241" cy="301065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3631" style="width:319.881pt;height:238.262pt;mso-position-horizontal-relative:char;mso-position-vertical-relative:line" coordsize="40624,30259">
                <v:shape id="Shape 2862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865" style="position:absolute;width:40472;height:0;left:76;top:30221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75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76" style="position:absolute;width:91;height:91;left:0;top:3018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868" style="position:absolute;width:0;height:30106;left:38;top:76;" coordsize="0,3010644" path="m0,0l0,3010644">
                  <v:stroke weight="0.600151pt" endcap="flat" dashstyle="1 1" joinstyle="bevel" on="true" color="#c0c0c0"/>
                  <v:fill on="false" color="#000000" opacity="0"/>
                </v:shape>
                <v:shape id="Shape 157577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78" style="position:absolute;width:91;height:91;left:40548;top:3018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871" style="position:absolute;width:0;height:30106;left:40586;top:76;" coordsize="0,3010644" path="m0,0l0,3010644">
                  <v:stroke weight="0.600151pt" endcap="flat" dashstyle="1 1" joinstyle="bevel" on="true" color="#c0c0c0"/>
                  <v:fill on="false" color="#000000" opacity="0"/>
                </v:shape>
                <v:shape id="Picture 2873" style="position:absolute;width:40472;height:30106;left:76;top:76;" filled="f">
                  <v:imagedata r:id="rId102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-5" w:right="22"/>
      </w:pPr>
      <w:r>
        <w:rPr>
          <w:b/>
        </w:rPr>
        <w:t>Рис. 2.3.1.</w:t>
      </w:r>
      <w:r>
        <w:t xml:space="preserve"> Активность связанных остеокластов и остеобластов, представленная в виде базовой многоклеточной единицы во время ремоделирования кости: а — остеокластическая активность вблизи переднего края режущего конуса; б — инициирование остеобластической активности; </w:t>
      </w:r>
      <w:r>
        <w:t>в — активная активность остеобластов; г — полностью сформированный интактный остеон, изображающий канал Гаверса в центре. Адаптировано из Pratta (из статьи Janna M. Andronowski, Christian Crowder и Miriam Soto</w:t>
      </w:r>
    </w:p>
    <w:p w:rsidR="004B6076" w:rsidRDefault="009E1091">
      <w:pPr>
        <w:ind w:left="-5" w:right="22"/>
      </w:pPr>
      <w:r>
        <w:t>Martinez, 2018)</w:t>
      </w:r>
    </w:p>
    <w:p w:rsidR="004B6076" w:rsidRDefault="009E1091">
      <w:pPr>
        <w:ind w:left="-5" w:right="22"/>
      </w:pPr>
      <w:r>
        <w:t>Выявление следов повторных цик</w:t>
      </w:r>
      <w:r>
        <w:t xml:space="preserve">лов перестройки костной ткани и количественный учет этих циклов за период жизни лежит в основе гистоморфометрического метода установления возраста [27, 29, 118]. Исследователи сходятся во мнении, что процесс ремоделирования является адекватным индикатором </w:t>
      </w:r>
      <w:r>
        <w:t>скелетного возраста, при этом указывают на его сложность и подверженность влиянию физиологических и механических воздействий [108, 110, 163, 318].</w:t>
      </w:r>
    </w:p>
    <w:p w:rsidR="004B6076" w:rsidRDefault="009E1091">
      <w:pPr>
        <w:spacing w:after="0"/>
        <w:ind w:left="-5" w:right="22"/>
      </w:pPr>
      <w:r>
        <w:t>Традиционная гистологическая оценка возраста основана на изучении структурных единиц кости. Структурные едини</w:t>
      </w:r>
      <w:r>
        <w:t xml:space="preserve">цы кости состоят из вторичных остеонов, подвергающихся ремоделированию в течение всей жизни, и их количество меняется с возрастом [361, 379, 380]. Наибольшее количество гистоморфометрических исследований выполнено в отношении ребра и бедренной кости. S.D. </w:t>
      </w:r>
      <w:r>
        <w:t>Stout представил оригинальную методику гистологической оценки возраста с использованием средней трети VI ребра</w:t>
      </w:r>
    </w:p>
    <w:p w:rsidR="004B6076" w:rsidRDefault="009E1091">
      <w:pPr>
        <w:spacing w:after="0"/>
        <w:ind w:left="-5" w:right="22"/>
      </w:pPr>
      <w:r>
        <w:t>[379, 380]. Выбор ребра как объекта исследования обусловлен стремлением минимизировать влияние биомеханических факторов на процесс ремоделировани</w:t>
      </w:r>
      <w:r>
        <w:t>я. Бедренная кость также является традиционным сегментом для подобных исследований [240, 285]. Несмотря на различные вариации результативных суждений, в большинстве работ прослеживаются две основные общности: это применение линейной модели для оценки возра</w:t>
      </w:r>
      <w:r>
        <w:t>ста на момент смерти и подсчет количества интактных и фрагментарных вторичных остеонов на единицу площади в качестве показателя скелетного возраста на момент смерти. Мы разделяем мнение авторов: для дальнейшего развития гистоморфометрических методов как ин</w:t>
      </w:r>
      <w:r>
        <w:t>дикатора возраста следует отказаться от утверждения, что ремоделирование костной ткани происходит с предсказуемой скоростью, и это означает уход от использования линейных моделей [227]. Остается до конца не изученным влияние внешних и внутренних факторов</w:t>
      </w:r>
    </w:p>
    <w:p w:rsidR="004B6076" w:rsidRDefault="009E1091">
      <w:pPr>
        <w:ind w:left="-5" w:right="22"/>
      </w:pPr>
      <w:r>
        <w:t>(</w:t>
      </w:r>
      <w:r>
        <w:t>механической нагрузки, хронической интоксикации, особенностей питания, гормонального фона и многого другого), что является перспективой для будущих исследований [348].</w:t>
      </w:r>
    </w:p>
    <w:p w:rsidR="004B6076" w:rsidRDefault="009E1091">
      <w:pPr>
        <w:ind w:left="-5" w:right="22"/>
      </w:pPr>
      <w:r>
        <w:t>J. Sobol и соавт. (2015), A.H. Chan и соавт. (2007) в своих работах изучают влияние мест</w:t>
      </w:r>
      <w:r>
        <w:t>а отбора проб на конечную точность результата [213, 376]. A. Crescimanno, S.D. Stout (2012) и ряд других исследователей обращают внимание на то, что в процессе возрастной трансформации происходит заполнение средней и периостальной части кортикального слоя,</w:t>
      </w:r>
      <w:r>
        <w:t xml:space="preserve"> в то же время уменьшается площадь эндостальных ламелл за счет расширения эндостальной полости и процессов трабекулярного ремоделирования [225, 284, 309]. На различия возрастных изменений кортикальной и трабекулярной области указывали H. Chen и соавт. (201</w:t>
      </w:r>
      <w:r>
        <w:t>3). Полученные ими результаты демонстрируют общее снижение толщины кортикального слоя за счет реабсорбции на эндостальном крае вследствие ремоделирования трабекулярной области [215].</w:t>
      </w:r>
    </w:p>
    <w:p w:rsidR="004B6076" w:rsidRDefault="009E1091">
      <w:pPr>
        <w:spacing w:after="0"/>
        <w:ind w:left="-5" w:right="22"/>
      </w:pPr>
      <w:r>
        <w:t>Анализ эффективности современного применения гистологической оценки возра</w:t>
      </w:r>
      <w:r>
        <w:t>ста к настоящему времени выявил ряд проблем методологического характера. Прежде всего, это сложность распознавания интактных и фрагментированных остеонов. Зачастую речь идет о субъективной оценке исследователя при их идентификации, что неизбежно приводит к</w:t>
      </w:r>
      <w:r>
        <w:t xml:space="preserve"> ошибочным результатам и разногласиям при проведении перекрестных сравнений [217, 330]. Данное обстоятельство инициирует исследователей на создание новых определений для неповрежденных и фрагментированных остеонов, которые бы ограничили субъективность оцен</w:t>
      </w:r>
      <w:r>
        <w:t>ки [232, 267]. Dempster и соавт. (2013) подчеркивают, что для стандартизации гистологической работы целесообразно использование разработанной Американской профессиональной ассоциацией номенклатуры терминов. Это значительно повышает эффективность сравнитель</w:t>
      </w:r>
      <w:r>
        <w:t xml:space="preserve">ных (перекрестных) исследований [232]. G.S. Dragoi и соавт. (2014) в своем исследовании предлагают применять для изучения гистологических структур костной ткани поляризованный свет с интерференцией (интерференционный контраст). Подобный подход существенно </w:t>
      </w:r>
      <w:r>
        <w:t>улучшает визуализацию гистотопографических ориентиров, необходимых для выполнения измерений [235]. S.D. Stout (2012) высказывает мнение, что существующие проблемы в какой-то мере связаны и с тем, что выполненные исследования основаны на стереоскопическом а</w:t>
      </w:r>
      <w:r>
        <w:t>нализе — изучении гистоструктуры костной ткани с помощью оптической микроскопии, то есть в двухмерной плоскости [379]. Традиционные гистологические методы по своей сущности являются двухмерными, что ограничивает восприятие общей биологии кости. Современные</w:t>
      </w:r>
      <w:r>
        <w:t xml:space="preserve"> цифровые технологии, такие как микрокомпьютерная томография, магнитно-резонансная томография или программное обеспечение для пространственного анализа, позволяют исследовать возрастные изменения костной ткани на трехмерном уровне [312]. I.S. Maggiano и со</w:t>
      </w:r>
      <w:r>
        <w:t>авт. (2016) применили микрокомпьютерную томографию с синхротронным излучением для реконструкции пространственной визуализации гаверсовых систем (рис. 2.3.2, 2.3.3). Подобный подход позволил изучить взаимосвязи трехмерных конструкций сетей, образованных гав</w:t>
      </w:r>
      <w:r>
        <w:t>ерсовыми каналами, и проанализировать их трансформацию с возрастом [313]. В работах D.M. Cooper и соавт. (2015) выполнен 3D-анализ морфологии остеонов. Благодаря постоянному улучшению разрешения качества сканирования микрокомпьютерной томографии становится</w:t>
      </w:r>
      <w:r>
        <w:t xml:space="preserve"> возможным наиболее точно описать 3Dархитектуру сети костных каналов и изучить вопросы ремоделирования костной ткани [223, 268]. В работе C. Hennig и соавт. (2015) использовалась комбинация методов: гистологические данные (2D) совмещены с результатами, пол</w:t>
      </w:r>
      <w:r>
        <w:t>ученными при микрокомпьютерной томографии. Это позволило сформировать представление об ориентации остеона в 3D-пространстве, уточнить сведения о дифференциации его форм на микроструктурном уровне. Авторы пришли к выводу о том, что остеоны имеют несколько р</w:t>
      </w:r>
      <w:r>
        <w:t>азличных типов по форме и большинство из них относятся к эллиптической.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057896"/>
                <wp:effectExtent l="0" t="0" r="0" b="0"/>
                <wp:docPr id="114983" name="Group 1149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057896"/>
                          <a:chOff x="0" y="0"/>
                          <a:chExt cx="4062485" cy="2057896"/>
                        </a:xfrm>
                      </wpg:grpSpPr>
                      <wps:wsp>
                        <wps:cNvPr id="2946" name="Shape 2946"/>
                        <wps:cNvSpPr/>
                        <wps:spPr>
                          <a:xfrm>
                            <a:off x="7622" y="377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9" name="Shape 2949"/>
                        <wps:cNvSpPr/>
                        <wps:spPr>
                          <a:xfrm>
                            <a:off x="7622" y="2054076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79" name="Shape 15757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80" name="Shape 157580"/>
                        <wps:cNvSpPr/>
                        <wps:spPr>
                          <a:xfrm>
                            <a:off x="0" y="205025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52" name="Shape 2952"/>
                        <wps:cNvSpPr/>
                        <wps:spPr>
                          <a:xfrm>
                            <a:off x="3811" y="7590"/>
                            <a:ext cx="0" cy="20426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42666">
                                <a:moveTo>
                                  <a:pt x="0" y="0"/>
                                </a:moveTo>
                                <a:lnTo>
                                  <a:pt x="0" y="204266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81" name="Shape 157581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82" name="Shape 157582"/>
                        <wps:cNvSpPr/>
                        <wps:spPr>
                          <a:xfrm>
                            <a:off x="4054863" y="205025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55" name="Shape 2955"/>
                        <wps:cNvSpPr/>
                        <wps:spPr>
                          <a:xfrm>
                            <a:off x="4058674" y="7590"/>
                            <a:ext cx="0" cy="20426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42666">
                                <a:moveTo>
                                  <a:pt x="0" y="0"/>
                                </a:moveTo>
                                <a:lnTo>
                                  <a:pt x="0" y="204266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957" name="Picture 2957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8"/>
                            <a:ext cx="4047241" cy="2042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4983" style="width:319.881pt;height:162.039pt;mso-position-horizontal-relative:char;mso-position-vertical-relative:line" coordsize="40624,20578">
                <v:shape id="Shape 2946" style="position:absolute;width:40472;height:0;left:76;top:3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949" style="position:absolute;width:40472;height:0;left:76;top:20540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83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84" style="position:absolute;width:91;height:91;left:0;top:2050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952" style="position:absolute;width:0;height:20426;left:38;top:75;" coordsize="0,2042666" path="m0,0l0,2042666">
                  <v:stroke weight="0.600151pt" endcap="flat" dashstyle="1 1" joinstyle="bevel" on="true" color="#c0c0c0"/>
                  <v:fill on="false" color="#000000" opacity="0"/>
                </v:shape>
                <v:shape id="Shape 157585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86" style="position:absolute;width:91;height:91;left:40548;top:2050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955" style="position:absolute;width:0;height:20426;left:40586;top:75;" coordsize="0,2042666" path="m0,0l0,2042666">
                  <v:stroke weight="0.600151pt" endcap="flat" dashstyle="1 1" joinstyle="bevel" on="true" color="#c0c0c0"/>
                  <v:fill on="false" color="#000000" opacity="0"/>
                </v:shape>
                <v:shape id="Picture 2957" style="position:absolute;width:40472;height:20426;left:76;top:76;" filled="f">
                  <v:imagedata r:id="rId104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-5" w:right="22"/>
      </w:pPr>
      <w:r>
        <w:rPr>
          <w:b/>
        </w:rPr>
        <w:t>Рис. 2.3.2.</w:t>
      </w:r>
      <w:r>
        <w:t xml:space="preserve"> Реконструкция сети гаверсовых каналов. Синхротронные микрокомпьютерные томограммы, проанализированные в Amira 5.4.1, 3D-визуализация морфологической комплексности и сложн</w:t>
      </w:r>
      <w:r>
        <w:t>ости сети гаверсовых каналов (из статьи I.S. Maggiano et al. 3-D reconstruction of Haversian systems [332])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614315"/>
                <wp:effectExtent l="0" t="0" r="0" b="0"/>
                <wp:docPr id="114984" name="Group 1149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614315"/>
                          <a:chOff x="0" y="0"/>
                          <a:chExt cx="4062485" cy="2614315"/>
                        </a:xfrm>
                      </wpg:grpSpPr>
                      <wps:wsp>
                        <wps:cNvPr id="2964" name="Shape 2964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67" name="Shape 2967"/>
                        <wps:cNvSpPr/>
                        <wps:spPr>
                          <a:xfrm>
                            <a:off x="7622" y="261049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87" name="Shape 157587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88" name="Shape 157588"/>
                        <wps:cNvSpPr/>
                        <wps:spPr>
                          <a:xfrm>
                            <a:off x="0" y="260667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70" name="Shape 2970"/>
                        <wps:cNvSpPr/>
                        <wps:spPr>
                          <a:xfrm>
                            <a:off x="3811" y="7590"/>
                            <a:ext cx="0" cy="25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9085">
                                <a:moveTo>
                                  <a:pt x="0" y="0"/>
                                </a:moveTo>
                                <a:lnTo>
                                  <a:pt x="0" y="259908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89" name="Shape 157589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90" name="Shape 157590"/>
                        <wps:cNvSpPr/>
                        <wps:spPr>
                          <a:xfrm>
                            <a:off x="4054863" y="260667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73" name="Shape 2973"/>
                        <wps:cNvSpPr/>
                        <wps:spPr>
                          <a:xfrm>
                            <a:off x="4058674" y="7590"/>
                            <a:ext cx="0" cy="25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9085">
                                <a:moveTo>
                                  <a:pt x="0" y="0"/>
                                </a:moveTo>
                                <a:lnTo>
                                  <a:pt x="0" y="259908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975" name="Picture 2975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40"/>
                            <a:ext cx="4047241" cy="25990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4984" style="width:319.881pt;height:205.852pt;mso-position-horizontal-relative:char;mso-position-vertical-relative:line" coordsize="40624,26143">
                <v:shape id="Shape 2964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2967" style="position:absolute;width:40472;height:0;left:76;top:26104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591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92" style="position:absolute;width:91;height:91;left:0;top:2606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970" style="position:absolute;width:0;height:25990;left:38;top:75;" coordsize="0,2599085" path="m0,0l0,2599085">
                  <v:stroke weight="0.600151pt" endcap="flat" dashstyle="1 1" joinstyle="bevel" on="true" color="#c0c0c0"/>
                  <v:fill on="false" color="#000000" opacity="0"/>
                </v:shape>
                <v:shape id="Shape 157593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594" style="position:absolute;width:91;height:91;left:40548;top:2606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2973" style="position:absolute;width:0;height:25990;left:40586;top:75;" coordsize="0,2599085" path="m0,0l0,2599085">
                  <v:stroke weight="0.600151pt" endcap="flat" dashstyle="1 1" joinstyle="bevel" on="true" color="#c0c0c0"/>
                  <v:fill on="false" color="#000000" opacity="0"/>
                </v:shape>
                <v:shape id="Picture 2975" style="position:absolute;width:40472;height:25990;left:76;top:76;" filled="f">
                  <v:imagedata r:id="rId106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2.3.3.</w:t>
      </w:r>
      <w:r>
        <w:t xml:space="preserve"> Дихотомное ветвление гаверсова канала (из статьи I.S. Maggiano et al. 3-D reconstruction of Haversian systems [332])</w:t>
      </w:r>
    </w:p>
    <w:p w:rsidR="004B6076" w:rsidRDefault="009E1091">
      <w:pPr>
        <w:ind w:left="-5" w:right="22"/>
      </w:pPr>
      <w:r>
        <w:t>При этом с возрас</w:t>
      </w:r>
      <w:r>
        <w:t>том наблюдается очевидное изменение в их морфологии, они становятся менее эллипсовидными и более циркулярными. Использование современного оборудования и новые научные данные открывают возможности для дальнейшего</w:t>
      </w:r>
      <w:r>
        <w:t>​</w:t>
      </w:r>
      <w:r>
        <w:t xml:space="preserve"> </w:t>
      </w:r>
      <w:r>
        <w:t>изучения микроструктуры костной ткани не то</w:t>
      </w:r>
      <w:r>
        <w:t>лько в 3D-, но и в 4D-пространстве, что, несомненно, будет способствовать более точной оценке возрастных изменений костной ткани и особенностей ее ремоделирования.</w:t>
      </w:r>
    </w:p>
    <w:p w:rsidR="004B6076" w:rsidRDefault="009E1091">
      <w:pPr>
        <w:ind w:left="-5" w:right="22"/>
      </w:pPr>
      <w:r>
        <w:t>Большинство исследователей сходятся во мнении, что фактически необходимо отказаться от понятия универсальности остеологической методологии [291]. Она (методология) не должна применяться к скелетному материалу без учета секулярного и регионального происхожд</w:t>
      </w:r>
      <w:r>
        <w:t>ения справочной коллекции, использованной при создании метода [359].</w:t>
      </w:r>
    </w:p>
    <w:p w:rsidR="004B6076" w:rsidRDefault="009E1091">
      <w:pPr>
        <w:spacing w:after="0"/>
        <w:ind w:left="-5" w:right="22"/>
      </w:pPr>
      <w:r>
        <w:t>Достаточно большое количество публикаций посвящено проверке релевантности существующих методик применительно к различным популяционным выборкам. H. Cho и соавт. (2006) использовали регрес</w:t>
      </w:r>
      <w:r>
        <w:t>сионный анализ для изучения популяционных различий в процессе ремоделирования костной ткани ребер [217]. Было проведено сравнение афроамериканской выборки и европейских американцев (белых американцев). У афроамериканцев толщина кортикального слоя больше по</w:t>
      </w:r>
      <w:r>
        <w:t xml:space="preserve"> сравнению с белыми американцами, однако в более старших возрастных группах зафиксирована обратная тенденция [217]. D. Botha и соавт. (2019) также отмечают, что стандарты оценки возраста являются индивидуальными для различных популяций. Это создает дополни</w:t>
      </w:r>
      <w:r>
        <w:t>тельные трудности при проведении экспертизы по установлению возраста неизвестного, так как имеющихся «эталонов» для определения возраста методом гистометрии недостаточно в различных как возрастных, так и популяционных когортах.</w:t>
      </w:r>
    </w:p>
    <w:p w:rsidR="004B6076" w:rsidRDefault="009E1091">
      <w:pPr>
        <w:spacing w:after="13"/>
        <w:ind w:left="-5" w:right="22"/>
      </w:pPr>
      <w:r>
        <w:t>Авторы изучили изменение с в</w:t>
      </w:r>
      <w:r>
        <w:t>озрастом количества остеонов и их фрагментов, размеров остеона и гаверсова канала и разработали регрессионные уравнения для диагностики возраста в популяции Южной Африки с точностью до 14–17 лет [203].</w:t>
      </w:r>
    </w:p>
    <w:p w:rsidR="004B6076" w:rsidRDefault="009E1091">
      <w:pPr>
        <w:ind w:left="-5" w:right="22"/>
      </w:pPr>
      <w:r>
        <w:t>S. Pfeiffer и соавт. (2016) установили, что гистоморфо</w:t>
      </w:r>
      <w:r>
        <w:t>логия костной ткани меняется по мере взросления человека и существует некоторая вариабельность механизмов и темпов процессов ремоделирования. Данные процессы остаются до конца не исследованными и поэтому необъяснимыми. Ученые подтверждают, что в работе суд</w:t>
      </w:r>
      <w:r>
        <w:t>ебно-медицинского эксперта необходима дополнительная информация о характеристиках гистологических переменных костной ткани в самых различных популяциях. Для этого ими была изучена гистоморфология кортикальной кости в популяции Южной Африки. Результаты пока</w:t>
      </w:r>
      <w:r>
        <w:t>зали, что уравнения для конкретной изучаемой популяции не увеличивают точность определения возраста, регрессионная модель для группы неизвестной этнической принадлежности определяла возраст точнее, чем уравнения, разработанные для афроамериканцев и европей</w:t>
      </w:r>
      <w:r>
        <w:t>цев-американцев по отдельности. Погрешность определения возраста составила ±24,44 года. Полученный результат авторы расценили как неточный, отметив завышение результатов у пожилых людей и занижение в группе молодых. Был сделан вывод о необходимости внедрен</w:t>
      </w:r>
      <w:r>
        <w:t>ия нового статистического подхода, проведения дальнейших исследований и подробного изучения факторов, влияющих на процессы ремоделирования кости [353]. Работа Seung-Ho Han и соавт. посвящена апробации метода определения возраста посредством гистоморфометри</w:t>
      </w:r>
      <w:r>
        <w:t>и бедренной кости в корейской популяции. Авторы изучили плотность остеонов, среднюю площадь остеонов и наибольшую ширину кортикальной пластинки. Результаты исследования свидетельствуют, что данные параметры имеют высокую корреляционную взаимосвязь с возрас</w:t>
      </w:r>
      <w:r>
        <w:t>том и могут применяться для оценки возраста для жителей Кореи [371].</w:t>
      </w:r>
    </w:p>
    <w:p w:rsidR="004B6076" w:rsidRDefault="009E1091">
      <w:pPr>
        <w:ind w:left="-5" w:right="22"/>
      </w:pPr>
      <w:r>
        <w:t>Кроме изучения признаков географической принадлежности, весьма важным является воздействие некоторых наркотических и лекарственных веществ на процесс ремоделирования костной ткани. М.В. Ф</w:t>
      </w:r>
      <w:r>
        <w:t>едулова (2004) отметила отрицательное влияние алкоголя на динамику возрастной трансформации костной ткани [154]. В работе R. Karine (2009) было проведено сравнение ряда гистоморфометрических параметров ребра у лиц, злоупотребляющих метамфетамином, и здоров</w:t>
      </w:r>
      <w:r>
        <w:t>ых лиц в различных возрастных группах [281]. Автор пришел к выводу, что плотность остеонов у потребителей метамфетамина ниже, чем у популяции в целом, что указывает на явные нарушения остеогенеза. На данный процесс могут влиять также продолжительность и тя</w:t>
      </w:r>
      <w:r>
        <w:t>жесть злоупотребления данным веществом. Исследователь подчеркивает, что ремоделирование костной ткани — это физиологический процесс, следовательно, нельзя исключать воздействие на него некоторых факторов окружающей среды, плохого питания, употребления нарк</w:t>
      </w:r>
      <w:r>
        <w:t>отиков, перенесенных и хронических болезней. К аналогичному выводу пришла группа ученых при изучении зависимости возрастных гистоморфометрических показателей от социального статуса [284]. Подобные выводы необходимо учитывать при оценке возраста у лиц из гр</w:t>
      </w:r>
      <w:r>
        <w:t>упп риска. Они указывают на необходимость проведения расширенных исследований различных групп населения, чтобы сформировать информационный банк для более целостного представления о взаимосвязи микроостеометрических показателей с питанием, образом жизни, ра</w:t>
      </w:r>
      <w:r>
        <w:t>зличными отягощающими</w:t>
      </w:r>
      <w:r>
        <w:t>​</w:t>
      </w:r>
      <w:r>
        <w:t xml:space="preserve"> </w:t>
      </w:r>
      <w:r>
        <w:t>факторами.</w:t>
      </w:r>
    </w:p>
    <w:p w:rsidR="004B6076" w:rsidRDefault="009E1091">
      <w:pPr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10510639</wp:posOffset>
                </wp:positionV>
                <wp:extent cx="7431375" cy="182761"/>
                <wp:effectExtent l="0" t="0" r="0" b="0"/>
                <wp:wrapTopAndBottom/>
                <wp:docPr id="115574" name="Group 1155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31375" cy="182761"/>
                          <a:chOff x="0" y="0"/>
                          <a:chExt cx="7431375" cy="182761"/>
                        </a:xfrm>
                      </wpg:grpSpPr>
                      <wps:wsp>
                        <wps:cNvPr id="157595" name="Shape 157595"/>
                        <wps:cNvSpPr/>
                        <wps:spPr>
                          <a:xfrm>
                            <a:off x="0" y="0"/>
                            <a:ext cx="743137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31375" h="9144">
                                <a:moveTo>
                                  <a:pt x="0" y="0"/>
                                </a:moveTo>
                                <a:lnTo>
                                  <a:pt x="7431375" y="0"/>
                                </a:lnTo>
                                <a:lnTo>
                                  <a:pt x="743137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96" name="Shape 157596"/>
                        <wps:cNvSpPr/>
                        <wps:spPr>
                          <a:xfrm>
                            <a:off x="0" y="0"/>
                            <a:ext cx="9144" cy="1827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276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2761"/>
                                </a:lnTo>
                                <a:lnTo>
                                  <a:pt x="0" y="1827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597" name="Shape 157597"/>
                        <wps:cNvSpPr/>
                        <wps:spPr>
                          <a:xfrm>
                            <a:off x="7423753" y="0"/>
                            <a:ext cx="9144" cy="1827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276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2761"/>
                                </a:lnTo>
                                <a:lnTo>
                                  <a:pt x="0" y="1827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15574" style="width:585.148pt;height:14.3906pt;position:absolute;mso-position-horizontal-relative:page;mso-position-horizontal:absolute;margin-left:4.80121pt;mso-position-vertical-relative:page;margin-top:827.609pt;" coordsize="74313,1827">
                <v:shape id="Shape 157598" style="position:absolute;width:74313;height:91;left:0;top:0;" coordsize="7431375,9144" path="m0,0l7431375,0l7431375,9144l0,9144l0,0">
                  <v:stroke weight="0pt" endcap="flat" joinstyle="miter" miterlimit="10" on="false" color="#000000" opacity="0"/>
                  <v:fill on="true" color="#000000"/>
                </v:shape>
                <v:shape id="Shape 157599" style="position:absolute;width:91;height:1827;left:0;top:0;" coordsize="9144,182761" path="m0,0l9144,0l9144,182761l0,182761l0,0">
                  <v:stroke weight="0pt" endcap="flat" joinstyle="miter" miterlimit="10" on="false" color="#000000" opacity="0"/>
                  <v:fill on="true" color="#000000"/>
                </v:shape>
                <v:shape id="Shape 157600" style="position:absolute;width:91;height:1827;left:74237;top:0;" coordsize="9144,182761" path="m0,0l9144,0l9144,182761l0,182761l0,0">
                  <v:stroke weight="0pt" endcap="flat" joinstyle="miter" miterlimit="10" on="false" color="#000000" opacity="0"/>
                  <v:fill on="true" color="#000000"/>
                </v:shape>
                <w10:wrap type="topAndBottom"/>
              </v:group>
            </w:pict>
          </mc:Fallback>
        </mc:AlternateContent>
      </w:r>
      <w:r>
        <w:t>Активная миграция населения, выраженная глобальная акселерация, увеличение количества людей, подверженных воздействию различных наркотических и токсикоманических веществ, приводит в конечном итоге к снижению точности</w:t>
      </w:r>
      <w:r>
        <w:t>​</w:t>
      </w:r>
      <w:r>
        <w:t xml:space="preserve"> </w:t>
      </w:r>
      <w:r>
        <w:t>диа</w:t>
      </w:r>
      <w:r>
        <w:t>гностики возраста посредством имеющихся в арсенале судебных медиков методов. Возможно, поэтому изучению микроструктуры костной ткани не придают должного значения в практике судебно-медицинского эксперта [178]. Отбор признаков, имеющих максимальную экспертн</w:t>
      </w:r>
      <w:r>
        <w:t>ую значимость, характеризующихся достоверностью и воспроизводимостью, проведение</w:t>
      </w:r>
      <w:r>
        <w:t>​</w:t>
      </w:r>
      <w:r>
        <w:t xml:space="preserve"> </w:t>
      </w:r>
      <w:r>
        <w:t>морфометрических исследований с программным обеспечением, отвечающим всем требованиям современной науки и практики, формирование межпопуляционных баз данных, включающих сведе</w:t>
      </w:r>
      <w:r>
        <w:t>ния о сопутствующих факторах, комплексная оценка результата с использованием современных математических основ (ММО) — вот необходимые составляющие модернизации существующих гистологических методик по оценке возраста неизвестного индивида.</w:t>
      </w:r>
    </w:p>
    <w:p w:rsidR="004B6076" w:rsidRDefault="009E1091">
      <w:pPr>
        <w:spacing w:after="13"/>
        <w:ind w:left="-5" w:right="22"/>
      </w:pPr>
      <w:r>
        <w:rPr>
          <w:b/>
        </w:rPr>
        <w:t>Методика исследов</w:t>
      </w:r>
      <w:r>
        <w:rPr>
          <w:b/>
        </w:rPr>
        <w:t xml:space="preserve">ания. </w:t>
      </w:r>
      <w:r>
        <w:t>Образцы костной ткани фиксируются в 10-процентном нейтральном растворе формальдегида</w:t>
      </w:r>
    </w:p>
    <w:p w:rsidR="004B6076" w:rsidRDefault="009E1091">
      <w:pPr>
        <w:spacing w:after="0" w:line="265" w:lineRule="auto"/>
        <w:ind w:left="1102"/>
      </w:pPr>
      <w:r>
        <w:rPr>
          <w:sz w:val="16"/>
        </w:rPr>
        <w:t>♠</w:t>
      </w:r>
    </w:p>
    <w:p w:rsidR="004B6076" w:rsidRDefault="009E1091">
      <w:pPr>
        <w:ind w:left="-5" w:right="22"/>
      </w:pPr>
      <w:r>
        <w:t>(Формалина ) не менее 5 сут; после промывки в проточной воде в течение 1–2 сут из нижнего эпифиза и диафиза выпиливаются блоки толщиной 1–1,5 см. Окончательное вып</w:t>
      </w:r>
      <w:r>
        <w:t>иливание блоков производится с помощью столярного стусла с пилой, закрепленной в положении 90°, снабженного приспособлением для закрепления кости с возможностью ее поступательного сдвига вдоль ее продольной оси. Кость закреплялась в приспособлении, и произ</w:t>
      </w:r>
      <w:r>
        <w:t>водился первый распил, перпендикулярный продольной оси кости. Далее крепежное приспособление вместе с костью сдвигалось вдоль продольной оси кости на 1–1,5 см, и производился второй распил.</w:t>
      </w:r>
    </w:p>
    <w:p w:rsidR="004B6076" w:rsidRDefault="009E1091">
      <w:pPr>
        <w:spacing w:after="0"/>
        <w:ind w:left="-5" w:right="22"/>
      </w:pPr>
      <w:r>
        <w:t>Далее проводится декальцинация костных блоков в 12-процентном раст</w:t>
      </w:r>
      <w:r>
        <w:t>воре азотной кислоты и стандартная спиртовая проводка с заливкой препаратов в целлоидин. С помощью микротома RAICHERT изготавливаются срезы костной ткани толщиной 10 мкн.</w:t>
      </w:r>
    </w:p>
    <w:p w:rsidR="004B6076" w:rsidRDefault="009E1091">
      <w:pPr>
        <w:ind w:left="-5" w:right="22"/>
      </w:pPr>
      <w:r>
        <w:t>Окраска производится гематоксилином и эозином и тионином по Шморлю согласно стандартн</w:t>
      </w:r>
      <w:r>
        <w:t>ым методикам [136].</w:t>
      </w:r>
    </w:p>
    <w:p w:rsidR="004B6076" w:rsidRDefault="009E1091">
      <w:pPr>
        <w:ind w:left="-5" w:right="22"/>
      </w:pPr>
      <w:r>
        <w:t>Кроме того, из зоны на границе средней и нижней трети диафиза выпиливаются поперечные срезы толщиной 450–600 мм, из которых изготавливаются недекальцинированные препараты костной ткани.</w:t>
      </w:r>
    </w:p>
    <w:p w:rsidR="004B6076" w:rsidRDefault="009E1091">
      <w:pPr>
        <w:ind w:left="-5" w:right="22"/>
      </w:pPr>
      <w:r>
        <w:t>При микроскопическом исследовании изготовленных пр</w:t>
      </w:r>
      <w:r>
        <w:t>епаратов костной ткани с целью унификации качественного описания гистологических препаратов костной ткани, в том числе при травмах и патологических изменениях, исследование рекомендуется проводить по стандартизированной схеме, включающей неметрическую (бал</w:t>
      </w:r>
      <w:r>
        <w:t>льную) оценку качественных признаков, таких как:</w:t>
      </w:r>
    </w:p>
    <w:p w:rsidR="004B6076" w:rsidRDefault="009E1091">
      <w:pPr>
        <w:ind w:left="310" w:right="305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-2331</wp:posOffset>
                </wp:positionV>
                <wp:extent cx="30488" cy="899418"/>
                <wp:effectExtent l="0" t="0" r="0" b="0"/>
                <wp:wrapSquare wrapText="bothSides"/>
                <wp:docPr id="115575" name="Group 1155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899418"/>
                          <a:chOff x="0" y="0"/>
                          <a:chExt cx="30488" cy="899418"/>
                        </a:xfrm>
                      </wpg:grpSpPr>
                      <wps:wsp>
                        <wps:cNvPr id="3069" name="Shape 3069"/>
                        <wps:cNvSpPr/>
                        <wps:spPr>
                          <a:xfrm>
                            <a:off x="0" y="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ubicBezTo>
                                  <a:pt x="30488" y="23713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713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71" name="Shape 3071"/>
                        <wps:cNvSpPr/>
                        <wps:spPr>
                          <a:xfrm>
                            <a:off x="0" y="144859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796"/>
                                  <a:pt x="30488" y="15230"/>
                                </a:cubicBezTo>
                                <a:cubicBezTo>
                                  <a:pt x="30488" y="2366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64"/>
                                  <a:pt x="0" y="15230"/>
                                </a:cubicBezTo>
                                <a:cubicBezTo>
                                  <a:pt x="0" y="679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73" name="Shape 3073"/>
                        <wps:cNvSpPr/>
                        <wps:spPr>
                          <a:xfrm>
                            <a:off x="0" y="289669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796"/>
                                  <a:pt x="30488" y="15230"/>
                                </a:cubicBezTo>
                                <a:cubicBezTo>
                                  <a:pt x="30488" y="2366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64"/>
                                  <a:pt x="0" y="15230"/>
                                </a:cubicBezTo>
                                <a:cubicBezTo>
                                  <a:pt x="0" y="679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75" name="Shape 3075"/>
                        <wps:cNvSpPr/>
                        <wps:spPr>
                          <a:xfrm>
                            <a:off x="0" y="434479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796"/>
                                  <a:pt x="30488" y="15230"/>
                                </a:cubicBezTo>
                                <a:cubicBezTo>
                                  <a:pt x="30488" y="2366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64"/>
                                  <a:pt x="0" y="15230"/>
                                </a:cubicBezTo>
                                <a:cubicBezTo>
                                  <a:pt x="0" y="679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77" name="Shape 3077"/>
                        <wps:cNvSpPr/>
                        <wps:spPr>
                          <a:xfrm>
                            <a:off x="0" y="579289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796"/>
                                  <a:pt x="30488" y="1523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30"/>
                                </a:cubicBezTo>
                                <a:cubicBezTo>
                                  <a:pt x="0" y="679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79" name="Shape 3079"/>
                        <wps:cNvSpPr/>
                        <wps:spPr>
                          <a:xfrm>
                            <a:off x="0" y="724098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81" name="Shape 3081"/>
                        <wps:cNvSpPr/>
                        <wps:spPr>
                          <a:xfrm>
                            <a:off x="0" y="868908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15575" style="width:2.40061pt;height:70.8203pt;position:absolute;mso-position-horizontal-relative:text;mso-position-horizontal:absolute;margin-left:15.0038pt;mso-position-vertical-relative:text;margin-top:-0.183594pt;" coordsize="304,8994">
                <v:shape id="Shape 3069" style="position:absolute;width:304;height:305;left:0;top:0;" coordsize="30488,30510" path="m15244,0c23663,0,30488,6846,30488,15280c30488,23713,23663,30510,15244,30510c6825,30510,0,23713,0,15280c0,6846,6825,0,15244,0x">
                  <v:stroke weight="0.600151pt" endcap="square" joinstyle="bevel" on="true" color="#000000"/>
                  <v:fill on="true" color="#000000"/>
                </v:shape>
                <v:shape id="Shape 3071" style="position:absolute;width:304;height:304;left:0;top:1448;" coordsize="30488,30460" path="m15244,0c23663,0,30488,6796,30488,15230c30488,23664,23663,30460,15244,30460c6825,30460,0,23664,0,15230c0,6796,6825,0,15244,0x">
                  <v:stroke weight="0.600151pt" endcap="square" joinstyle="bevel" on="true" color="#000000"/>
                  <v:fill on="true" color="#000000"/>
                </v:shape>
                <v:shape id="Shape 3073" style="position:absolute;width:304;height:304;left:0;top:2896;" coordsize="30488,30460" path="m15244,0c23663,0,30488,6796,30488,15230c30488,23664,23663,30460,15244,30460c6825,30460,0,23664,0,15230c0,6796,6825,0,15244,0x">
                  <v:stroke weight="0.600151pt" endcap="square" joinstyle="bevel" on="true" color="#000000"/>
                  <v:fill on="true" color="#000000"/>
                </v:shape>
                <v:shape id="Shape 3075" style="position:absolute;width:304;height:304;left:0;top:4344;" coordsize="30488,30460" path="m15244,0c23663,0,30488,6796,30488,15230c30488,23664,23663,30460,15244,30460c6825,30460,0,23664,0,15230c0,6796,6825,0,15244,0x">
                  <v:stroke weight="0.600151pt" endcap="square" joinstyle="bevel" on="true" color="#000000"/>
                  <v:fill on="true" color="#000000"/>
                </v:shape>
                <v:shape id="Shape 3077" style="position:absolute;width:304;height:305;left:0;top:5792;" coordsize="30488,30510" path="m15244,0c23663,0,30488,6796,30488,15230c30488,23664,23663,30510,15244,30510c6825,30510,0,23664,0,15230c0,6796,6825,0,15244,0x">
                  <v:stroke weight="0.600151pt" endcap="square" joinstyle="bevel" on="true" color="#000000"/>
                  <v:fill on="true" color="#000000"/>
                </v:shape>
                <v:shape id="Shape 3079" style="position:absolute;width:304;height:305;left:0;top:7240;" coordsize="30488,30510" path="m15244,0c23663,0,30488,6846,30488,15230c30488,23664,23663,30510,15244,30510c6825,30510,0,23664,0,15230c0,6846,6825,0,15244,0x">
                  <v:stroke weight="0.600151pt" endcap="square" joinstyle="bevel" on="true" color="#000000"/>
                  <v:fill on="true" color="#000000"/>
                </v:shape>
                <v:shape id="Shape 3081" style="position:absolute;width:304;height:305;left:0;top:8689;" coordsize="30488,30510" path="m15244,0c23663,0,30488,6846,30488,15280c30488,23664,23663,30510,15244,30510c6825,30510,0,23664,0,1528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t>наличие или отсутствие линии минерализации суставного хряща; наличие или отсутствие синостозирования; толщина костных балок в баллах; различия между толщиной костных балок в верхней и нижней части препарата</w:t>
      </w:r>
      <w:r>
        <w:t xml:space="preserve"> эпифиза; наличие ячеистой структуры под субхондральным хрящом; наличие выраженного скопления костных балок на месте бывшей эпифизарной пластинки; количество эндотрабекулярных остеонов.</w:t>
      </w:r>
    </w:p>
    <w:p w:rsidR="004B6076" w:rsidRDefault="009E1091">
      <w:pPr>
        <w:ind w:left="-5" w:right="22"/>
      </w:pPr>
      <w:r>
        <w:t>Дальнейшее гистоморфометрическое исследование проводится в соответстви</w:t>
      </w:r>
      <w:r>
        <w:t>и с общими методическими рекомендациями [1, 23, 24]. Методика проведения измерений представлена в табл. 2.3.1, перечень измеряемых признаков — в табл. 2.3.2.</w:t>
      </w:r>
    </w:p>
    <w:p w:rsidR="004B6076" w:rsidRDefault="009E1091">
      <w:pPr>
        <w:ind w:left="-5" w:right="22"/>
      </w:pPr>
      <w:r>
        <w:rPr>
          <w:b/>
        </w:rPr>
        <w:t>Таблица 2.3.1.</w:t>
      </w:r>
      <w:r>
        <w:t xml:space="preserve"> Морфометрические параметры в костной ткани</w:t>
      </w:r>
    </w:p>
    <w:tbl>
      <w:tblPr>
        <w:tblStyle w:val="TableGrid"/>
        <w:tblpPr w:vertAnchor="page" w:horzAnchor="page" w:tblpX="2803" w:tblpY="6"/>
        <w:tblOverlap w:val="never"/>
        <w:tblW w:w="8954" w:type="dxa"/>
        <w:tblInd w:w="0" w:type="dxa"/>
        <w:tblCellMar>
          <w:top w:w="0" w:type="dxa"/>
          <w:left w:w="1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8954"/>
      </w:tblGrid>
      <w:tr w:rsidR="004B6076">
        <w:trPr>
          <w:trHeight w:val="492"/>
        </w:trPr>
        <w:tc>
          <w:tcPr>
            <w:tcW w:w="89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Способ измерения</w:t>
            </w:r>
          </w:p>
        </w:tc>
      </w:tr>
    </w:tbl>
    <w:tbl>
      <w:tblPr>
        <w:tblStyle w:val="TableGrid"/>
        <w:tblpPr w:vertAnchor="page" w:horzAnchor="page" w:tblpX="1086" w:tblpY="6"/>
        <w:tblOverlap w:val="never"/>
        <w:tblW w:w="1680" w:type="dxa"/>
        <w:tblInd w:w="0" w:type="dxa"/>
        <w:tblCellMar>
          <w:top w:w="106" w:type="dxa"/>
          <w:left w:w="1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680"/>
      </w:tblGrid>
      <w:tr w:rsidR="004B6076">
        <w:trPr>
          <w:trHeight w:val="492"/>
        </w:trPr>
        <w:tc>
          <w:tcPr>
            <w:tcW w:w="16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Название признака</w:t>
            </w:r>
          </w:p>
        </w:tc>
      </w:tr>
    </w:tbl>
    <w:tbl>
      <w:tblPr>
        <w:tblStyle w:val="TableGrid"/>
        <w:tblpPr w:vertAnchor="page" w:horzAnchor="page" w:tblpX="138" w:tblpY="6"/>
        <w:tblOverlap w:val="never"/>
        <w:tblW w:w="912" w:type="dxa"/>
        <w:tblInd w:w="0" w:type="dxa"/>
        <w:tblCellMar>
          <w:top w:w="106" w:type="dxa"/>
          <w:left w:w="18" w:type="dxa"/>
          <w:bottom w:w="0" w:type="dxa"/>
          <w:right w:w="23" w:type="dxa"/>
        </w:tblCellMar>
        <w:tblLook w:val="04A0" w:firstRow="1" w:lastRow="0" w:firstColumn="1" w:lastColumn="0" w:noHBand="0" w:noVBand="1"/>
      </w:tblPr>
      <w:tblGrid>
        <w:gridCol w:w="912"/>
      </w:tblGrid>
      <w:tr w:rsidR="004B6076">
        <w:trPr>
          <w:trHeight w:val="492"/>
        </w:trPr>
        <w:tc>
          <w:tcPr>
            <w:tcW w:w="9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Имя признака</w:t>
            </w:r>
          </w:p>
        </w:tc>
      </w:tr>
    </w:tbl>
    <w:p w:rsidR="004B6076" w:rsidRDefault="009E1091">
      <w:pPr>
        <w:spacing w:after="34" w:line="259" w:lineRule="auto"/>
        <w:ind w:left="-96" w:right="18" w:firstLine="0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0</wp:posOffset>
                </wp:positionV>
                <wp:extent cx="7622" cy="10693400"/>
                <wp:effectExtent l="0" t="0" r="0" b="0"/>
                <wp:wrapSquare wrapText="bothSides"/>
                <wp:docPr id="124472" name="Group 1244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2" cy="10693400"/>
                          <a:chOff x="0" y="0"/>
                          <a:chExt cx="7622" cy="10693400"/>
                        </a:xfrm>
                      </wpg:grpSpPr>
                      <wps:wsp>
                        <wps:cNvPr id="157601" name="Shape 157601"/>
                        <wps:cNvSpPr/>
                        <wps:spPr>
                          <a:xfrm>
                            <a:off x="0" y="0"/>
                            <a:ext cx="9144" cy="10693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69340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693400"/>
                                </a:lnTo>
                                <a:lnTo>
                                  <a:pt x="0" y="106934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472" style="width:0.600151pt;height:842pt;position:absolute;mso-position-horizontal-relative:page;mso-position-horizontal:absolute;margin-left:4.80121pt;mso-position-vertical-relative:page;margin-top:0pt;" coordsize="76,106934">
                <v:shape id="Shape 157602" style="position:absolute;width:91;height:106934;left:0;top:0;" coordsize="9144,10693400" path="m0,0l9144,0l9144,10693400l0,10693400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page">
                  <wp:posOffset>7484728</wp:posOffset>
                </wp:positionH>
                <wp:positionV relativeFrom="page">
                  <wp:posOffset>0</wp:posOffset>
                </wp:positionV>
                <wp:extent cx="7622" cy="10693400"/>
                <wp:effectExtent l="0" t="0" r="0" b="0"/>
                <wp:wrapSquare wrapText="bothSides"/>
                <wp:docPr id="124473" name="Group 124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2" cy="10693400"/>
                          <a:chOff x="0" y="0"/>
                          <a:chExt cx="7622" cy="10693400"/>
                        </a:xfrm>
                      </wpg:grpSpPr>
                      <wps:wsp>
                        <wps:cNvPr id="157603" name="Shape 157603"/>
                        <wps:cNvSpPr/>
                        <wps:spPr>
                          <a:xfrm>
                            <a:off x="0" y="0"/>
                            <a:ext cx="9144" cy="10693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69340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693400"/>
                                </a:lnTo>
                                <a:lnTo>
                                  <a:pt x="0" y="106934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473" style="width:0.600159pt;height:842pt;position:absolute;mso-position-horizontal-relative:page;mso-position-horizontal:absolute;margin-left:589.349pt;mso-position-vertical-relative:page;margin-top:0pt;" coordsize="76,106934">
                <v:shape id="Shape 157604" style="position:absolute;width:91;height:106934;left:0;top:0;" coordsize="9144,10693400" path="m0,0l9144,0l9144,10693400l0,10693400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</w:p>
    <w:tbl>
      <w:tblPr>
        <w:tblStyle w:val="TableGrid"/>
        <w:tblW w:w="11619" w:type="dxa"/>
        <w:tblInd w:w="4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1716"/>
        <w:gridCol w:w="8972"/>
      </w:tblGrid>
      <w:tr w:rsidR="004B6076">
        <w:trPr>
          <w:trHeight w:val="1632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632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B1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632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Площадь трабекулярной кости в поле зрения нижнего эпифиза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632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52" w:line="259" w:lineRule="auto"/>
                    <w:ind w:left="0" w:firstLine="0"/>
                  </w:pPr>
                  <w:r>
                    <w:t>На препарате при увеличении в 20 раз считается площадь в пяти полях зрения с пропуском в 2–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3 поля зрения, измеряется площадь сразу всех расположенных в поле зрения балок, или</w:t>
                  </w:r>
                  <w:r>
                    <w:t>​</w:t>
                  </w:r>
                </w:p>
                <w:p w:rsidR="004B6076" w:rsidRDefault="009E1091">
                  <w:pPr>
                    <w:spacing w:after="0" w:line="234" w:lineRule="auto"/>
                    <w:ind w:left="0" w:firstLine="0"/>
                  </w:pPr>
                  <w:r>
                    <w:t>«островков» (рис. 2.3.4, б). Результаты измерений в пяти полях зрения суммируются, полученное значение делится на 5, в результате получена средняя толщина кортикальной пла</w:t>
                  </w:r>
                  <w:r>
                    <w:t xml:space="preserve">стинки в поле зрения микроскопа. </w:t>
                  </w:r>
                  <w:r>
                    <w:rPr>
                      <w:i/>
                    </w:rPr>
                    <w:t>На срезе трабекулярная кость может быть сохранена полностью в виде сети из толстых балок, но чаще бывает в той или иной степени разрушена и имеет вид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rPr>
                      <w:i/>
                    </w:rPr>
                    <w:t>«поломанных досок» или «островков»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176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176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B2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110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176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Длина трабекулярной поверхности в поле зрения нижнего эпифиза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176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На препарате при увеличении в 20 раз считается длина трабекулярной поверхности в пяти полях зрения, с пропуском в 2–3 поля зрения. Стороны, примыкающие к краю поля зрения, не учитывались (рис. 2.3.4, а).</w:t>
                  </w:r>
                  <w:r>
                    <w:rPr>
                      <w:i/>
                    </w:rPr>
                    <w:t xml:space="preserve"> Длина трабекулярной поверхности — это общая протяжен</w:t>
                  </w:r>
                  <w:r>
                    <w:rPr>
                      <w:i/>
                    </w:rPr>
                    <w:t>ность сторон всех балок, находящихся в поле зрения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94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94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B3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85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948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Диаметр гаверсова канала в поле зрения нижнего эпифиза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948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 xml:space="preserve">В препарате на увеличении 10 в пяти полях зрения с пропуском в 2 поля зрения измеряется диаметр гаверсова канала в пяти полях зрения микроскопа с пропуском каждого второго поля зрения. </w:t>
                  </w:r>
                  <w:r>
                    <w:rPr>
                      <w:i/>
                    </w:rPr>
                    <w:t>Гаверсов канал — это канал, содержащий сосуд и окруженный концентрическ</w:t>
                  </w:r>
                  <w:r>
                    <w:rPr>
                      <w:i/>
                    </w:rPr>
                    <w:t xml:space="preserve">ими костными пластинками, расположенный в кортикальной зоне кости </w:t>
                  </w:r>
                  <w:r>
                    <w:t>(рис. 2.3.4, г)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176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176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B4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47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176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Количество сосудов в поле зрения нижнего эпифиза, среднее в поле зрения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0" w:type="dxa"/>
                <w:left w:w="18" w:type="dxa"/>
                <w:bottom w:w="0" w:type="dxa"/>
                <w:right w:w="79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176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 xml:space="preserve">Проводится подсчет сосудов, находящихся в гаверсовых каналах в пяти полях зрения микроскопа с пропуском каждого второго поля зрения на увеличении 10, затем вычисляется среднее значение. </w:t>
                  </w:r>
                  <w:r>
                    <w:rPr>
                      <w:i/>
                    </w:rPr>
                    <w:t>В гаверсовом канале может быть один или несколько сосудов</w:t>
                  </w:r>
                  <w:r>
                    <w:t xml:space="preserve"> (рис. 2.3.4,</w:t>
                  </w:r>
                  <w:r>
                    <w:t xml:space="preserve"> в)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3457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3457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B5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3457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Площадь субхондральной пластинки в поле зрения нижнего эпифиза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106" w:type="dxa"/>
                <w:left w:w="18" w:type="dxa"/>
                <w:bottom w:w="0" w:type="dxa"/>
                <w:right w:w="42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3457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34" w:lineRule="auto"/>
                    <w:ind w:left="0" w:firstLine="0"/>
                  </w:pPr>
                  <w:r>
                    <w:t>В препарате на увеличении 20 в пяти полях зрения с пропуском в 2 поля зрения измеряется площадь субхондральной пластинки в поле зрения, затем проводится расчет среднего показателя для образца.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rPr>
                      <w:i/>
                    </w:rPr>
                    <w:t>В каждом поле зрения субхондральная пластинка имеет вид неправи</w:t>
                  </w:r>
                  <w:r>
                    <w:rPr>
                      <w:i/>
                    </w:rPr>
                    <w:t>льного прямоугольника, расположенного вертикально, горизонтально или диагонально. При диагональном расположении субхондральной пластинки она приобретает вид трапеции, в этом случае необходимо ее зрительно преобразовать в прямоугольник. При измерении площад</w:t>
                  </w:r>
                  <w:r>
                    <w:rPr>
                      <w:i/>
                    </w:rPr>
                    <w:t>и необходимо учитывать все неровности ее наибольших сторон, одна из которых образована линией минерализации, а вторая — границей между костной тканью и костным мозгом, заполняющим ячейки между балками (рис. 2.3.5, г). Субхондральная (подхрящевая) пластинка</w:t>
                  </w:r>
                  <w:r>
                    <w:rPr>
                      <w:i/>
                    </w:rPr>
                    <w:t xml:space="preserve"> — зона костной ткани, находящаяся под суставным хрящом и отделенная от него линией минерализации, имеющей вид темно-синей неровной, иногда двойной линии. Субхондральная пластинка обычно содержит некоторое количество хряща, имеющего вид розовой прослойки м</w:t>
                  </w:r>
                  <w:r>
                    <w:rPr>
                      <w:i/>
                    </w:rPr>
                    <w:t>ежду линией минерализации и костной тканью, которая отличается от хрящевой более ярким цветом и отчетливой структурой, состоящей из остеонов и костных пластинок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176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176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B6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176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Длина субхондральной пластинки в поле зрения нижнего эпифиза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0" w:type="dxa"/>
                <w:left w:w="18" w:type="dxa"/>
                <w:bottom w:w="0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176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 препарате на увеличении 20 в пяти полях зрения с пропуском в 2 поля зрения измеряется длина субхондральной пластинки, определяется путем измерения длины линии минерализации в поле зрения (рис. 2.3.5, в), затем проводится расчет среднего показателя для об</w:t>
                  </w:r>
                  <w:r>
                    <w:t>разца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176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176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B7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50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176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Площадь хряща в субхондральной пластинке (в поле зрения нижнего эпифиза)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106" w:type="dxa"/>
                <w:left w:w="18" w:type="dxa"/>
                <w:bottom w:w="0" w:type="dxa"/>
                <w:right w:w="19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176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 препарате на увеличении 20 в пяти полях зрения с пропуском в 2–3 поля зрения измеряется площадь хряща в субхондральной пластинке, то есть находящегося между линией минерализации и костной тканью (рис. 2.3.5, а), затем проводится расчет среднего показател</w:t>
                  </w:r>
                  <w:r>
                    <w:t>я для образца. Результаты измерений в пяти полях зрения суммируются, полученное значение делится на 5, в результате получена средняя толщина кортикальной пластинки в поле зрения микроскопа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404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404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B8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404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right="139" w:firstLine="0"/>
                  </w:pPr>
                  <w:r>
                    <w:t>Толщина трабекулярной кости (в поле зрения нижнего эпифиза); B1/B2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0" w:type="dxa"/>
                <w:left w:w="18" w:type="dxa"/>
                <w:bottom w:w="0" w:type="dxa"/>
                <w:right w:w="86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404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Данный признак является расчетным и был получен в результате деления площади трабекулы на длину трабекулы нижнего эпифиза в поле зрения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176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176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B9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48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176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Средняя толщина субхондральной пластинки (в поле зрения нижнего эпифиза); B5/B6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176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Данный признак является расчетным и был получен с использованием площади субхондральной пластинки в поле зрения и длины субхондральной пластинки в поле зрения (рис. 2.3.5, б)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404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404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В10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0" w:type="dxa"/>
                <w:left w:w="18" w:type="dxa"/>
                <w:bottom w:w="0" w:type="dxa"/>
                <w:right w:w="48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404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Cредняя толщина слоя наружных генеральных пластинок диафиза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404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33" w:lineRule="auto"/>
                    <w:ind w:left="0" w:firstLine="0"/>
                  </w:pPr>
                  <w:r>
                    <w:t>В препарате на увеличении 20 в пяти полях зрения с пропуском в 2–3 поля зрения измерялась толщина слоя наружной генеральной пластинки, результаты измерений в пяти полях зрения суммируются, полученное значение делится на 5, в результате получена средняя тол</w:t>
                  </w:r>
                  <w:r>
                    <w:t>щина кортикальной пластинки в поле зрения микроскопа.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rPr>
                      <w:i/>
                    </w:rPr>
                    <w:t>Слой наружных генеральных пластинок — это слой костных пластинок, окружающих всю кость снаружи (рис. 2.3.7, б)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</w:tbl>
    <w:tbl>
      <w:tblPr>
        <w:tblStyle w:val="TableGrid"/>
        <w:tblpPr w:vertAnchor="page" w:horzAnchor="page" w:tblpX="2803" w:tblpY="6"/>
        <w:tblOverlap w:val="never"/>
        <w:tblW w:w="8954" w:type="dxa"/>
        <w:tblInd w:w="0" w:type="dxa"/>
        <w:tblCellMar>
          <w:top w:w="106" w:type="dxa"/>
          <w:left w:w="18" w:type="dxa"/>
          <w:bottom w:w="0" w:type="dxa"/>
          <w:right w:w="79" w:type="dxa"/>
        </w:tblCellMar>
        <w:tblLook w:val="04A0" w:firstRow="1" w:lastRow="0" w:firstColumn="1" w:lastColumn="0" w:noHBand="0" w:noVBand="1"/>
      </w:tblPr>
      <w:tblGrid>
        <w:gridCol w:w="8954"/>
      </w:tblGrid>
      <w:tr w:rsidR="004B6076">
        <w:trPr>
          <w:trHeight w:val="1404"/>
        </w:trPr>
        <w:tc>
          <w:tcPr>
            <w:tcW w:w="89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B6076" w:rsidRDefault="009E1091">
            <w:pPr>
              <w:spacing w:after="0" w:line="233" w:lineRule="auto"/>
              <w:ind w:left="0" w:firstLine="0"/>
            </w:pPr>
            <w:r>
              <w:t>В препарате на увеличении 20 в пяти полях зрения с пропуском в 2–3 поля зрения измеряется толщина слоя остеонов диафиза, вычисляется среднее значение.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i/>
              </w:rPr>
              <w:t>Толщина слоя остеонов — это расстояние между внутренними и наружными генеральными пластинками. Остеоны вм</w:t>
            </w:r>
            <w:r>
              <w:rPr>
                <w:i/>
              </w:rPr>
              <w:t>есте со вставочными пластинками образуют широкий средний слой трубчатой кости. Со стороны периоста он окружен наружными генеральными пластинками, а изнутри со стороны эндоста — внутренними генеральными</w:t>
            </w:r>
          </w:p>
        </w:tc>
      </w:tr>
    </w:tbl>
    <w:tbl>
      <w:tblPr>
        <w:tblStyle w:val="TableGrid"/>
        <w:tblpPr w:vertAnchor="page" w:horzAnchor="page" w:tblpX="1086" w:tblpY="6"/>
        <w:tblOverlap w:val="never"/>
        <w:tblW w:w="1680" w:type="dxa"/>
        <w:tblInd w:w="0" w:type="dxa"/>
        <w:tblCellMar>
          <w:top w:w="0" w:type="dxa"/>
          <w:left w:w="18" w:type="dxa"/>
          <w:bottom w:w="0" w:type="dxa"/>
          <w:right w:w="48" w:type="dxa"/>
        </w:tblCellMar>
        <w:tblLook w:val="04A0" w:firstRow="1" w:lastRow="0" w:firstColumn="1" w:lastColumn="0" w:noHBand="0" w:noVBand="1"/>
      </w:tblPr>
      <w:tblGrid>
        <w:gridCol w:w="1680"/>
      </w:tblGrid>
      <w:tr w:rsidR="004B6076">
        <w:trPr>
          <w:trHeight w:val="1404"/>
        </w:trPr>
        <w:tc>
          <w:tcPr>
            <w:tcW w:w="16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Средняя толщина слоя остеонов диафиза</w:t>
            </w:r>
          </w:p>
        </w:tc>
      </w:tr>
    </w:tbl>
    <w:tbl>
      <w:tblPr>
        <w:tblStyle w:val="TableGrid"/>
        <w:tblpPr w:vertAnchor="page" w:horzAnchor="page" w:tblpX="138" w:tblpY="6"/>
        <w:tblOverlap w:val="never"/>
        <w:tblW w:w="912" w:type="dxa"/>
        <w:tblInd w:w="0" w:type="dxa"/>
        <w:tblCellMar>
          <w:top w:w="0" w:type="dxa"/>
          <w:left w:w="1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912"/>
      </w:tblGrid>
      <w:tr w:rsidR="004B6076">
        <w:trPr>
          <w:trHeight w:val="1404"/>
        </w:trPr>
        <w:tc>
          <w:tcPr>
            <w:tcW w:w="9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В11</w:t>
            </w:r>
          </w:p>
        </w:tc>
      </w:tr>
    </w:tbl>
    <w:p w:rsidR="004B6076" w:rsidRDefault="009E1091">
      <w:pPr>
        <w:spacing w:after="946" w:line="259" w:lineRule="auto"/>
        <w:ind w:left="-96" w:right="18" w:firstLine="0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0</wp:posOffset>
                </wp:positionV>
                <wp:extent cx="7622" cy="10693400"/>
                <wp:effectExtent l="0" t="0" r="0" b="0"/>
                <wp:wrapSquare wrapText="bothSides"/>
                <wp:docPr id="132142" name="Group 132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2" cy="10693400"/>
                          <a:chOff x="0" y="0"/>
                          <a:chExt cx="7622" cy="10693400"/>
                        </a:xfrm>
                      </wpg:grpSpPr>
                      <wps:wsp>
                        <wps:cNvPr id="157605" name="Shape 157605"/>
                        <wps:cNvSpPr/>
                        <wps:spPr>
                          <a:xfrm>
                            <a:off x="0" y="0"/>
                            <a:ext cx="9144" cy="10693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69340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693400"/>
                                </a:lnTo>
                                <a:lnTo>
                                  <a:pt x="0" y="106934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32142" style="width:0.600151pt;height:842pt;position:absolute;mso-position-horizontal-relative:page;mso-position-horizontal:absolute;margin-left:4.80121pt;mso-position-vertical-relative:page;margin-top:0pt;" coordsize="76,106934">
                <v:shape id="Shape 157606" style="position:absolute;width:91;height:106934;left:0;top:0;" coordsize="9144,10693400" path="m0,0l9144,0l9144,10693400l0,10693400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page">
                  <wp:posOffset>7484728</wp:posOffset>
                </wp:positionH>
                <wp:positionV relativeFrom="page">
                  <wp:posOffset>0</wp:posOffset>
                </wp:positionV>
                <wp:extent cx="7622" cy="10693400"/>
                <wp:effectExtent l="0" t="0" r="0" b="0"/>
                <wp:wrapSquare wrapText="bothSides"/>
                <wp:docPr id="132143" name="Group 132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2" cy="10693400"/>
                          <a:chOff x="0" y="0"/>
                          <a:chExt cx="7622" cy="10693400"/>
                        </a:xfrm>
                      </wpg:grpSpPr>
                      <wps:wsp>
                        <wps:cNvPr id="157607" name="Shape 157607"/>
                        <wps:cNvSpPr/>
                        <wps:spPr>
                          <a:xfrm>
                            <a:off x="0" y="0"/>
                            <a:ext cx="9144" cy="10693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69340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693400"/>
                                </a:lnTo>
                                <a:lnTo>
                                  <a:pt x="0" y="106934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32143" style="width:0.600159pt;height:842pt;position:absolute;mso-position-horizontal-relative:page;mso-position-horizontal:absolute;margin-left:589.349pt;mso-position-vertical-relative:page;margin-top:0pt;" coordsize="76,106934">
                <v:shape id="Shape 157608" style="position:absolute;width:91;height:106934;left:0;top:0;" coordsize="9144,10693400" path="m0,0l9144,0l9144,10693400l0,10693400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</w:p>
    <w:tbl>
      <w:tblPr>
        <w:tblStyle w:val="TableGrid"/>
        <w:tblW w:w="11619" w:type="dxa"/>
        <w:tblInd w:w="4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1716"/>
        <w:gridCol w:w="8972"/>
      </w:tblGrid>
      <w:tr w:rsidR="004B6076">
        <w:trPr>
          <w:trHeight w:val="1404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404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В12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404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Максимальная толщина слоя внутренних генеральных пластинок диафиза, мкм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404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33" w:lineRule="auto"/>
                    <w:ind w:left="0" w:firstLine="0"/>
                  </w:pPr>
                  <w:r>
                    <w:t>В препарате на увеличении 20 в пяти полях зрения с пропуском в 2–3 поля зрения измерялась толщина слоя внутренних генеральных пластинок (в поле зрения диафиза), измеряется максимальнгая длина в поле зрения, затем проводится расчет среднего показателя для о</w:t>
                  </w:r>
                  <w:r>
                    <w:t xml:space="preserve">бразца. </w:t>
                  </w:r>
                  <w:r>
                    <w:rPr>
                      <w:i/>
                    </w:rPr>
                    <w:t>Слой внутренних генеральных пластинок — это слой костных пластинок, окружающих костномозговую полость изнутри, представляющий собой внутреннюю часть кортикального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rPr>
                      <w:i/>
                    </w:rPr>
                    <w:t>слоя (рис. 2.3.7, а)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416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416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B13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0" w:type="dxa"/>
                <w:left w:w="18" w:type="dxa"/>
                <w:bottom w:w="0" w:type="dxa"/>
                <w:right w:w="101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416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Количество остеонов в нижнем эпифизе, среднее в поле зрения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416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34" w:lineRule="auto"/>
                    <w:ind w:left="0" w:firstLine="0"/>
                  </w:pPr>
                  <w:r>
                    <w:t>Проводится подсчет остеонов в пяти полях зрения микроскопа с пропуском каждого второго поля зрения на увеличении 10, затем вычисляется среднее значение.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rPr>
                      <w:i/>
                    </w:rPr>
                    <w:t>Остеон — совокупность концентрических пластинок вокруг гаверсова канала с сосудом, отделенная от соседних структур того же типа темной линией — линией склеивания. Расположены остеоны в кортикальном слое костной ткани между слоями наружных и внутренних гене</w:t>
                  </w:r>
                  <w:r>
                    <w:rPr>
                      <w:i/>
                    </w:rPr>
                    <w:t>ральных пластинок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404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404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В14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101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404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Минимальная толщина субхондральной пластинки в нижнем эпифизе, мкм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404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 препарате на увеличении 20 в пяти полях зрения с пропуском в 2–3 поля зрения измеряется толщина субхондральной пластинки, измеряется минимальная длина в поле зрения, затем проводится расчет среднего показателя для образца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404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404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В15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0" w:type="dxa"/>
                <w:left w:w="18" w:type="dxa"/>
                <w:bottom w:w="0" w:type="dxa"/>
                <w:right w:w="31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404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Количество остеонов в диафизе, среднее в поле зрения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404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 xml:space="preserve">В препарате на увеличении 20 в пяти полях зрения с пропуском в 2–3 поля зрения считается количество остеонов в каждом поле зрения, далее вычисляется среднее значение для образца. </w:t>
                  </w:r>
                  <w:r>
                    <w:rPr>
                      <w:i/>
                    </w:rPr>
                    <w:t>Остеон — совокупность концентрических пластинок вокруг гаверсова канала с сосудом, отделенная от соседних структур того же типа темной линией — линией склеивания. Расположены остеоны в кортикальном слое костной ткани между слоями наружных и внутренних гене</w:t>
                  </w:r>
                  <w:r>
                    <w:rPr>
                      <w:i/>
                    </w:rPr>
                    <w:t>ральных пластинок (рис. 2.3.6, а)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632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632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В16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13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632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Количество темноокрашенных ализариновым красным остеонов в диафизе, среднее в поле зрения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632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33" w:lineRule="auto"/>
                    <w:ind w:left="0" w:firstLine="0"/>
                  </w:pPr>
                  <w:r>
                    <w:t xml:space="preserve">В препарате на увеличении 20 в пяти полях зрения с пропуском в 2–3 поля зрения считается количество остеонов в каждом поле зрения, далее вычисляется среднее значение для образца. </w:t>
                  </w:r>
                  <w:r>
                    <w:rPr>
                      <w:i/>
                    </w:rPr>
                    <w:t>Интенсивность окраски остеонов ализариновым красным S была обусловлена степен</w:t>
                  </w:r>
                  <w:r>
                    <w:rPr>
                      <w:i/>
                    </w:rPr>
                    <w:t>ью минерализации костной ткани. Количество темноокрашенных остеонов подсчитывалось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rPr>
                      <w:i/>
                    </w:rPr>
                    <w:t>вручную (рис. 2.3.7, в)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176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176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В17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13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176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33" w:lineRule="auto"/>
                    <w:ind w:left="0" w:firstLine="0"/>
                  </w:pPr>
                  <w:r>
                    <w:t>Доля темноокрашенных ализариновым красным остеонов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(В16/В15)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176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Данный признак является расчетным и был получен в результате деления среднего количества темноокрашенных ализариновым красным S остеонов в поле зрения диафиза на среднее количество остеонов в поле зрения диафиза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66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66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В18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31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668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Количество остеонов с перестроенным центральным отделом в диафизе, среднее в поле зрения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0" w:type="dxa"/>
                <w:left w:w="18" w:type="dxa"/>
                <w:bottom w:w="0" w:type="dxa"/>
                <w:right w:w="42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668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 препарате на увеличении 20 в пяти полях зрения с пропуском в 2–3 поля зрения считается количество остеонов в каждом поле зрения, далее вычисляется среднее значени</w:t>
                  </w:r>
                  <w:r>
                    <w:t>е для образца</w:t>
                  </w:r>
                  <w:r>
                    <w:rPr>
                      <w:i/>
                    </w:rPr>
                    <w:t>. Остеон с перестроенным центральным отделом — это остеон, центральная часть которого отделена от периферических концентрических пластинок темной линией. Таким образом, остеоны с обновленным центральным каналом имеют внутри линию склеивания, п</w:t>
                  </w:r>
                  <w:r>
                    <w:rPr>
                      <w:i/>
                    </w:rPr>
                    <w:t>редставляя новый остеон, расположенный внутри старого (рис. 2.3.6, б)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404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404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В19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404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33" w:lineRule="auto"/>
                    <w:ind w:left="0" w:firstLine="0"/>
                  </w:pPr>
                  <w:r>
                    <w:t>Доля остеонов с перестроенным центральным отделом в диафизе</w:t>
                  </w:r>
                </w:p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(В18/В15)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404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Данный признак является расчетным и был получен в результате деления среднего количества остеонов с перестроенным центральным отделом в поле зрения диафиза на среднее количество остеонов в поле зрения диафиза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1176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1176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В20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0" w:type="dxa"/>
                <w:left w:w="18" w:type="dxa"/>
                <w:bottom w:w="0" w:type="dxa"/>
                <w:right w:w="67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1176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Средний диаметр остеона в диафизе, мкм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1176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 xml:space="preserve">В препарате на увеличении 20 в пяти полях зрения с пропуском в 2–3 поля зрения измеряется средний диаметр остеона в каждом поле зрения, далее вычисляется среднее значение для образца. </w:t>
                  </w:r>
                  <w:r>
                    <w:rPr>
                      <w:i/>
                    </w:rPr>
                    <w:t>Остеон — совокупность концентр</w:t>
                  </w:r>
                  <w:r>
                    <w:rPr>
                      <w:i/>
                    </w:rPr>
                    <w:t>ических пластинок вокруг гаверсова канала с сосудом, отделенная от соседних структур того же типа темной линией — линией склеивания (рис. 2.3.6, в)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948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948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В21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0" w:type="dxa"/>
                <w:left w:w="18" w:type="dxa"/>
                <w:bottom w:w="0" w:type="dxa"/>
                <w:right w:w="85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948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Диаметр гаверсова канала в диафизе, мкм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948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 xml:space="preserve">В препарате на увеличении 20 в пяти полях зрения с пропуском в 2–3 поля зрения измеряется средний диаметр гаверсова канала в каждом поле зрения, далее вычисляется среднее значение для образца. </w:t>
                  </w:r>
                  <w:r>
                    <w:rPr>
                      <w:i/>
                    </w:rPr>
                    <w:t>Гаверсов канал — это канал, содержащий сосуд и окруженный конце</w:t>
                  </w:r>
                  <w:r>
                    <w:rPr>
                      <w:i/>
                    </w:rPr>
                    <w:t>нтрическими костными пластинками, расположенный в кортикальной зоне кости (рис. 2.3.6, г)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  <w:tr w:rsidR="004B6076">
        <w:trPr>
          <w:trHeight w:val="720"/>
        </w:trPr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38" w:right="18" w:firstLine="0"/>
            </w:pPr>
          </w:p>
          <w:tbl>
            <w:tblPr>
              <w:tblStyle w:val="TableGrid"/>
              <w:tblW w:w="912" w:type="dxa"/>
              <w:tblInd w:w="0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912"/>
            </w:tblGrid>
            <w:tr w:rsidR="004B6076">
              <w:trPr>
                <w:trHeight w:val="720"/>
              </w:trPr>
              <w:tc>
                <w:tcPr>
                  <w:tcW w:w="91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В22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1068" w:right="18" w:firstLine="0"/>
            </w:pPr>
          </w:p>
          <w:tbl>
            <w:tblPr>
              <w:tblStyle w:val="TableGrid"/>
              <w:tblW w:w="1680" w:type="dxa"/>
              <w:tblInd w:w="18" w:type="dxa"/>
              <w:tblCellMar>
                <w:top w:w="0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4B6076">
              <w:trPr>
                <w:trHeight w:val="720"/>
              </w:trPr>
              <w:tc>
                <w:tcPr>
                  <w:tcW w:w="168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В21/В20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  <w:tc>
          <w:tcPr>
            <w:tcW w:w="8972" w:type="dxa"/>
            <w:tcBorders>
              <w:top w:val="nil"/>
              <w:left w:val="nil"/>
              <w:bottom w:val="nil"/>
              <w:right w:val="nil"/>
            </w:tcBorders>
          </w:tcPr>
          <w:p w:rsidR="004B6076" w:rsidRDefault="004B6076">
            <w:pPr>
              <w:spacing w:after="0" w:line="259" w:lineRule="auto"/>
              <w:ind w:left="-2785" w:right="11757" w:firstLine="0"/>
            </w:pPr>
          </w:p>
          <w:tbl>
            <w:tblPr>
              <w:tblStyle w:val="TableGrid"/>
              <w:tblW w:w="8954" w:type="dxa"/>
              <w:tblInd w:w="18" w:type="dxa"/>
              <w:tblCellMar>
                <w:top w:w="106" w:type="dxa"/>
                <w:left w:w="18" w:type="dxa"/>
                <w:bottom w:w="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8954"/>
            </w:tblGrid>
            <w:tr w:rsidR="004B6076">
              <w:trPr>
                <w:trHeight w:val="720"/>
              </w:trPr>
              <w:tc>
                <w:tcPr>
                  <w:tcW w:w="895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4B6076" w:rsidRDefault="009E1091">
                  <w:pPr>
                    <w:spacing w:after="0" w:line="259" w:lineRule="auto"/>
                    <w:ind w:left="0" w:firstLine="0"/>
                  </w:pPr>
                  <w:r>
                    <w:t>Отношение среднего диаметра остеонов в поле зрения диафиза к среднему диаметру гаверсова канала в поле зрения диафиза. Данный признак является расчетным и был получен в результате деления диаметра гаверсова канала на диаметр всего остеона</w:t>
                  </w:r>
                </w:p>
              </w:tc>
            </w:tr>
          </w:tbl>
          <w:p w:rsidR="004B6076" w:rsidRDefault="004B6076">
            <w:pPr>
              <w:spacing w:after="160" w:line="259" w:lineRule="auto"/>
              <w:ind w:left="0" w:firstLine="0"/>
            </w:pPr>
          </w:p>
        </w:tc>
      </w:tr>
    </w:tbl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170734"/>
                <wp:effectExtent l="0" t="0" r="0" b="0"/>
                <wp:docPr id="118174" name="Group 1181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170734"/>
                          <a:chOff x="0" y="0"/>
                          <a:chExt cx="4062485" cy="3170734"/>
                        </a:xfrm>
                      </wpg:grpSpPr>
                      <wps:wsp>
                        <wps:cNvPr id="3699" name="Shape 3699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02" name="Shape 3702"/>
                        <wps:cNvSpPr/>
                        <wps:spPr>
                          <a:xfrm>
                            <a:off x="7622" y="3166914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09" name="Shape 15760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10" name="Shape 157610"/>
                        <wps:cNvSpPr/>
                        <wps:spPr>
                          <a:xfrm>
                            <a:off x="0" y="316309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05" name="Shape 3705"/>
                        <wps:cNvSpPr/>
                        <wps:spPr>
                          <a:xfrm>
                            <a:off x="3811" y="7590"/>
                            <a:ext cx="0" cy="3155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504">
                                <a:moveTo>
                                  <a:pt x="0" y="0"/>
                                </a:moveTo>
                                <a:lnTo>
                                  <a:pt x="0" y="315550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11" name="Shape 157611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12" name="Shape 157612"/>
                        <wps:cNvSpPr/>
                        <wps:spPr>
                          <a:xfrm>
                            <a:off x="4054863" y="316309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08" name="Shape 3708"/>
                        <wps:cNvSpPr/>
                        <wps:spPr>
                          <a:xfrm>
                            <a:off x="4058674" y="7590"/>
                            <a:ext cx="0" cy="3155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504">
                                <a:moveTo>
                                  <a:pt x="0" y="0"/>
                                </a:moveTo>
                                <a:lnTo>
                                  <a:pt x="0" y="315550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710" name="Picture 3710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40"/>
                            <a:ext cx="4047241" cy="31554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8174" style="width:319.881pt;height:249.664pt;mso-position-horizontal-relative:char;mso-position-vertical-relative:line" coordsize="40624,31707">
                <v:shape id="Shape 3699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3702" style="position:absolute;width:40472;height:0;left:76;top:31669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13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14" style="position:absolute;width:91;height:91;left:0;top:3163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3705" style="position:absolute;width:0;height:31555;left:38;top:75;" coordsize="0,3155504" path="m0,0l0,3155504">
                  <v:stroke weight="0.600151pt" endcap="flat" dashstyle="1 1" joinstyle="bevel" on="true" color="#c0c0c0"/>
                  <v:fill on="false" color="#000000" opacity="0"/>
                </v:shape>
                <v:shape id="Shape 157615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16" style="position:absolute;width:91;height:91;left:40548;top:3163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3708" style="position:absolute;width:0;height:31555;left:40586;top:75;" coordsize="0,3155504" path="m0,0l0,3155504">
                  <v:stroke weight="0.600151pt" endcap="flat" dashstyle="1 1" joinstyle="bevel" on="true" color="#c0c0c0"/>
                  <v:fill on="false" color="#000000" opacity="0"/>
                </v:shape>
                <v:shape id="Picture 3710" style="position:absolute;width:40472;height:31554;left:76;top:76;" filled="f">
                  <v:imagedata r:id="rId108"/>
                </v:shape>
              </v:group>
            </w:pict>
          </mc:Fallback>
        </mc:AlternateContent>
      </w:r>
    </w:p>
    <w:tbl>
      <w:tblPr>
        <w:tblStyle w:val="TableGrid"/>
        <w:tblpPr w:vertAnchor="page" w:horzAnchor="page" w:tblpX="120" w:tblpY="6"/>
        <w:tblOverlap w:val="never"/>
        <w:tblW w:w="11655" w:type="dxa"/>
        <w:tblInd w:w="0" w:type="dxa"/>
        <w:tblCellMar>
          <w:top w:w="106" w:type="dxa"/>
          <w:left w:w="36" w:type="dxa"/>
          <w:bottom w:w="0" w:type="dxa"/>
          <w:right w:w="49" w:type="dxa"/>
        </w:tblCellMar>
        <w:tblLook w:val="04A0" w:firstRow="1" w:lastRow="0" w:firstColumn="1" w:lastColumn="0" w:noHBand="0" w:noVBand="1"/>
      </w:tblPr>
      <w:tblGrid>
        <w:gridCol w:w="948"/>
        <w:gridCol w:w="1716"/>
        <w:gridCol w:w="8990"/>
      </w:tblGrid>
      <w:tr w:rsidR="004B6076">
        <w:trPr>
          <w:trHeight w:val="1422"/>
        </w:trPr>
        <w:tc>
          <w:tcPr>
            <w:tcW w:w="948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В23</w:t>
            </w:r>
          </w:p>
        </w:tc>
        <w:tc>
          <w:tcPr>
            <w:tcW w:w="1716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остеонов по внутренней поверхности диафиза, среднее в поле зрения</w:t>
            </w:r>
          </w:p>
        </w:tc>
        <w:tc>
          <w:tcPr>
            <w:tcW w:w="8990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На препарате при увеличении 20 в пяти полях зрения с пропуском в 2–3 поля зрения считается количество остеонов по внутренней поверхности, далее производится расчет среднего значен</w:t>
            </w:r>
            <w:r>
              <w:t>ия для образца</w:t>
            </w:r>
          </w:p>
        </w:tc>
      </w:tr>
      <w:tr w:rsidR="004B6076">
        <w:trPr>
          <w:trHeight w:val="1440"/>
        </w:trPr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В24</w:t>
            </w:r>
          </w:p>
        </w:tc>
        <w:tc>
          <w:tcPr>
            <w:tcW w:w="1716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остеонов по наружной поверхности диафиза, среднее в поле зрения</w:t>
            </w:r>
          </w:p>
        </w:tc>
        <w:tc>
          <w:tcPr>
            <w:tcW w:w="899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right="9" w:firstLine="0"/>
            </w:pPr>
            <w:r>
              <w:t>На препарате при увеличении 20 в пяти полях зрения с пропуском в 2–3 поля зрения считается количество остеонов по наружной поверхности, далее производится расчет среднего значения для образца</w:t>
            </w:r>
          </w:p>
        </w:tc>
      </w:tr>
    </w:tbl>
    <w:p w:rsidR="004B6076" w:rsidRDefault="009E1091">
      <w:pPr>
        <w:spacing w:after="0"/>
        <w:ind w:left="-5" w:right="22"/>
      </w:pPr>
      <w:r>
        <w:rPr>
          <w:b/>
        </w:rPr>
        <w:t>Рис. 2.3.4.</w:t>
      </w:r>
      <w:r>
        <w:t xml:space="preserve"> На препарате нижнего эпифиза (окраска гематоксилин-</w:t>
      </w:r>
      <w:r>
        <w:t>эозином, ×50) выделены следующие использованные в работе параметры: а — длина трабекулярной поверхности (B2); б — площадь трабекулярной поверхности (B1); в — количество кровеносных сосудов в поле зрения (B4); г — диаметр гаверсова канала (B3)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170734"/>
                <wp:effectExtent l="0" t="0" r="0" b="0"/>
                <wp:docPr id="118175" name="Group 118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170734"/>
                          <a:chOff x="0" y="0"/>
                          <a:chExt cx="4062485" cy="3170734"/>
                        </a:xfrm>
                      </wpg:grpSpPr>
                      <wps:wsp>
                        <wps:cNvPr id="3717" name="Shape 3717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0" name="Shape 3720"/>
                        <wps:cNvSpPr/>
                        <wps:spPr>
                          <a:xfrm>
                            <a:off x="7622" y="3166914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17" name="Shape 157617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18" name="Shape 157618"/>
                        <wps:cNvSpPr/>
                        <wps:spPr>
                          <a:xfrm>
                            <a:off x="0" y="316309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3" name="Shape 3723"/>
                        <wps:cNvSpPr/>
                        <wps:spPr>
                          <a:xfrm>
                            <a:off x="3811" y="7640"/>
                            <a:ext cx="0" cy="31554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454">
                                <a:moveTo>
                                  <a:pt x="0" y="0"/>
                                </a:moveTo>
                                <a:lnTo>
                                  <a:pt x="0" y="315545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19" name="Shape 157619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20" name="Shape 157620"/>
                        <wps:cNvSpPr/>
                        <wps:spPr>
                          <a:xfrm>
                            <a:off x="4054863" y="316309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6" name="Shape 3726"/>
                        <wps:cNvSpPr/>
                        <wps:spPr>
                          <a:xfrm>
                            <a:off x="4058674" y="7640"/>
                            <a:ext cx="0" cy="31554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454">
                                <a:moveTo>
                                  <a:pt x="0" y="0"/>
                                </a:moveTo>
                                <a:lnTo>
                                  <a:pt x="0" y="315545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728" name="Picture 3728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52"/>
                            <a:ext cx="4047241" cy="31554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8175" style="width:319.881pt;height:249.664pt;mso-position-horizontal-relative:char;mso-position-vertical-relative:line" coordsize="40624,31707">
                <v:shape id="Shape 3717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3720" style="position:absolute;width:40472;height:0;left:76;top:31669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21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22" style="position:absolute;width:91;height:91;left:0;top:3163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3723" style="position:absolute;width:0;height:31554;left:38;top:76;" coordsize="0,3155454" path="m0,0l0,3155454">
                  <v:stroke weight="0.600151pt" endcap="flat" dashstyle="1 1" joinstyle="bevel" on="true" color="#c0c0c0"/>
                  <v:fill on="false" color="#000000" opacity="0"/>
                </v:shape>
                <v:shape id="Shape 157623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24" style="position:absolute;width:91;height:91;left:40548;top:3163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3726" style="position:absolute;width:0;height:31554;left:40586;top:76;" coordsize="0,3155454" path="m0,0l0,3155454">
                  <v:stroke weight="0.600151pt" endcap="flat" dashstyle="1 1" joinstyle="bevel" on="true" color="#c0c0c0"/>
                  <v:fill on="false" color="#000000" opacity="0"/>
                </v:shape>
                <v:shape id="Picture 3728" style="position:absolute;width:40472;height:31554;left:76;top:76;" filled="f">
                  <v:imagedata r:id="rId110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2.3.5.</w:t>
      </w:r>
      <w:r>
        <w:t xml:space="preserve"> На препарате нижнего эпифиза (окраска гематоксилин-эозином, ×50) выделены следующие использованные в работе параметры: а — площадь хряща в субхондральной пластинке (B7); б — толщина субхондральной пластинки (стрелкой указана минимальная) (B9); в — длина с</w:t>
      </w:r>
      <w:r>
        <w:t>убхондральной пластинки (B6); г — площадь субхондральной пластинки (B5)</w:t>
      </w:r>
    </w:p>
    <w:p w:rsidR="004B6076" w:rsidRDefault="009E1091">
      <w:pPr>
        <w:spacing w:after="0"/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0</wp:posOffset>
                </wp:positionV>
                <wp:extent cx="4062485" cy="3178324"/>
                <wp:effectExtent l="0" t="0" r="0" b="0"/>
                <wp:wrapTopAndBottom/>
                <wp:docPr id="116790" name="Group 1167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178324"/>
                          <a:chOff x="0" y="0"/>
                          <a:chExt cx="4062485" cy="3178324"/>
                        </a:xfrm>
                      </wpg:grpSpPr>
                      <wps:wsp>
                        <wps:cNvPr id="3738" name="Shape 3738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41" name="Shape 3741"/>
                        <wps:cNvSpPr/>
                        <wps:spPr>
                          <a:xfrm>
                            <a:off x="7622" y="3174504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25" name="Shape 15762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26" name="Shape 157626"/>
                        <wps:cNvSpPr/>
                        <wps:spPr>
                          <a:xfrm>
                            <a:off x="0" y="317073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44" name="Shape 3744"/>
                        <wps:cNvSpPr/>
                        <wps:spPr>
                          <a:xfrm>
                            <a:off x="3811" y="7590"/>
                            <a:ext cx="0" cy="3163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63143">
                                <a:moveTo>
                                  <a:pt x="0" y="0"/>
                                </a:moveTo>
                                <a:lnTo>
                                  <a:pt x="0" y="316314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27" name="Shape 157627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28" name="Shape 157628"/>
                        <wps:cNvSpPr/>
                        <wps:spPr>
                          <a:xfrm>
                            <a:off x="4054863" y="317073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47" name="Shape 3747"/>
                        <wps:cNvSpPr/>
                        <wps:spPr>
                          <a:xfrm>
                            <a:off x="4058674" y="7590"/>
                            <a:ext cx="0" cy="3163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63143">
                                <a:moveTo>
                                  <a:pt x="0" y="0"/>
                                </a:moveTo>
                                <a:lnTo>
                                  <a:pt x="0" y="316314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749" name="Picture 3749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7"/>
                            <a:ext cx="4047241" cy="31630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16790" style="width:319.881pt;height:250.262pt;position:absolute;mso-position-horizontal-relative:page;mso-position-horizontal:absolute;margin-left:4.80121pt;mso-position-vertical-relative:page;margin-top:0pt;" coordsize="40624,31783">
                <v:shape id="Shape 3738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3741" style="position:absolute;width:40472;height:0;left:76;top:31745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29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30" style="position:absolute;width:91;height:91;left:0;top:31707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3744" style="position:absolute;width:0;height:31631;left:38;top:75;" coordsize="0,3163143" path="m0,0l0,3163143">
                  <v:stroke weight="0.600151pt" endcap="flat" dashstyle="1 1" joinstyle="bevel" on="true" color="#c0c0c0"/>
                  <v:fill on="false" color="#000000" opacity="0"/>
                </v:shape>
                <v:shape id="Shape 157631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32" style="position:absolute;width:91;height:91;left:40548;top:31707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3747" style="position:absolute;width:0;height:31631;left:40586;top:75;" coordsize="0,3163143" path="m0,0l0,3163143">
                  <v:stroke weight="0.600151pt" endcap="flat" dashstyle="1 1" joinstyle="bevel" on="true" color="#c0c0c0"/>
                  <v:fill on="false" color="#000000" opacity="0"/>
                </v:shape>
                <v:shape id="Picture 3749" style="position:absolute;width:40472;height:31630;left:76;top:76;" filled="f">
                  <v:imagedata r:id="rId112"/>
                </v:shape>
                <w10:wrap type="topAndBottom"/>
              </v:group>
            </w:pict>
          </mc:Fallback>
        </mc:AlternateContent>
      </w:r>
      <w:r>
        <w:rPr>
          <w:b/>
        </w:rPr>
        <w:t>Рис. 2.3.6.</w:t>
      </w:r>
      <w:r>
        <w:t xml:space="preserve"> На препарате нижнего диафиза обозначены следующие использованные в работе параметры: а — плотность остеонов (окраска гематоксилин-эозином, ×200) (B15); б — плотность остео</w:t>
      </w:r>
      <w:r>
        <w:t>нов с перестроенным центральным отделом (окраска гематоксилин-эозином, ×200) (B18); в — диаметр остеона (окраска гематоксилин-эозином, ×50) (B20); г — диаметр гаверсова канала (окраска гематоксилин-эозином, ×50) (B21)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673787"/>
                <wp:effectExtent l="0" t="0" r="0" b="0"/>
                <wp:docPr id="116791" name="Group 1167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673787"/>
                          <a:chOff x="0" y="0"/>
                          <a:chExt cx="4062485" cy="3673787"/>
                        </a:xfrm>
                      </wpg:grpSpPr>
                      <wps:wsp>
                        <wps:cNvPr id="3757" name="Shape 3757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0" name="Shape 3760"/>
                        <wps:cNvSpPr/>
                        <wps:spPr>
                          <a:xfrm>
                            <a:off x="7622" y="1551087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33" name="Shape 157633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34" name="Shape 157634"/>
                        <wps:cNvSpPr/>
                        <wps:spPr>
                          <a:xfrm>
                            <a:off x="0" y="154726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3" name="Shape 3763"/>
                        <wps:cNvSpPr/>
                        <wps:spPr>
                          <a:xfrm>
                            <a:off x="3811" y="7640"/>
                            <a:ext cx="0" cy="1539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39627">
                                <a:moveTo>
                                  <a:pt x="0" y="0"/>
                                </a:moveTo>
                                <a:lnTo>
                                  <a:pt x="0" y="1539627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35" name="Shape 157635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36" name="Shape 157636"/>
                        <wps:cNvSpPr/>
                        <wps:spPr>
                          <a:xfrm>
                            <a:off x="4054863" y="154726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6" name="Shape 3766"/>
                        <wps:cNvSpPr/>
                        <wps:spPr>
                          <a:xfrm>
                            <a:off x="4058674" y="7640"/>
                            <a:ext cx="0" cy="1539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39627">
                                <a:moveTo>
                                  <a:pt x="0" y="0"/>
                                </a:moveTo>
                                <a:lnTo>
                                  <a:pt x="0" y="1539627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768" name="Picture 3768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7"/>
                            <a:ext cx="4047241" cy="15396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70" name="Picture 3770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1722575"/>
                            <a:ext cx="2530479" cy="19512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6791" style="width:319.881pt;height:289.275pt;mso-position-horizontal-relative:char;mso-position-vertical-relative:line" coordsize="40624,36737">
                <v:shape id="Shape 3757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3760" style="position:absolute;width:40472;height:0;left:76;top:15510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37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38" style="position:absolute;width:91;height:91;left:0;top:1547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3763" style="position:absolute;width:0;height:15396;left:38;top:76;" coordsize="0,1539627" path="m0,0l0,1539627">
                  <v:stroke weight="0.600151pt" endcap="flat" dashstyle="1 1" joinstyle="bevel" on="true" color="#c0c0c0"/>
                  <v:fill on="false" color="#000000" opacity="0"/>
                </v:shape>
                <v:shape id="Shape 157639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40" style="position:absolute;width:91;height:91;left:40548;top:15472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3766" style="position:absolute;width:0;height:15396;left:40586;top:76;" coordsize="0,1539627" path="m0,0l0,1539627">
                  <v:stroke weight="0.600151pt" endcap="flat" dashstyle="1 1" joinstyle="bevel" on="true" color="#c0c0c0"/>
                  <v:fill on="false" color="#000000" opacity="0"/>
                </v:shape>
                <v:shape id="Picture 3768" style="position:absolute;width:40472;height:15396;left:76;top:76;" filled="f">
                  <v:imagedata r:id="rId115"/>
                </v:shape>
                <v:shape id="Picture 3770" style="position:absolute;width:25304;height:19512;left:0;top:17225;" filled="f">
                  <v:imagedata r:id="rId116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-5" w:right="22"/>
      </w:pPr>
      <w:r>
        <w:rPr>
          <w:b/>
        </w:rPr>
        <w:t>Рис. 2.3.7.</w:t>
      </w:r>
      <w:r>
        <w:t xml:space="preserve"> На препарате нижнего диа</w:t>
      </w:r>
      <w:r>
        <w:t xml:space="preserve">физа обозначены следующие использованные в работе параметры: а — слой внутренних генеральных пластинок (окраска гематоксилин-эозином, ×50) (B12); б — слой наружных генеральных пластинок (окраска гематоксилин-эозином, ×50) (B10); в — остеон темноокрашенный </w:t>
      </w:r>
      <w:r>
        <w:t>ализариновым красным S (окраска ализариновым красным S,</w:t>
      </w:r>
    </w:p>
    <w:p w:rsidR="004B6076" w:rsidRDefault="009E1091">
      <w:pPr>
        <w:ind w:left="-5" w:right="22"/>
      </w:pPr>
      <w:r>
        <w:t>×200) (B16)</w:t>
      </w:r>
    </w:p>
    <w:p w:rsidR="004B6076" w:rsidRDefault="009E1091">
      <w:pPr>
        <w:ind w:left="-5" w:right="22"/>
      </w:pPr>
      <w:r>
        <w:rPr>
          <w:b/>
        </w:rPr>
        <w:t>Рис. 2.3.8.</w:t>
      </w:r>
      <w:r>
        <w:t xml:space="preserve"> Морфометрическая методика измерения длины и площади костной трабекулы губчатой кости в поле зрения препарата дистального эпифиза плечевой кости. Скриншот страницы. Окраска гематоксилин-эозином, ×100</w:t>
      </w:r>
    </w:p>
    <w:p w:rsidR="004B6076" w:rsidRDefault="009E1091">
      <w:pPr>
        <w:spacing w:after="13"/>
        <w:ind w:left="-5" w:right="22"/>
      </w:pPr>
      <w:r>
        <w:rPr>
          <w:b/>
        </w:rPr>
        <w:t xml:space="preserve">Морфометрическое исследование. </w:t>
      </w:r>
      <w:r>
        <w:t xml:space="preserve">Измерение показателя (L) </w:t>
      </w:r>
      <w:r>
        <w:t>«длина» (В2, В6) осуществлялось посредством ImageJ, Freehad</w:t>
      </w:r>
    </w:p>
    <w:p w:rsidR="004B6076" w:rsidRDefault="009E1091">
      <w:pPr>
        <w:ind w:left="-5" w:right="22"/>
      </w:pPr>
      <w:r>
        <w:t>Line с пропуском пяти полей зрения; фиксировались максимальные, минимальные и средние значения для пяти полей зрения (см. рис. 2.3.10). Измерение показателя (t) «толщина» (В10, В11, В12, В14) осущ</w:t>
      </w:r>
      <w:r>
        <w:t>ествлялось посредством ImageJ, Freehad Line с пропуском пяти полей зрения с последующим расчетом средних значений для В10, В11, В12 для пяти полей зрения. Измерение показателя (S) «площадь» структуры (В1, В5, В7) осуществлялось посредством программы ImageJ</w:t>
      </w:r>
      <w:r>
        <w:t>. Исходное изображение конвертировалось в черно-белое, и искомая площадь принималась равной сумме пикселей нулевой яркости. Признаки В4, В13, В15, В16, В18, В23, В24 были получены посредством подсчета количества элементов с использованием Multi-point Tool,</w:t>
      </w:r>
      <w:r>
        <w:t xml:space="preserve"> ImageJ, при этом для показателей В4 произведен расчет среднего значения для одного поля зрения; В13, В15, В16, В18, В23, В24 — среднее значение для препарата.</w:t>
      </w:r>
    </w:p>
    <w:p w:rsidR="004B6076" w:rsidRDefault="009E1091">
      <w:pPr>
        <w:spacing w:after="0"/>
        <w:ind w:left="-5" w:right="22"/>
      </w:pPr>
      <w:r>
        <w:rPr>
          <w:noProof/>
        </w:rPr>
        <w:drawing>
          <wp:anchor distT="0" distB="0" distL="114300" distR="114300" simplePos="0" relativeHeight="251691008" behindDoc="0" locked="0" layoutInCell="1" allowOverlap="0">
            <wp:simplePos x="0" y="0"/>
            <wp:positionH relativeFrom="page">
              <wp:posOffset>60975</wp:posOffset>
            </wp:positionH>
            <wp:positionV relativeFrom="page">
              <wp:posOffset>0</wp:posOffset>
            </wp:positionV>
            <wp:extent cx="3567060" cy="3315537"/>
            <wp:effectExtent l="0" t="0" r="0" b="0"/>
            <wp:wrapTopAndBottom/>
            <wp:docPr id="3780" name="Picture 37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0" name="Picture 3780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567060" cy="3315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Измерение показателя «диаметр» (В2, В20, В21) осуществлялось посредством ImageJ, Freehad Line с</w:t>
      </w:r>
      <w:r>
        <w:t xml:space="preserve"> пропуском пяти полей зрения с последующим расчетом средних значений (рис. 2.3.9).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612791" cy="2736270"/>
            <wp:effectExtent l="0" t="0" r="0" b="0"/>
            <wp:docPr id="3797" name="Picture 37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7" name="Picture 3797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612791" cy="273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spacing w:after="13"/>
        <w:ind w:left="-5" w:right="22"/>
      </w:pPr>
      <w:r>
        <w:rPr>
          <w:b/>
        </w:rPr>
        <w:t xml:space="preserve">Рис. 2.3.9. </w:t>
      </w:r>
      <w:r>
        <w:t>Дана разметка измерения показателей В20 (стрелки серого цвета) и В21 (стрелка зеленого цвета). Препарат диафиза.</w:t>
      </w:r>
    </w:p>
    <w:p w:rsidR="004B6076" w:rsidRDefault="009E1091">
      <w:pPr>
        <w:ind w:left="-5" w:right="22"/>
      </w:pPr>
      <w:r>
        <w:t>Окраска гематоксилин-эозином, ×200</w:t>
      </w:r>
    </w:p>
    <w:p w:rsidR="004B6076" w:rsidRDefault="009E1091">
      <w:pPr>
        <w:spacing w:after="159"/>
        <w:ind w:left="-5" w:right="88"/>
      </w:pPr>
      <w:r>
        <w:rPr>
          <w:b/>
        </w:rPr>
        <w:t>Характерист</w:t>
      </w:r>
      <w:r>
        <w:rPr>
          <w:b/>
        </w:rPr>
        <w:t xml:space="preserve">ика возрастных изменений костной ткани. </w:t>
      </w:r>
      <w:r>
        <w:rPr>
          <w:i/>
        </w:rPr>
        <w:t>В возрасте до 18 лет</w:t>
      </w:r>
      <w:r>
        <w:t xml:space="preserve"> гистоморфометрические показатели отражают происходящее структурное созревание костной ткани, рост и развитие скелета в целом. Об активности происходящих процессов свидетельствует наличие наибольш</w:t>
      </w:r>
      <w:r>
        <w:t>его по сравнению с последующими возрастными группами количества показателей, демонстрирующих с возрастом достоверно сильную корреляционную связь и связь средней силы. Коэффициенты корреляции с возрастом: В1 r=0,61; В2 r=–0,52; В7 r=–0,65; В8 r=0,93; В10 r=</w:t>
      </w:r>
      <w:r>
        <w:t>0,78; В12 r=0,71; В13 r=0,58; В15 r=0,65; В16 r=0,69; В17 r=0,68; В18 r=0,72; В19 r=0,64; В24 r=0,59, критерий достоверности (р &lt;0,05). Микроструктура компактного слоя диафиза с хорошо выраженными слоями наружных (В10=52,36±18,65) и внутренних (В12=40,13±5</w:t>
      </w:r>
      <w:r>
        <w:t>,69) генеральных пластинок с небольшим количеством остеонов. Внутренние генеральные пластинки при этом находятся в фазе роста. Эти показатели характеризуют рост и развитие костной ткани: увеличение толщины костных трабекул и площади костной ткани, увеличен</w:t>
      </w:r>
      <w:r>
        <w:t>ие толщины внутреннего и наружного слоя общих пластинок, сопровождающихся остеонизацией (увеличение как толщины слоя, так и количества остеонов). Вместе с тем количество циклов ремоделирования, успевших завершиться, к данному возрасту невелико, и, следоват</w:t>
      </w:r>
      <w:r>
        <w:t>ельно, иные следы перестройки отсутствуют либо имеют недостоверные значения.</w:t>
      </w:r>
    </w:p>
    <w:p w:rsidR="004B6076" w:rsidRDefault="009E1091">
      <w:pPr>
        <w:spacing w:after="0"/>
        <w:ind w:left="-5" w:right="22"/>
      </w:pPr>
      <w:r>
        <w:t>Главным отличительным признаком данного возрастного периода является отсутствие линии минерализации хряща и наличие эпифизарной хрящевой пластинки (зоны роста) на препаратах диста</w:t>
      </w:r>
      <w:r>
        <w:t>льного эпифиза. Гистологическая картина дистального эпифиза характеризуется наличием в поле зрения большого количества (максимального по сравнению с последующими возрастными периодами) достаточно тонких костных трабекул, с единичными эндотрабекулярными ост</w:t>
      </w:r>
      <w:r>
        <w:t>еонами и большим количеством кровеносных сосудов. Также о продолжающихся процессах развития свидетельствует зафиксированное увеличение толщины трабекул.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</w:rPr>
        <w:drawing>
          <wp:inline distT="0" distB="0" distL="0" distR="0">
            <wp:extent cx="3932912" cy="2949684"/>
            <wp:effectExtent l="0" t="0" r="0" b="0"/>
            <wp:docPr id="4031" name="Picture 40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1" name="Picture 4031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932912" cy="2949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ind w:left="-5" w:right="22"/>
      </w:pPr>
      <w:r>
        <w:rPr>
          <w:b/>
        </w:rPr>
        <w:t>Рис. 2.3.10.</w:t>
      </w:r>
      <w:r>
        <w:t xml:space="preserve"> Остеон с перестроенным центральным отделом в препарате диафиза плечевой кости. Окраска г</w:t>
      </w:r>
      <w:r>
        <w:t>ематоксилинэозином, ×200</w:t>
      </w:r>
    </w:p>
    <w:p w:rsidR="004B6076" w:rsidRDefault="009E1091">
      <w:pPr>
        <w:spacing w:after="20"/>
        <w:ind w:left="-5" w:right="22"/>
      </w:pPr>
      <w:r>
        <w:rPr>
          <w:b/>
        </w:rPr>
        <w:t>Таблица 2.3.2.</w:t>
      </w:r>
      <w:r>
        <w:t xml:space="preserve"> Программа признаков для гистоморфометрического исследования костной ткани</w:t>
      </w:r>
    </w:p>
    <w:tbl>
      <w:tblPr>
        <w:tblStyle w:val="TableGrid"/>
        <w:tblW w:w="10551" w:type="dxa"/>
        <w:tblInd w:w="24" w:type="dxa"/>
        <w:tblCellMar>
          <w:top w:w="112" w:type="dxa"/>
          <w:left w:w="36" w:type="dxa"/>
          <w:bottom w:w="0" w:type="dxa"/>
          <w:right w:w="40" w:type="dxa"/>
        </w:tblCellMar>
        <w:tblLook w:val="04A0" w:firstRow="1" w:lastRow="0" w:firstColumn="1" w:lastColumn="0" w:noHBand="0" w:noVBand="1"/>
      </w:tblPr>
      <w:tblGrid>
        <w:gridCol w:w="1392"/>
        <w:gridCol w:w="9158"/>
      </w:tblGrid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Имя признака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Название признака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В1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3575" w:firstLine="5293"/>
            </w:pPr>
            <w:r>
              <w:rPr>
                <w:sz w:val="16"/>
              </w:rPr>
              <w:t xml:space="preserve">2 </w:t>
            </w:r>
            <w:r>
              <w:t>S — площадь трабекулярной кости в нижнем эпифизе, мкм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В2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L — длина трабекулярной поверхности в нижнем эпифизе, мкм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В3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Диаметр гаверсова канала в нижнем эпифизе, мкм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В4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сосудов в нижнем эпифизе, среднее в поле зрения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В5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3023" w:firstLine="5845"/>
            </w:pPr>
            <w:r>
              <w:rPr>
                <w:sz w:val="16"/>
              </w:rPr>
              <w:t xml:space="preserve">2 </w:t>
            </w:r>
            <w:r>
              <w:t>S — площадь субхондральной пластинки в нижнем эпифизе, мкм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В6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L — длина субхондральной пластинки в нижнем эпифизе, мкм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В7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2351" w:firstLine="6518"/>
            </w:pPr>
            <w:r>
              <w:rPr>
                <w:sz w:val="16"/>
              </w:rPr>
              <w:t xml:space="preserve">2 </w:t>
            </w:r>
            <w:r>
              <w:t>S — площадь хряща в субхондральной пластинке нижнего эпифиза, мкм</w:t>
            </w:r>
          </w:p>
        </w:tc>
      </w:tr>
      <w:tr w:rsidR="004B6076">
        <w:trPr>
          <w:trHeight w:val="42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В8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T — толщина трабекулярной кости в нижнем эпифизе (В1/В2), мкм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В9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t — толщина субхондральной пластинки нижнего эпифиза (В5/В6), мкм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В10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48" w:right="1883" w:hanging="48"/>
            </w:pPr>
            <w:r>
              <w:t>t</w:t>
            </w:r>
            <w:r>
              <w:tab/>
              <w:t xml:space="preserve">— толщина слоя наружных генеральных пластинок диафиза, мкм </w:t>
            </w:r>
            <w:r>
              <w:rPr>
                <w:sz w:val="16"/>
              </w:rPr>
              <w:t xml:space="preserve">среднее 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В11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48" w:right="4114" w:hanging="48"/>
            </w:pPr>
            <w:r>
              <w:t>t</w:t>
            </w:r>
            <w:r>
              <w:tab/>
              <w:t xml:space="preserve"> — толщина слоя остеонов диафиза, мкм </w:t>
            </w:r>
            <w:r>
              <w:rPr>
                <w:sz w:val="16"/>
              </w:rPr>
              <w:t>среднее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В12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48" w:right="1741" w:hanging="48"/>
            </w:pPr>
            <w:r>
              <w:t>t</w:t>
            </w:r>
            <w:r>
              <w:tab/>
              <w:t xml:space="preserve"> — толщина слоя внутренних генеральных пластинок диафиза, мкм </w:t>
            </w:r>
            <w:r>
              <w:rPr>
                <w:sz w:val="16"/>
              </w:rPr>
              <w:t>среднее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B13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остеонов в нижнем эпифизе, среднее в поле зрения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В14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48" w:right="2745" w:hanging="48"/>
            </w:pPr>
            <w:r>
              <w:t>t</w:t>
            </w:r>
            <w:r>
              <w:tab/>
              <w:t xml:space="preserve"> — толщина субхондральной пластинки в нижнем эпифизе, мкм </w:t>
            </w:r>
            <w:r>
              <w:rPr>
                <w:sz w:val="16"/>
              </w:rPr>
              <w:t xml:space="preserve"> min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В15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остеонов в диафизе, среднее в поле зрения</w:t>
            </w:r>
          </w:p>
        </w:tc>
      </w:tr>
      <w:tr w:rsidR="004B6076">
        <w:trPr>
          <w:trHeight w:val="52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В16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темноокрашенных ализариновым красным S остеонов в диафизе, среднее в поле зрения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В17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Доля темноокрашенных ализариновым красным S остеонов (В16/В15)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В18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остеонов с перестроенн</w:t>
            </w:r>
            <w:r>
              <w:t>ым центральным отделом в диафизе, среднее в поле зрения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В19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Доля остеонов с перестроенным центральным отделом в диафизе (В18/В15)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В20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144" w:right="5251" w:hanging="144"/>
            </w:pPr>
            <w:r>
              <w:t>D</w:t>
            </w:r>
            <w:r>
              <w:tab/>
              <w:t xml:space="preserve"> — диаметр остеона в диафизе, мкм </w:t>
            </w:r>
            <w:r>
              <w:rPr>
                <w:sz w:val="16"/>
              </w:rPr>
              <w:t>ср.</w:t>
            </w:r>
          </w:p>
        </w:tc>
      </w:tr>
      <w:tr w:rsidR="004B6076">
        <w:trPr>
          <w:trHeight w:val="33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В21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144" w:right="4390" w:hanging="144"/>
            </w:pPr>
            <w:r>
              <w:t>D</w:t>
            </w:r>
            <w:r>
              <w:tab/>
              <w:t xml:space="preserve"> — диаметр гаверсова канала в диафизе, мкм </w:t>
            </w:r>
            <w:r>
              <w:rPr>
                <w:sz w:val="16"/>
              </w:rPr>
              <w:t>ср.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В22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В21/В20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В23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остеонов по внутренней поверхности диафиза, среднее в поле зрения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В24</w:t>
            </w:r>
          </w:p>
        </w:tc>
        <w:tc>
          <w:tcPr>
            <w:tcW w:w="915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Количество остеонов по наружной поверхности диафиза, среднее в поле зрения</w:t>
            </w:r>
          </w:p>
        </w:tc>
      </w:tr>
    </w:tbl>
    <w:p w:rsidR="004B6076" w:rsidRDefault="009E1091">
      <w:pPr>
        <w:spacing w:after="0"/>
        <w:ind w:left="-5" w:right="22"/>
      </w:pPr>
      <w:r>
        <w:t>Активность происходящих в костной ткани процессов роста и развития, наличие специфических отличите</w:t>
      </w:r>
      <w:r>
        <w:t>льных элементов в гистологической картине подтверждается и результатами кластеризации гистоморфометрических данных возрастных изменений костной ткани, выполненной с использованием ММО. На представленных рисунках (рис. 2.3.11, 2.3.12) визуализации кластерны</w:t>
      </w:r>
      <w:r>
        <w:t>х структур хорошо заметна обособленность группы «&lt;18 лет». Обозначение групп: 1 — ≤18 лет; 2 — от 19 до 30 лет; 3 — от 31 до 50 лет; 4 — 60–75 лет.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826173"/>
                <wp:effectExtent l="0" t="0" r="0" b="0"/>
                <wp:docPr id="117156" name="Group 117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826173"/>
                          <a:chOff x="0" y="0"/>
                          <a:chExt cx="4062485" cy="3826173"/>
                        </a:xfrm>
                      </wpg:grpSpPr>
                      <wps:wsp>
                        <wps:cNvPr id="4113" name="Shape 4113"/>
                        <wps:cNvSpPr/>
                        <wps:spPr>
                          <a:xfrm>
                            <a:off x="7622" y="377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16" name="Shape 4116"/>
                        <wps:cNvSpPr/>
                        <wps:spPr>
                          <a:xfrm>
                            <a:off x="7622" y="3822353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41" name="Shape 157641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42" name="Shape 157642"/>
                        <wps:cNvSpPr/>
                        <wps:spPr>
                          <a:xfrm>
                            <a:off x="0" y="381858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19" name="Shape 4119"/>
                        <wps:cNvSpPr/>
                        <wps:spPr>
                          <a:xfrm>
                            <a:off x="3811" y="7590"/>
                            <a:ext cx="0" cy="38109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992">
                                <a:moveTo>
                                  <a:pt x="0" y="0"/>
                                </a:moveTo>
                                <a:lnTo>
                                  <a:pt x="0" y="381099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43" name="Shape 157643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44" name="Shape 157644"/>
                        <wps:cNvSpPr/>
                        <wps:spPr>
                          <a:xfrm>
                            <a:off x="4054863" y="381858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2" name="Shape 4122"/>
                        <wps:cNvSpPr/>
                        <wps:spPr>
                          <a:xfrm>
                            <a:off x="4058674" y="7590"/>
                            <a:ext cx="0" cy="38109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992">
                                <a:moveTo>
                                  <a:pt x="0" y="0"/>
                                </a:moveTo>
                                <a:lnTo>
                                  <a:pt x="0" y="381099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124" name="Picture 4124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590"/>
                            <a:ext cx="4047241" cy="381096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7156" style="width:319.881pt;height:301.273pt;mso-position-horizontal-relative:char;mso-position-vertical-relative:line" coordsize="40624,38261">
                <v:shape id="Shape 4113" style="position:absolute;width:40472;height:0;left:76;top:3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4116" style="position:absolute;width:40472;height:0;left:76;top:38223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45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46" style="position:absolute;width:91;height:91;left:0;top:3818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4119" style="position:absolute;width:0;height:38109;left:38;top:75;" coordsize="0,3810992" path="m0,0l0,3810992">
                  <v:stroke weight="0.600151pt" endcap="flat" dashstyle="1 1" joinstyle="bevel" on="true" color="#c0c0c0"/>
                  <v:fill on="false" color="#000000" opacity="0"/>
                </v:shape>
                <v:shape id="Shape 157647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48" style="position:absolute;width:91;height:91;left:40548;top:3818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4122" style="position:absolute;width:0;height:38109;left:40586;top:75;" coordsize="0,3810992" path="m0,0l0,3810992">
                  <v:stroke weight="0.600151pt" endcap="flat" dashstyle="1 1" joinstyle="bevel" on="true" color="#c0c0c0"/>
                  <v:fill on="false" color="#000000" opacity="0"/>
                </v:shape>
                <v:shape id="Picture 4124" style="position:absolute;width:40472;height:38109;left:76;top:75;" filled="f">
                  <v:imagedata r:id="rId121"/>
                </v:shape>
              </v:group>
            </w:pict>
          </mc:Fallback>
        </mc:AlternateContent>
      </w:r>
    </w:p>
    <w:p w:rsidR="004B6076" w:rsidRDefault="009E1091">
      <w:pPr>
        <w:spacing w:after="0" w:line="332" w:lineRule="auto"/>
        <w:ind w:left="-5" w:right="22"/>
      </w:pPr>
      <w:r>
        <w:rPr>
          <w:b/>
        </w:rPr>
        <w:t>Рис. 2.3.11.</w:t>
      </w:r>
      <w:r>
        <w:t xml:space="preserve"> Двухмерное представление данных с использованием алгоритма машин</w:t>
      </w:r>
      <w:r>
        <w:t>​</w:t>
      </w:r>
      <w:r>
        <w:tab/>
      </w:r>
      <w:r>
        <w:t>ного обучения со стохастическим вложением</w:t>
      </w:r>
      <w:r>
        <w:t>​</w:t>
      </w:r>
      <w:r>
        <w:t xml:space="preserve"> </w:t>
      </w:r>
      <w:r>
        <w:t>соседей с t-распределением</w:t>
      </w:r>
      <w:r>
        <w:t>​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925292"/>
                <wp:effectExtent l="0" t="0" r="0" b="0"/>
                <wp:docPr id="117159" name="Group 117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925292"/>
                          <a:chOff x="0" y="0"/>
                          <a:chExt cx="4062485" cy="3925292"/>
                        </a:xfrm>
                      </wpg:grpSpPr>
                      <wps:wsp>
                        <wps:cNvPr id="4136" name="Shape 4136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9" name="Shape 4139"/>
                        <wps:cNvSpPr/>
                        <wps:spPr>
                          <a:xfrm>
                            <a:off x="7622" y="3921472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49" name="Shape 15764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50" name="Shape 157650"/>
                        <wps:cNvSpPr/>
                        <wps:spPr>
                          <a:xfrm>
                            <a:off x="0" y="391765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2" name="Shape 4142"/>
                        <wps:cNvSpPr/>
                        <wps:spPr>
                          <a:xfrm>
                            <a:off x="3811" y="7590"/>
                            <a:ext cx="0" cy="39100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10062">
                                <a:moveTo>
                                  <a:pt x="0" y="0"/>
                                </a:moveTo>
                                <a:lnTo>
                                  <a:pt x="0" y="391006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51" name="Shape 157651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52" name="Shape 157652"/>
                        <wps:cNvSpPr/>
                        <wps:spPr>
                          <a:xfrm>
                            <a:off x="4054863" y="391765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5" name="Shape 4145"/>
                        <wps:cNvSpPr/>
                        <wps:spPr>
                          <a:xfrm>
                            <a:off x="4058674" y="7590"/>
                            <a:ext cx="0" cy="39100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10062">
                                <a:moveTo>
                                  <a:pt x="0" y="0"/>
                                </a:moveTo>
                                <a:lnTo>
                                  <a:pt x="0" y="391006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147" name="Picture 4147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8"/>
                            <a:ext cx="4047241" cy="391004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7159" style="width:319.881pt;height:309.078pt;mso-position-horizontal-relative:char;mso-position-vertical-relative:line" coordsize="40624,39252">
                <v:shape id="Shape 4136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4139" style="position:absolute;width:40472;height:0;left:76;top:39214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53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54" style="position:absolute;width:91;height:91;left:0;top:3917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4142" style="position:absolute;width:0;height:39100;left:38;top:75;" coordsize="0,3910062" path="m0,0l0,3910062">
                  <v:stroke weight="0.600151pt" endcap="flat" dashstyle="1 1" joinstyle="bevel" on="true" color="#c0c0c0"/>
                  <v:fill on="false" color="#000000" opacity="0"/>
                </v:shape>
                <v:shape id="Shape 157655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56" style="position:absolute;width:91;height:91;left:40548;top:3917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4145" style="position:absolute;width:0;height:39100;left:40586;top:75;" coordsize="0,3910062" path="m0,0l0,3910062">
                  <v:stroke weight="0.600151pt" endcap="flat" dashstyle="1 1" joinstyle="bevel" on="true" color="#c0c0c0"/>
                  <v:fill on="false" color="#000000" opacity="0"/>
                </v:shape>
                <v:shape id="Picture 4147" style="position:absolute;width:40472;height:39100;left:76;top:76;" filled="f">
                  <v:imagedata r:id="rId123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2.3.12.</w:t>
      </w:r>
      <w:r>
        <w:t xml:space="preserve"> Двухмерное представление данных с использованием метода uMAP</w:t>
      </w:r>
    </w:p>
    <w:p w:rsidR="004B6076" w:rsidRDefault="009E1091">
      <w:pPr>
        <w:spacing w:after="0"/>
        <w:ind w:left="-5" w:right="22"/>
      </w:pPr>
      <w:r>
        <w:t xml:space="preserve">В возрастном интервале 19–30 </w:t>
      </w:r>
      <w:r>
        <w:rPr>
          <w:i/>
        </w:rPr>
        <w:t>лет</w:t>
      </w:r>
      <w:r>
        <w:t xml:space="preserve"> наибольшую связь с возрастом демонстрируют показатели возрастной трансформац</w:t>
      </w:r>
      <w:r>
        <w:t>ии, происходящей в кортикальном слое диафиза, причем со стороны эндоста. Это толщина слоя внутренних общих пластинок (В12, r=–0,74) и толщина слоя остеонов (В11, r=0,53). Об активации процессов ремоделирования свидетельствует увеличение (в</w:t>
      </w:r>
    </w:p>
    <w:p w:rsidR="004B6076" w:rsidRDefault="009E1091">
      <w:pPr>
        <w:ind w:left="-5" w:right="340"/>
      </w:pPr>
      <w:r>
        <w:t>3,62 раза) количества остеонов с перестроенным центральным отделом (В18, r=0,63) и как прямое следствие увеличение (в 3,17 раза) их доли в общем количестве остеонов в поле зрения диафиза (В19, r=0,64). Полученные данные свидетельствуют о начале резорбционн</w:t>
      </w:r>
      <w:r>
        <w:t>ых процессов со стороны эндоста. Это связано с активностью остеокластов в составе эндоста.</w:t>
      </w:r>
    </w:p>
    <w:p w:rsidR="004B6076" w:rsidRDefault="009E1091">
      <w:pPr>
        <w:ind w:left="-5" w:right="22"/>
      </w:pPr>
      <w:r>
        <w:t>Об активности процессов костной перестройки можно судить и по увеличению среднего диаметра остеонов (в 1,17 раза) и гаверсова канала (в 1,05 раза). Сравнение с резул</w:t>
      </w:r>
      <w:r>
        <w:t>ьтатами других исследователей выявило вариативность цифровых данных.</w:t>
      </w:r>
    </w:p>
    <w:p w:rsidR="004B6076" w:rsidRDefault="009E1091">
      <w:pPr>
        <w:ind w:left="-5" w:right="22"/>
      </w:pPr>
      <w:r>
        <w:t>Это в очередной раз доказывает целесообразность комплексной оценки и предостерегает от использования каких-либо «универсальных» показателей процессов ремоделирования для диагностики возра</w:t>
      </w:r>
      <w:r>
        <w:t>ста.</w:t>
      </w:r>
    </w:p>
    <w:p w:rsidR="004B6076" w:rsidRDefault="009E1091">
      <w:pPr>
        <w:ind w:left="-5" w:right="22"/>
      </w:pPr>
      <w:r>
        <w:t xml:space="preserve">Гистологическая картина дистального эпифиза в данной возрастной группе характеризуется наличием линии минерализации, отсутствием зоны роста, толстыми костными балками с большим количеством эндотрабекулярных остеонов, увеличение числа которых является </w:t>
      </w:r>
      <w:r>
        <w:t>своего рода адаптивным ответом на возросшие метаболические потребности. Именно в данном периоде происходит накопление максимальной костной массы. Хрящевая ткань при этом также находится в фазе роста, отражая гетерохронность регистрируемых в эпифизе возраст</w:t>
      </w:r>
      <w:r>
        <w:t>ных процессов.</w:t>
      </w:r>
    </w:p>
    <w:p w:rsidR="004B6076" w:rsidRDefault="009E1091">
      <w:pPr>
        <w:ind w:left="-5" w:right="22"/>
      </w:pPr>
      <w:r>
        <w:t>Следовательно, возрастной период от 19 до 30 лет для костной ткани характеризуется завершением процесса формирования с последующим переходом к относительной стабильности. Относительность процесса выражается в непрекращающейся перестройке осн</w:t>
      </w:r>
      <w:r>
        <w:t>овного структурного компонента костной ткани — остеона — под воздействием внутренних и внешних факторов.</w:t>
      </w:r>
    </w:p>
    <w:p w:rsidR="004B6076" w:rsidRDefault="009E1091">
      <w:pPr>
        <w:spacing w:after="0"/>
        <w:ind w:left="-5" w:right="22"/>
      </w:pPr>
      <w:r>
        <w:t xml:space="preserve">В период </w:t>
      </w:r>
      <w:r>
        <w:rPr>
          <w:i/>
        </w:rPr>
        <w:t>от 31 до 50 лет</w:t>
      </w:r>
      <w:r>
        <w:t xml:space="preserve"> о происходящих процессах перестройки костной ткани в диафизе можно судить по изменяющимся показателям толщины (S) слоев компак</w:t>
      </w:r>
      <w:r>
        <w:t>тного вещества диафиза. При этом сила связи показателей ослабла, что косвенно указывает не только на снижение темпа изменений, но и на внутригрупповую неравномерность (В11, r=–0,42; р &lt;0,05; В12, r=–</w:t>
      </w:r>
    </w:p>
    <w:p w:rsidR="004B6076" w:rsidRDefault="009E1091">
      <w:pPr>
        <w:spacing w:after="0"/>
        <w:ind w:left="-5" w:right="22"/>
      </w:pPr>
      <w:r>
        <w:t>0,64; р &lt;0,05; В13, r=–0,48; р &lt;0,05; В14, r=–0,41; р &lt;0</w:t>
      </w:r>
      <w:r>
        <w:t>,05). Возможно, это является проявлением неравномерности ремоделирования, обусловленной воздействием внешних и внутренних факторов. В предыдущем возрастном периоде подобные факторы компенсировались. В последующие же годы сила их влияния заметно увеличивает</w:t>
      </w:r>
      <w:r>
        <w:t>ся. Также следует учитывать и возрастающую при переходе к зрелому возрасту степень наследственного влияния. Этапы постнатального онтогенеза характеризуются «различной степенью влияния генетических и средовых факторов на проявления роста и старения скелета»</w:t>
      </w:r>
    </w:p>
    <w:p w:rsidR="004B6076" w:rsidRDefault="009E1091">
      <w:pPr>
        <w:ind w:left="-5" w:right="22"/>
      </w:pPr>
      <w:r>
        <w:t>[98].</w:t>
      </w:r>
    </w:p>
    <w:p w:rsidR="004B6076" w:rsidRDefault="009E1091">
      <w:pPr>
        <w:ind w:left="-5" w:right="22"/>
      </w:pPr>
      <w:r>
        <w:t>Отмечено достоверное уменьшение (более чем в 2 раза по сравнению с числовым значением данного показателя в возрасте от 19 до 30 лет) толщины слоя наружных генеральных пластинок, тогда как с внутренней стороны инволюция только началась. Эти изменения</w:t>
      </w:r>
      <w:r>
        <w:t xml:space="preserve"> закономерно сопряжены с остеонизацией: толщина слоя остеонов и их количество увеличились в 1,5 раза. В 1,11 раза увеличивается по сравнению с предыдущим возрастным периодом средний диаметр всего остеона и в 1,24 раза — диаметр гаверсова канала. Интенсивно</w:t>
      </w:r>
      <w:r>
        <w:t>сть процессов ремоделирования компактного слоя диафиза выше на внутренней поверхности, где, согласно нашим результатам, отмечено их более раннее начало. Зафиксирована максимальная минеральная насыщенность костной ткани, о чем можно судить по наибольшему за</w:t>
      </w:r>
      <w:r>
        <w:t xml:space="preserve"> весь изученный возрастной диапазон значениям показателя В16 (среднее в поле зрения количество темноокрашенных ализариновым красным S остеонов; В16=2,41±0,28; r=0,51; р &lt;0,05). Он увеличился в 1,8 раза.</w:t>
      </w:r>
    </w:p>
    <w:p w:rsidR="004B6076" w:rsidRDefault="009E1091">
      <w:pPr>
        <w:ind w:left="-5" w:right="97"/>
      </w:pPr>
      <w:r>
        <w:t>В дистальном эпифизе площадь хряща (В7=3281,21±1023,6</w:t>
      </w:r>
      <w:r>
        <w:t xml:space="preserve">1; r=–0,64; р &lt;0,05) достигла к данному возрасту максимального значения, что позволяет говорить о наступившей стадии относительной стабилизации для данного показателя. Параллельно с этим мы видим начальные проявления остеопоротических изменений (инволюции </w:t>
      </w:r>
      <w:r>
        <w:t>костной ткани): уменьшается в 0,94 раза по сравнению с числовым значением данного показателя в возрасте от 19 до 30 лет S трабекулярной кости (В1=14 358,11±2132,23; r=–0,64; р &lt;0,05), и, соответственно, уменьшается (в 0,9 раза) число эндотрабекулярных осте</w:t>
      </w:r>
      <w:r>
        <w:t>онов (В13=3,12±0,55; r=–0,48; р &lt;0,05).</w:t>
      </w:r>
    </w:p>
    <w:p w:rsidR="004B6076" w:rsidRDefault="009E1091">
      <w:pPr>
        <w:ind w:left="-5" w:right="22"/>
      </w:pPr>
      <w:r>
        <w:t>Гистологическая картина нижнего эпифиза характеризуется четкой линией минерализации, достаточно широкой субхондральной пластинкой, многочисленными «толстыми» трабекулами с большим количеством остеонов с расширенным г</w:t>
      </w:r>
      <w:r>
        <w:t>аверсовым каналом.</w:t>
      </w:r>
    </w:p>
    <w:p w:rsidR="004B6076" w:rsidRDefault="009E1091">
      <w:pPr>
        <w:ind w:left="-5" w:right="22"/>
      </w:pPr>
      <w:r>
        <w:t>Компактный слой диафиза с большим количеством остеонов (часть которых с перестроенным центральным отделом) и вставочных пластинок. Толщина наружного слоя общих пластинок снижена, отмечается его прерывистость на некоторых препаратах. Нару</w:t>
      </w:r>
      <w:r>
        <w:t>жный слой выражен значительно лучше. Проявлениями активации остеорезорбции костной ткани являются увеличение диаметра гаверсова канала, уменьшение площади костных балок губчатого вещества эпифиза.</w:t>
      </w:r>
    </w:p>
    <w:p w:rsidR="004B6076" w:rsidRDefault="009E1091">
      <w:pPr>
        <w:ind w:left="-5" w:right="22"/>
      </w:pPr>
      <w:r>
        <w:t>Таким образом, совокупность большинства происходящих в кост</w:t>
      </w:r>
      <w:r>
        <w:t>ной ткани процессов в данном возрасте (от 31 до 50 лет) характеризует начало возрастных изменений.</w:t>
      </w:r>
    </w:p>
    <w:p w:rsidR="004B6076" w:rsidRDefault="009E1091">
      <w:pPr>
        <w:ind w:left="-5" w:right="424"/>
      </w:pPr>
      <w:r>
        <w:rPr>
          <w:i/>
        </w:rPr>
        <w:t>После 50 лет</w:t>
      </w:r>
      <w:r>
        <w:t xml:space="preserve"> начинается инволюция, затрагивающая как эпифиз, так и диафиз. Показатели с высоким уровнем значимости согласно ранжированию с использованием алг</w:t>
      </w:r>
      <w:r>
        <w:t>оритма Random Forest демонстрируют также достоверную, сильную и средней силы корреляционную связь с возрастом: В10, r=–0,71; В12, r=–0,74; В13, r=–0,81; В15, r=–0,61; В21, r=–0,063; В15, r=–0,68; р &lt;0,05). Активность данных процессов подтверждается и резул</w:t>
      </w:r>
      <w:r>
        <w:t>ьтатами кластеризации ММО. На представленных рисунках (см. рис. 4.3.1, 4.3.2) визуализации кластерных структур хорошо заметна обособленность группы в возрасте ≥50 лет.</w:t>
      </w:r>
    </w:p>
    <w:p w:rsidR="004B6076" w:rsidRDefault="009E1091">
      <w:pPr>
        <w:ind w:left="-5" w:right="22"/>
      </w:pPr>
      <w:r>
        <w:t>В нижнем эпифизе вследствие остеорезорбции (остеопороза) продолжается уменьшаться (в 1,2</w:t>
      </w:r>
      <w:r>
        <w:t>8 раза) площадь костной ткани за счет уменьшения длины (в 1,03 раза), толщины (в 1,34 раза) трабекул; снижается количество костных балок и, как прямое следствие, плотность микрососудистого русла и число эндотрабекулярных остеонов. Возрастные изменения затр</w:t>
      </w:r>
      <w:r>
        <w:t>агивают хрящевую ткань: уменьшается в 1,74 раза S хряща в субхондральной пластинке и в 1,14 раза — толщина подхрящевой пластинки. Траектория инволюции хрящевых элементов длинных трубчатых костей также проходит стадии роста созревания и возрастной трансформ</w:t>
      </w:r>
      <w:r>
        <w:t>ации, но с несколько иной скоростью. Хрящевой компонент продемонстрировал относительную константность: уменьшение площади хряща в субхондральной пластинке зафиксировано только после 50 лет. Данный факт мы можем рассматривать как проявление гетерохронии стр</w:t>
      </w:r>
      <w:r>
        <w:t>уктурных элементов одной кости.</w:t>
      </w:r>
    </w:p>
    <w:p w:rsidR="004B6076" w:rsidRDefault="009E1091">
      <w:pPr>
        <w:ind w:left="-5" w:right="22"/>
      </w:pPr>
      <w:r>
        <w:t>Гистологическая картина нижнего эпифиза характеризуется тонкими костными балками, неоднородными по толщине, структуре, с резко сниженным числом эндотрабекулярных остеонов.</w:t>
      </w:r>
    </w:p>
    <w:p w:rsidR="004B6076" w:rsidRDefault="009E1091">
      <w:pPr>
        <w:spacing w:after="262"/>
        <w:ind w:left="-5" w:right="22"/>
      </w:pPr>
      <w:r>
        <w:t>Компактный слой диафиза истончен, слои наружных и вн</w:t>
      </w:r>
      <w:r>
        <w:t>утренних генеральных пластин значительно уменьшены; большое количество остеонов с перестроенным центральным отделом, расширенным гаверсовым каналом; неравномерно выраженные линии склеивания, наличие резорбционных полостей. Отмечается наличие полых лож осте</w:t>
      </w:r>
      <w:r>
        <w:t>оцитов, лакун.</w:t>
      </w:r>
    </w:p>
    <w:p w:rsidR="004B6076" w:rsidRDefault="009E1091">
      <w:pPr>
        <w:spacing w:after="311"/>
        <w:ind w:left="-5" w:right="22"/>
      </w:pPr>
      <w:r>
        <w:t>В диафизе активизируются процессы ремоделирования. Продолжают увеличиваться диаметр гаверсова канала (в 1,04 раза),</w:t>
      </w:r>
      <w:r>
        <w:t>​</w:t>
      </w:r>
      <w:r>
        <w:t xml:space="preserve"> </w:t>
      </w:r>
      <w:r>
        <w:t>количество остеонов с перестроенным центральным отделом (в 1,6 раза). Уменьшается толщина слоя наружных (в 1,96 раза) и внут</w:t>
      </w:r>
      <w:r>
        <w:t xml:space="preserve">ренних (в 2,06 раза) общих пластинок за счет остеонизации: увеличение толщины как самого слоя в 1,1 раза, так и числа самих клеток в 1,07 раза. Прирост клеточного состава напрямую связан с увеличением количества циклов ремоделирования, активность которого </w:t>
      </w:r>
      <w:r>
        <w:t>выше со стороны эндоста. Уменьшилось (в 1,5 раза) число темноокрашенных остеонов, что можно расценивать как объективный показатель уменьшения минерализации костной ткани. Достоверность происходящих в костной ткани после 50 лет возрастных инволюционных изме</w:t>
      </w:r>
      <w:r>
        <w:t>нений подтверждена морфометрическими показателями. Возможно, нарастание остеопоротических изменений обусловлено угасанием функции половых желез, ограничением двигательной активности, замедлением интенсивности всех обменных процессов. Совокупность перечисле</w:t>
      </w:r>
      <w:r>
        <w:t>нных и ряд других факторов уменьшают в конечном итоге функциональную активность остеобластов.</w:t>
      </w:r>
    </w:p>
    <w:p w:rsidR="004B6076" w:rsidRDefault="009E1091">
      <w:pPr>
        <w:pStyle w:val="Heading2"/>
        <w:ind w:left="-5" w:right="988"/>
      </w:pPr>
      <w:r>
        <w:t>2.4. Морфометрические возрастные изменения сосудов головного мозга и нервного аппарата сосудов спинного мозга</w:t>
      </w:r>
    </w:p>
    <w:p w:rsidR="004B6076" w:rsidRDefault="009E1091">
      <w:pPr>
        <w:ind w:left="-5" w:right="22"/>
      </w:pPr>
      <w:r>
        <w:rPr>
          <w:b/>
        </w:rPr>
        <w:t xml:space="preserve">Состояние вопроса. </w:t>
      </w:r>
      <w:r>
        <w:t xml:space="preserve">В возрастной морфологии инволюция </w:t>
      </w:r>
      <w:r>
        <w:rPr>
          <w:i/>
        </w:rPr>
        <w:t>сосудов</w:t>
      </w:r>
      <w:r>
        <w:t xml:space="preserve"> занимает особое место. Нарушение кровообращения — это не только проявление старения, но и его ключевое звено. Таким образом, мы видим реализацию порочного круга патоаутокинеза инволюционных процессов. Наиболее расп</w:t>
      </w:r>
      <w:r>
        <w:t>ространенной и изученной является взаимосвязь возраста и артерио- и атеросклероза [29, 38, 39, 144]. На основании исследования коронароангиограмм 107 человек, возраст которых от 36 до 74 лет, Т.С. Жарикова и соавт. (2018) получили данные, свидетельствующие</w:t>
      </w:r>
      <w:r>
        <w:t xml:space="preserve"> об увеличении с возрастом общей длины коронарных артерий и длины ветви правой коронарной артерии. Подобная динамика характеризует адаптационную возрастную перестройку, направленную на поддержание адекватного кровоснабжения миокарда [43].</w:t>
      </w:r>
    </w:p>
    <w:p w:rsidR="004B6076" w:rsidRDefault="009E1091">
      <w:pPr>
        <w:ind w:left="-5" w:right="22"/>
      </w:pPr>
      <w:r>
        <w:t>Значительное коли</w:t>
      </w:r>
      <w:r>
        <w:t>чество работ посвящено изучению возрастных особенностей сосудистого русла головного мозга. В исследованиях, выполненных под руководством В.Н. Николенко (2018, 2019), получены данные о возрастной анатомии и морфологии сосудистого сплетения боковых желудочко</w:t>
      </w:r>
      <w:r>
        <w:t>в головного мозга человека, изменении биомеханических свойств артерий головного мозга у лиц отдельных возрастных групп [46, 102, 181].</w:t>
      </w:r>
    </w:p>
    <w:p w:rsidR="004B6076" w:rsidRDefault="009E1091">
      <w:pPr>
        <w:ind w:left="-5" w:right="22"/>
      </w:pPr>
      <w:r>
        <w:t>В.Н. Николенко, О.А. Фомкина (2008), используя статистический анализ, получили достоверные сведения о корреляционной взаи</w:t>
      </w:r>
      <w:r>
        <w:t>мосвязи с возрастом толщины стенки внутричерепных частей позвоночных и базилярной артерий. Полученные результаты авторы применили для создания регрессионной модели диагностики биологического возраста с точностью от 10,4 до 11,4 года [101]. Продолжая изучен</w:t>
      </w:r>
      <w:r>
        <w:t>ие возрастных изменений сосудов, О.А. Фомкина и В.Н. Николенко (2018) исследовали динамику трансформации размерных характеристик мозговых артерий, установив при этом достоверное снижение толщины стенки артерий во втором периоде зрелого возраста. Также учен</w:t>
      </w:r>
      <w:r>
        <w:t>ыми была описана последовательность возникновения данных возрастных изменений на различных артериях [159]. Комплексное исследование, сочетающее рутинное гистологическое исследование ряда морфометрических параметров с иммуногистохимическим методом (выявлени</w:t>
      </w:r>
      <w:r>
        <w:t>е посредством экспрессии белка Ki-67 активности пролиферации), позволило прийти к выводу о преобладании индивидуальной изменчивости морфологии сосудистых сплетений боковых желудочков головного мозга в процессе старения [181].</w:t>
      </w:r>
    </w:p>
    <w:p w:rsidR="004B6076" w:rsidRDefault="009E1091">
      <w:pPr>
        <w:ind w:left="-5" w:right="22"/>
      </w:pPr>
      <w:r>
        <w:t>С возрастом внутриорганные сос</w:t>
      </w:r>
      <w:r>
        <w:t>уды артериального звена приобретают патологическую извилистость, сопровождающуюся участками сужения и расширения, склеротические процессы приводят к уменьшению диаметра, их контуры становятся неровными, капилляры запустевают. Количественная оценка подобных</w:t>
      </w:r>
      <w:r>
        <w:t xml:space="preserve"> изменений, несомненно, имеет научно-практическую ценность, в том числе в качестве дополнительного критерия при оценке возраста.</w:t>
      </w:r>
    </w:p>
    <w:p w:rsidR="004B6076" w:rsidRDefault="009E1091">
      <w:pPr>
        <w:ind w:left="-5" w:right="22"/>
      </w:pPr>
      <w:r>
        <w:t>Гистофизиологические параметры взаимоотношений нейроглии и сосудистого компонента претерпевают изменения в процессе постнатальн</w:t>
      </w:r>
      <w:r>
        <w:t>ого онтогенеза. Взаимосвязь данных системных звеньев имеет отличия на протяжении жизни. Опубликованы результаты, свидетельствующие о специфике возрастной трансформации различных структур головного мозга, а также элементов, ответственных за обменные процесс</w:t>
      </w:r>
      <w:r>
        <w:t>ы, дана количественная характеристика происходящих явлений в разных возрастных группах. Полученные данные свидетельствуют о гетерохронности, топологических различиях на различных этапах постнатального онтогенеза [89, 91, 165, 166]. Проведенные детализирова</w:t>
      </w:r>
      <w:r>
        <w:t>нные исследования структурных компонентов коры головного мозга человека в различные периоды его жизни свидетельствуют о наличии корреляционной взаимосвязи между возрастом и особенностями ансамблевой организации [21]. К настоящему моменту не вызывает сомнен</w:t>
      </w:r>
      <w:r>
        <w:t>ий утверждение, что общая сущность происходящих при старении изменений в головном мозге заключается в уменьшении объема серого и белого вещества [114, 301]. При этом атрофия характеризуется достаточно выраженными региональными отличиями, обусловленными стр</w:t>
      </w:r>
      <w:r>
        <w:t xml:space="preserve">уктурно-функциональными диспозициями отделов мозга [114]. Большое внимание уделяется вопросам гетеротопии: времени начала возрастной трансформации и скорости (темпа) ее развития в зависимости от области мозга. С возрастом уменьшаются нейропиль, количество </w:t>
      </w:r>
      <w:r>
        <w:t>нейронов, возникает недостаточность синаптических связей, снижается скорость экспрессии генов [114]. Современные исследования позволили дать морфологическую характеристику происходящим в постнатальном онтогенезе возрастным преобразованиям в различных отдел</w:t>
      </w:r>
      <w:r>
        <w:t>ах головного мозга [97, 174, 175].</w:t>
      </w:r>
    </w:p>
    <w:p w:rsidR="004B6076" w:rsidRDefault="009E1091">
      <w:pPr>
        <w:spacing w:after="0"/>
        <w:ind w:left="-5" w:right="22"/>
      </w:pPr>
      <w:r>
        <w:t>Результатами морфометрического исследования с подсчетом количества нейронов в поле зрения гистологических препаратов гиппокампа CA1 и CA3 и зубчатой извилины стали выводы о наличии выраженной гетерохронии и гетеротопии пр</w:t>
      </w:r>
      <w:r>
        <w:t>оисходящих изменений. Уменьшение количества нейронов начинается раньше всего в зубчатой извилине, затем это поле СА3 и только потом поле СА1. При этом у лиц в возрасте от 36 до 74 лет зафиксировано расширение нейронного профиля с последующим уменьшением да</w:t>
      </w:r>
      <w:r>
        <w:t xml:space="preserve">нного показателя после 75 лет [377]. При исследовании динамики возрастной инволюции гиппокампа выявлены возрастные особенности нейрогенеза: ежедневное обновление нейронов (до 700 в день) формирует 1,75% годового оборота данных клеток с некоторым снижением </w:t>
      </w:r>
      <w:r>
        <w:t>у лиц пожилого и старческого возраста [377]. В работах лаборатории под руководством И.Н. Боголеповой исследованы процессы, происходящие в коре головного мозга в отдельные периоды жизни человека, показаны гендерные различия возрастных изменений цитоархитект</w:t>
      </w:r>
      <w:r>
        <w:t>онического строения изучаемых структур [18]. На основании исследования слоев коры поля 10 префронтальной коры лобной области мозга установлено наличие достоверных различий ряда морфометрических параметров между двумя группами: зрелого (20–60 лет) и пожилог</w:t>
      </w:r>
      <w:r>
        <w:t>о (старше 75 лет) возраста [18]. Опубликованы результаты о возрастных изменениях в период раннего постнатального онтогенеза количественных и размерных характеристик пирамидных нейронов и клеток микроглии, показателей ферментов антиоксидантной защиты [80].</w:t>
      </w:r>
    </w:p>
    <w:p w:rsidR="004B6076" w:rsidRDefault="009E1091">
      <w:pPr>
        <w:ind w:left="-5" w:right="22"/>
      </w:pPr>
      <w:r>
        <w:t>А.А. Баландиным (2018) на основании исследования мозжечка от 217 трупов обоего пола от 16 до 86 лет получены данные о возрастной динамике таких показателей, как масса, объем и линейные параметры, толщина молекулярного слоя мозжечка, размерные характеристик</w:t>
      </w:r>
      <w:r>
        <w:t>и грушевидных нейронов. Результаты количественной оценки изменений структурных компонентов коры мозжечка использованы для разработки нового способа оценки биологического возраста [13].</w:t>
      </w:r>
    </w:p>
    <w:p w:rsidR="004B6076" w:rsidRDefault="009E1091">
      <w:pPr>
        <w:ind w:left="-5" w:right="22"/>
      </w:pPr>
      <w:r>
        <w:t>Следует отметить достигнутые положительные результаты использования ММО</w:t>
      </w:r>
      <w:r>
        <w:t xml:space="preserve"> данных структурно-функциональной визуализации человека для предсказания возраста человека [302, 349, 397]. Так, например, для оценки возраста индивида структура NAPR использует карты толщины коры головного мозга, полученные из их собственных локально обра</w:t>
      </w:r>
      <w:r>
        <w:t>ботанных Т1взвешенных магнитно-резонансных томограмм всего мозга. H. Pardoe и R. Kuzniecky (2017) отмечают, что использование подобного программного обеспечения имеет высокий потенциал для диагностики как биомаркеров возраста, так и маркеров здоровья [349]</w:t>
      </w:r>
      <w:r>
        <w:t>.</w:t>
      </w:r>
    </w:p>
    <w:p w:rsidR="004B6076" w:rsidRDefault="009E1091">
      <w:pPr>
        <w:ind w:left="-5" w:right="22"/>
      </w:pPr>
      <w:r>
        <w:t>Пиальная сосудистая система коры больших полушарий обладает возрастной изменчивостью, характеризующейся снижением плотности пиальной сосудистой сети и ее магистрализацией. Это сопровождается фрагментацией капилляров, появлением анастомозов, склерозирован</w:t>
      </w:r>
      <w:r>
        <w:t>ием стенки, уменьшением внутреннего диаметра [74, 137].</w:t>
      </w:r>
    </w:p>
    <w:p w:rsidR="004B6076" w:rsidRDefault="009E1091">
      <w:pPr>
        <w:spacing w:after="0"/>
        <w:ind w:left="-5" w:right="22"/>
      </w:pPr>
      <w:r>
        <w:t>Изучение возрастных аспектов регуляции кровоснабжения головного и спинного мозга являлось одним из приоритетных направлений научного поиска дальневосточной нейрогистологической школы, основоположником</w:t>
      </w:r>
      <w:r>
        <w:t xml:space="preserve"> которой является</w:t>
      </w:r>
    </w:p>
    <w:p w:rsidR="004B6076" w:rsidRDefault="009E1091">
      <w:pPr>
        <w:ind w:left="-5" w:right="22"/>
      </w:pPr>
      <w:r>
        <w:t xml:space="preserve">П.А. Мотавкин. Установлено, что постнатальный онтогенез человека характеризуется наличием последовательных фаз не только качественных, но и количественных изменений афферентной и эфферентной иннервации сосудов. Это позволяет использовать </w:t>
      </w:r>
      <w:r>
        <w:t>их для суждения о биологическом возрасте человека [89, 90, 117, 118, 119, 122]. Многолетние исследования возрастных изменений морфологических параметров сосудов головного и спинного мозга, нейроглиальных компонентов обладают научным потенциалом, который мо</w:t>
      </w:r>
      <w:r>
        <w:t>жет быть реализован в судебной медицине при разработке комплексных диагностических моделей установления возраста неизвестного человека [89–91, 99, 101–104, 117, 119, 122, 137, 158, 159, 165, 173–175, 181].</w:t>
      </w:r>
    </w:p>
    <w:p w:rsidR="004B6076" w:rsidRDefault="009E1091">
      <w:pPr>
        <w:spacing w:after="158" w:line="270" w:lineRule="auto"/>
        <w:ind w:left="-5" w:right="156"/>
      </w:pPr>
      <w:r>
        <w:rPr>
          <w:b/>
        </w:rPr>
        <w:t>Методика исследования</w:t>
      </w:r>
    </w:p>
    <w:p w:rsidR="004B6076" w:rsidRDefault="009E1091">
      <w:pPr>
        <w:ind w:left="-5" w:right="22"/>
      </w:pPr>
      <w:r>
        <w:rPr>
          <w:i/>
        </w:rPr>
        <w:t xml:space="preserve">Гистохимический метод исследования. </w:t>
      </w:r>
      <w:r>
        <w:t xml:space="preserve">Для установления возрастных показателей капиллярного русла головного мозга использовалась гистохимическая реакция на </w:t>
      </w:r>
      <w:r>
        <w:rPr>
          <w:i/>
        </w:rPr>
        <w:t>щелочную фосфатазу</w:t>
      </w:r>
      <w:r>
        <w:t>. Учитывая, что щелочная фосфатаза выявляется только в артериальном отделе функционал</w:t>
      </w:r>
      <w:r>
        <w:t>ьно активных капилляров [91], изучение препаратов, окрашенных на щелочную фосфатазу, позволяет объективно оценить морфофункциональные и морфометрические параметры кровоснабжения мозга. Для выявления щелочной фосфатазы использовали кальций-кобальтовый метод</w:t>
      </w:r>
      <w:r>
        <w:t xml:space="preserve"> [197]. Методика приготовления препаратов включала: инкубацию срезов в растворе субстрата (β-глицерофосфат натрия, 45 мин, 37 °С) → промывку → заключение в глицеринжелатиновый гель.</w:t>
      </w:r>
    </w:p>
    <w:p w:rsidR="004B6076" w:rsidRDefault="009E1091">
      <w:pPr>
        <w:ind w:left="-5" w:right="22"/>
      </w:pPr>
      <w:r>
        <w:t xml:space="preserve">Для выявления </w:t>
      </w:r>
      <w:r>
        <w:rPr>
          <w:i/>
        </w:rPr>
        <w:t>адренергических волокон</w:t>
      </w:r>
      <w:r>
        <w:t xml:space="preserve"> использовался флюоресцентно-гистохим</w:t>
      </w:r>
      <w:r>
        <w:t>ический метод с глиоксиловой кислотой (метод Фурнеса и Коста) [247]. После обработки исследуемых образцов 2-процентной глиоксиловой кислотой (рН 7,0) 30 мин → фиксация на покровном стекле → подсушивание на воздухе → термостат (100 °С, 4 мин) → просветление</w:t>
      </w:r>
      <w:r>
        <w:t xml:space="preserve"> в ксилоле → заключение в полистирол. Исследование с использованием люминесцентного микроскопа и светофильтров (ДС-1, СЗС-7) позволяло увидеть результаты реакции конденсации катехоламинов с глиоксиловой кислотой.</w:t>
      </w:r>
    </w:p>
    <w:p w:rsidR="004B6076" w:rsidRDefault="009E1091">
      <w:pPr>
        <w:ind w:left="-5" w:right="22"/>
      </w:pPr>
      <w:r>
        <w:t xml:space="preserve">Выявление </w:t>
      </w:r>
      <w:r>
        <w:rPr>
          <w:i/>
        </w:rPr>
        <w:t>холинацетилтрансферазы</w:t>
      </w:r>
      <w:r>
        <w:t xml:space="preserve"> (фермент а</w:t>
      </w:r>
      <w:r>
        <w:t>цетилхолинового синтеза и обмена) на основе метода А.М. Burt [266]. Исследуемые образцы фиксировали в растворе формальдегида (1-процентный раствор, приготовленный на 0,1 М какодилатном буфере с 0,32 М сахарозой) → промывка [семикратная смена раствора (како</w:t>
      </w:r>
      <w:r>
        <w:t>дилатный буфер рН 5,2 в течение 18 ч)]. В качестве ингибитора применялся диизопропилфторфосфат.</w:t>
      </w:r>
    </w:p>
    <w:p w:rsidR="004B6076" w:rsidRDefault="009E1091">
      <w:pPr>
        <w:spacing w:after="38"/>
        <w:ind w:left="-5" w:right="230"/>
      </w:pPr>
      <w:r>
        <w:t xml:space="preserve">Для выявления ацетилхолинэстеразы использовался метод Карновского–Рутс в модификации Гидрина [266]. В основе данного метода — гидролиз тиоаналогов ацетилхолина </w:t>
      </w:r>
      <w:r>
        <w:t xml:space="preserve">на участках с концентрацией фермента и формированием медной соли тиосульфата, которая образует сульфид меди при последующей обработке (NH ) S. Скорость происходящей реакции и </w:t>
      </w:r>
      <w:r>
        <w:rPr>
          <w:sz w:val="16"/>
        </w:rPr>
        <w:t>4 2</w:t>
      </w:r>
    </w:p>
    <w:p w:rsidR="004B6076" w:rsidRDefault="009E1091">
      <w:pPr>
        <w:ind w:left="-5" w:right="22"/>
      </w:pPr>
      <w:r>
        <w:t>интенсивность осадка определяла активность фермента.</w:t>
      </w:r>
    </w:p>
    <w:p w:rsidR="004B6076" w:rsidRDefault="009E1091">
      <w:pPr>
        <w:spacing w:after="13"/>
        <w:ind w:left="-5" w:right="22"/>
      </w:pPr>
      <w:r>
        <w:t>Дальнейшее гистоморфомет</w:t>
      </w:r>
      <w:r>
        <w:t>рическое исследование проводится в соответствии с общими методическими рекомендациями [1].</w:t>
      </w:r>
    </w:p>
    <w:p w:rsidR="004B6076" w:rsidRDefault="009E1091">
      <w:pPr>
        <w:ind w:left="-5" w:right="22"/>
      </w:pPr>
      <w:r>
        <w:t>Перечень измеряемых признаков представлен в табл. 2.4.1 и 2.4.2.</w:t>
      </w:r>
    </w:p>
    <w:p w:rsidR="004B6076" w:rsidRDefault="009E1091">
      <w:pPr>
        <w:spacing w:after="20"/>
        <w:ind w:left="-5" w:right="22"/>
      </w:pPr>
      <w:r>
        <w:rPr>
          <w:b/>
        </w:rPr>
        <w:t xml:space="preserve">Таблица 2.4.1. </w:t>
      </w:r>
      <w:r>
        <w:t>Программа признаков для гистоморфометрического исследования капилляров головного мозг</w:t>
      </w:r>
      <w:r>
        <w:t>а</w:t>
      </w:r>
    </w:p>
    <w:tbl>
      <w:tblPr>
        <w:tblStyle w:val="TableGrid"/>
        <w:tblW w:w="10239" w:type="dxa"/>
        <w:tblInd w:w="24" w:type="dxa"/>
        <w:tblCellMar>
          <w:top w:w="112" w:type="dxa"/>
          <w:left w:w="36" w:type="dxa"/>
          <w:bottom w:w="0" w:type="dxa"/>
          <w:right w:w="40" w:type="dxa"/>
        </w:tblCellMar>
        <w:tblLook w:val="04A0" w:firstRow="1" w:lastRow="0" w:firstColumn="1" w:lastColumn="0" w:noHBand="0" w:noVBand="1"/>
      </w:tblPr>
      <w:tblGrid>
        <w:gridCol w:w="1392"/>
        <w:gridCol w:w="8846"/>
      </w:tblGrid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Имя признака</w:t>
            </w:r>
          </w:p>
        </w:tc>
        <w:tc>
          <w:tcPr>
            <w:tcW w:w="8846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Название признака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L</w:t>
            </w:r>
          </w:p>
        </w:tc>
        <w:tc>
          <w:tcPr>
            <w:tcW w:w="8846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Длина капиллярного русла, мм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D</w:t>
            </w:r>
          </w:p>
        </w:tc>
        <w:tc>
          <w:tcPr>
            <w:tcW w:w="8846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Диаметр капилляров, мкм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</w:t>
            </w:r>
          </w:p>
        </w:tc>
        <w:tc>
          <w:tcPr>
            <w:tcW w:w="8846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tabs>
                <w:tab w:val="center" w:pos="4676"/>
                <w:tab w:val="center" w:pos="5660"/>
              </w:tabs>
              <w:spacing w:after="0" w:line="259" w:lineRule="auto"/>
              <w:ind w:left="0" w:firstLine="0"/>
            </w:pPr>
            <w:r>
              <w:rPr>
                <w:sz w:val="22"/>
              </w:rPr>
              <w:tab/>
            </w:r>
            <w:r>
              <w:rPr>
                <w:sz w:val="16"/>
              </w:rPr>
              <w:t>3</w:t>
            </w:r>
            <w:r>
              <w:rPr>
                <w:sz w:val="16"/>
              </w:rPr>
              <w:tab/>
              <w:t>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Площадь обменной поверхности капилляров в 1 мм ткани, мм ; расчетный показатель S=πdL</w:t>
            </w:r>
          </w:p>
        </w:tc>
      </w:tr>
      <w:tr w:rsidR="004B6076">
        <w:trPr>
          <w:trHeight w:val="576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Y</w:t>
            </w:r>
          </w:p>
        </w:tc>
        <w:tc>
          <w:tcPr>
            <w:tcW w:w="8846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tabs>
                <w:tab w:val="center" w:pos="5216"/>
                <w:tab w:val="center" w:pos="5612"/>
                <w:tab w:val="center" w:pos="6021"/>
              </w:tabs>
              <w:spacing w:after="0" w:line="259" w:lineRule="auto"/>
              <w:ind w:left="0" w:firstLine="0"/>
            </w:pPr>
            <w:r>
              <w:rPr>
                <w:sz w:val="22"/>
              </w:rPr>
              <w:tab/>
            </w:r>
            <w:r>
              <w:rPr>
                <w:sz w:val="16"/>
              </w:rPr>
              <w:t>3</w:t>
            </w:r>
            <w:r>
              <w:rPr>
                <w:sz w:val="16"/>
              </w:rPr>
              <w:tab/>
              <w:t>2</w:t>
            </w:r>
            <w:r>
              <w:rPr>
                <w:sz w:val="16"/>
              </w:rPr>
              <w:tab/>
              <w:t>3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 xml:space="preserve">Количество крови на единицу поверхности капилляра, мм /мм </w:t>
            </w:r>
            <w:r>
              <w:t>×10 ; расчетный показатель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Y=V/S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V</w:t>
            </w:r>
          </w:p>
        </w:tc>
        <w:tc>
          <w:tcPr>
            <w:tcW w:w="8846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tabs>
                <w:tab w:val="center" w:pos="3056"/>
                <w:tab w:val="center" w:pos="4040"/>
              </w:tabs>
              <w:spacing w:after="0" w:line="259" w:lineRule="auto"/>
              <w:ind w:left="0" w:firstLine="0"/>
            </w:pPr>
            <w:r>
              <w:rPr>
                <w:sz w:val="22"/>
              </w:rPr>
              <w:tab/>
            </w:r>
            <w:r>
              <w:rPr>
                <w:sz w:val="16"/>
              </w:rPr>
              <w:t xml:space="preserve">3 </w:t>
            </w:r>
            <w:r>
              <w:rPr>
                <w:sz w:val="16"/>
              </w:rPr>
              <w:tab/>
              <w:t>3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Объем крови в капиллярах в 1 мм ткани, мм ; расчетный показатель V=(D2/4)Lπ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π</w:t>
            </w:r>
          </w:p>
        </w:tc>
        <w:tc>
          <w:tcPr>
            <w:tcW w:w="8846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3,14</w:t>
            </w:r>
          </w:p>
        </w:tc>
      </w:tr>
    </w:tbl>
    <w:p w:rsidR="004B6076" w:rsidRDefault="009E1091">
      <w:pPr>
        <w:spacing w:after="0"/>
        <w:ind w:left="-5" w:right="22"/>
      </w:pPr>
      <w:r>
        <w:t>Длина капиллярного русла (относительная плотность капилляров в единице объема) была получена с использованием формулы для неравномерного распределения капилляров:</w:t>
      </w:r>
    </w:p>
    <w:p w:rsidR="004B6076" w:rsidRDefault="009E1091">
      <w:pPr>
        <w:spacing w:after="341" w:line="259" w:lineRule="auto"/>
        <w:ind w:left="0" w:firstLine="0"/>
      </w:pPr>
      <w:r>
        <w:rPr>
          <w:noProof/>
        </w:rPr>
        <w:drawing>
          <wp:inline distT="0" distB="0" distL="0" distR="0">
            <wp:extent cx="2012188" cy="426827"/>
            <wp:effectExtent l="0" t="0" r="0" b="0"/>
            <wp:docPr id="4470" name="Picture 44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0" name="Picture 4470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012188" cy="426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9E1091">
      <w:pPr>
        <w:tabs>
          <w:tab w:val="center" w:pos="4160"/>
          <w:tab w:val="center" w:pos="8709"/>
        </w:tabs>
        <w:spacing w:after="0" w:line="259" w:lineRule="auto"/>
        <w:ind w:left="0" w:firstLine="0"/>
      </w:pPr>
      <w:r>
        <w:rPr>
          <w:sz w:val="22"/>
        </w:rPr>
        <w:tab/>
      </w:r>
      <w:r>
        <w:rPr>
          <w:sz w:val="16"/>
        </w:rPr>
        <w:t>3</w:t>
      </w:r>
      <w:r>
        <w:rPr>
          <w:sz w:val="16"/>
        </w:rPr>
        <w:tab/>
        <w:t>2</w:t>
      </w:r>
    </w:p>
    <w:p w:rsidR="004B6076" w:rsidRDefault="009E1091">
      <w:pPr>
        <w:ind w:left="-5" w:right="22"/>
      </w:pPr>
      <w:r>
        <w:t>где Lo — суммарная длина капилляров в 1 мм ткани, No — количество открытых концов на 1</w:t>
      </w:r>
      <w:r>
        <w:t xml:space="preserve"> мм, Nr — число пересечений горизонтальных линий сетки окулярмикрометра, Nв — число пересечений вертикальных линий сетки окулярмикрометра.</w:t>
      </w:r>
    </w:p>
    <w:p w:rsidR="004B6076" w:rsidRDefault="009E1091">
      <w:pPr>
        <w:spacing w:after="13"/>
        <w:ind w:left="-5" w:right="22"/>
      </w:pPr>
      <w:r>
        <w:rPr>
          <w:b/>
        </w:rPr>
        <w:t>Таблица 2.4.2.</w:t>
      </w:r>
      <w:r>
        <w:t xml:space="preserve"> Программа признаков для исследования иннервации сосудов мягкой оболочки спинного мозга</w:t>
      </w:r>
    </w:p>
    <w:p w:rsidR="004B6076" w:rsidRDefault="009E1091">
      <w:pPr>
        <w:ind w:left="-5" w:right="22"/>
      </w:pPr>
      <w:r>
        <w:rPr>
          <w:b/>
        </w:rPr>
        <w:t xml:space="preserve">Характеристика </w:t>
      </w:r>
      <w:r>
        <w:rPr>
          <w:b/>
        </w:rPr>
        <w:t xml:space="preserve">возрастных изменений капилляров головного мозга. </w:t>
      </w:r>
      <w:r>
        <w:t>Возрастную динамику изученных морфометрических параметров капилляров головного мозга, учитывая результаты статистического и интеллектуального (посредством ММО) анализов, можно охарактеризовать следующим обра</w:t>
      </w:r>
      <w:r>
        <w:t>зом.</w:t>
      </w:r>
    </w:p>
    <w:p w:rsidR="004B6076" w:rsidRDefault="009E1091">
      <w:pPr>
        <w:spacing w:after="0"/>
        <w:ind w:left="-5" w:right="22"/>
      </w:pPr>
      <w:r>
        <w:t xml:space="preserve">Изменения линейных размеров в </w:t>
      </w:r>
      <w:r>
        <w:rPr>
          <w:i/>
        </w:rPr>
        <w:t>периоды детства</w:t>
      </w:r>
      <w:r>
        <w:t xml:space="preserve">, </w:t>
      </w:r>
      <w:r>
        <w:rPr>
          <w:i/>
        </w:rPr>
        <w:t>подросткового и юношеского возраста</w:t>
      </w:r>
      <w:r>
        <w:t xml:space="preserve"> демонстрировали незначительный прирост показателей. При этом темп происходящих изменений различен: диаметр капилляров в возрасте 13–16 лет по сравнению с предыдущей группой 8–12 лет увеличился на 1,3–1,4% (r=0,78); в группе от 17 до 21 года прирост состав</w:t>
      </w:r>
      <w:r>
        <w:t xml:space="preserve">ил +1,0– 1,1% (r=0,18); от 22 до 35 лет — 0,5–1,0% (r=0,16). Аналогичное снижение темпа возрастных изменений по мере взросления мы отметили и у показателя «длина капиллярного русла» (L). В возрасте 13–16 лет по сравнению с предыдущей группой он увеличился </w:t>
      </w:r>
      <w:r>
        <w:t>на 1,0–2,1% (r=0,77); в возрасте от 17 до 21 года — на 1,1–1,8% (r=0,8); от 22 до 35 лет — на 0,1–0,8% (r=0,08).</w:t>
      </w:r>
    </w:p>
    <w:p w:rsidR="004B6076" w:rsidRDefault="009E1091">
      <w:pPr>
        <w:spacing w:after="0" w:line="259" w:lineRule="auto"/>
        <w:ind w:left="3947" w:right="40"/>
        <w:jc w:val="center"/>
      </w:pPr>
      <w:r>
        <w:rPr>
          <w:sz w:val="16"/>
        </w:rPr>
        <w:t>3</w:t>
      </w:r>
    </w:p>
    <w:p w:rsidR="004B6076" w:rsidRDefault="009E1091">
      <w:pPr>
        <w:spacing w:after="36"/>
        <w:ind w:left="-5" w:right="22"/>
      </w:pPr>
      <w:r>
        <w:t>Значения расчетных показателей: площадь обменной поверхности капилляров в 1 мм ткани (S=πDL), количество крови на</w:t>
      </w:r>
    </w:p>
    <w:p w:rsidR="004B6076" w:rsidRDefault="009E1091">
      <w:pPr>
        <w:tabs>
          <w:tab w:val="center" w:pos="3596"/>
          <w:tab w:val="center" w:pos="8025"/>
          <w:tab w:val="center" w:pos="9141"/>
        </w:tabs>
        <w:spacing w:after="0" w:line="259" w:lineRule="auto"/>
        <w:ind w:left="0" w:firstLine="0"/>
      </w:pPr>
      <w:r>
        <w:rPr>
          <w:sz w:val="22"/>
        </w:rPr>
        <w:tab/>
      </w:r>
      <w:r>
        <w:rPr>
          <w:sz w:val="16"/>
        </w:rPr>
        <w:t>3</w:t>
      </w:r>
      <w:r>
        <w:rPr>
          <w:sz w:val="16"/>
        </w:rPr>
        <w:tab/>
        <w:t>3</w:t>
      </w:r>
      <w:r>
        <w:rPr>
          <w:sz w:val="16"/>
        </w:rPr>
        <w:tab/>
        <w:t>2</w:t>
      </w:r>
    </w:p>
    <w:p w:rsidR="004B6076" w:rsidRDefault="009E1091">
      <w:pPr>
        <w:spacing w:after="0"/>
        <w:ind w:left="-5" w:right="22"/>
      </w:pPr>
      <w:r>
        <w:t xml:space="preserve">единицу поверхности </w:t>
      </w:r>
      <w:r>
        <w:t>капилляра в 1 мм ткани (Y=V/S), объем крови в капиллярах в 1 мм ткани V=(D )/4)π и их изменения соразмерны трансформациям линейных размеров. Увеличение показателей в возрасте 13–16 лет составило в среднем: S=+1,0– 2,4% (r=0,77), Y=+2,6–1,0% (r=0,76), V=+0,</w:t>
      </w:r>
      <w:r>
        <w:t>2–0,6% (r=0,78); в возрасте от 17 до 21 года: S=+1,2–1,7% (r=0,06), Y=+1,0–2,0% (r=0,26), V=+3,4–3,7% (r=0,18); от 22 до 35 лет: S=+0,2–1,9% (r=0,17), Y=+0,1–1,3% (r=0,12), V=+0,2–0,8% (r=0,14). На основании статистического анализа можно констатировать нал</w:t>
      </w:r>
      <w:r>
        <w:t>ичие достоверных различий (р ≤0,01) между значениями показателей в возрастных группах до 17 лет и 22–35 лет. Следует отметить, что в период от 17 до 35 лет длина капиллярного русла имеет наибольшие (в рамках рассматриваемого возрастного диапазона) значения</w:t>
      </w:r>
      <w:r>
        <w:t>: L1=315,5±1,1 мм, σ=7,8; L2=326,9±1,6 мм, σ=7,3.</w:t>
      </w:r>
    </w:p>
    <w:tbl>
      <w:tblPr>
        <w:tblStyle w:val="TableGrid"/>
        <w:tblpPr w:vertAnchor="page" w:horzAnchor="page" w:tblpX="120" w:tblpY="24"/>
        <w:tblOverlap w:val="never"/>
        <w:tblW w:w="6842" w:type="dxa"/>
        <w:tblInd w:w="0" w:type="dxa"/>
        <w:tblCellMar>
          <w:top w:w="112" w:type="dxa"/>
          <w:left w:w="36" w:type="dxa"/>
          <w:bottom w:w="0" w:type="dxa"/>
          <w:right w:w="40" w:type="dxa"/>
        </w:tblCellMar>
        <w:tblLook w:val="04A0" w:firstRow="1" w:lastRow="0" w:firstColumn="1" w:lastColumn="0" w:noHBand="0" w:noVBand="1"/>
      </w:tblPr>
      <w:tblGrid>
        <w:gridCol w:w="1392"/>
        <w:gridCol w:w="5449"/>
      </w:tblGrid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Имя признака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Название признака</w:t>
            </w:r>
          </w:p>
        </w:tc>
      </w:tr>
      <w:tr w:rsidR="004B6076">
        <w:trPr>
          <w:trHeight w:val="300"/>
        </w:trPr>
        <w:tc>
          <w:tcPr>
            <w:tcW w:w="6842" w:type="dxa"/>
            <w:gridSpan w:val="2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Ацетилхолинэстераза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S1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441" w:firstLine="3577"/>
            </w:pPr>
            <w:r>
              <w:rPr>
                <w:sz w:val="16"/>
              </w:rPr>
              <w:t xml:space="preserve">2 </w:t>
            </w:r>
            <w:r>
              <w:t>Концентрация нервных волокон на 1 мм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S2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Оптическая плотность преципитата, условные единицы</w:t>
            </w:r>
          </w:p>
        </w:tc>
      </w:tr>
      <w:tr w:rsidR="004B6076">
        <w:trPr>
          <w:trHeight w:val="300"/>
        </w:trPr>
        <w:tc>
          <w:tcPr>
            <w:tcW w:w="6842" w:type="dxa"/>
            <w:gridSpan w:val="2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Холинацетилтрансфераза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S3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441" w:firstLine="3577"/>
            </w:pPr>
            <w:r>
              <w:rPr>
                <w:sz w:val="16"/>
              </w:rPr>
              <w:t xml:space="preserve">2 </w:t>
            </w:r>
            <w:r>
              <w:t>Концентрация нервных волокон на 1 мм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S4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657" w:firstLine="3361"/>
            </w:pPr>
            <w:r>
              <w:rPr>
                <w:sz w:val="16"/>
              </w:rPr>
              <w:t xml:space="preserve">2 </w:t>
            </w:r>
            <w:r>
              <w:t>Концентрация варикозностей на 1 мм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S5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Оптическая плотность преципитата, условные единицы</w:t>
            </w:r>
          </w:p>
        </w:tc>
      </w:tr>
      <w:tr w:rsidR="004B6076">
        <w:trPr>
          <w:trHeight w:val="300"/>
        </w:trPr>
        <w:tc>
          <w:tcPr>
            <w:tcW w:w="6842" w:type="dxa"/>
            <w:gridSpan w:val="2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Адренергическая иннервация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S6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441" w:firstLine="3577"/>
            </w:pPr>
            <w:r>
              <w:rPr>
                <w:sz w:val="16"/>
              </w:rPr>
              <w:t xml:space="preserve">2 </w:t>
            </w:r>
            <w:r>
              <w:t>Концентрация нервных волокон на 1 мм</w:t>
            </w:r>
          </w:p>
        </w:tc>
      </w:tr>
      <w:tr w:rsidR="004B6076">
        <w:trPr>
          <w:trHeight w:val="34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S7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657" w:firstLine="3361"/>
            </w:pPr>
            <w:r>
              <w:rPr>
                <w:sz w:val="16"/>
              </w:rPr>
              <w:t xml:space="preserve">2 </w:t>
            </w:r>
            <w:r>
              <w:t>Концентрация варикозностей на 1 мм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S8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Интенсивность люминесценции, условные единицы</w:t>
            </w:r>
          </w:p>
        </w:tc>
      </w:tr>
      <w:tr w:rsidR="004B6076">
        <w:trPr>
          <w:trHeight w:val="300"/>
        </w:trPr>
        <w:tc>
          <w:tcPr>
            <w:tcW w:w="6842" w:type="dxa"/>
            <w:gridSpan w:val="2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Афферентная иннервация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S9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Концентрация чувствительных рецепторов</w:t>
            </w:r>
          </w:p>
        </w:tc>
      </w:tr>
      <w:tr w:rsidR="004B6076">
        <w:trPr>
          <w:trHeight w:val="300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S10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Концентрация нервных волокон</w:t>
            </w:r>
          </w:p>
        </w:tc>
      </w:tr>
      <w:tr w:rsidR="004B6076">
        <w:trPr>
          <w:trHeight w:val="528"/>
        </w:trPr>
        <w:tc>
          <w:tcPr>
            <w:tcW w:w="139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S11</w:t>
            </w:r>
          </w:p>
        </w:tc>
        <w:tc>
          <w:tcPr>
            <w:tcW w:w="54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38" w:firstLine="0"/>
            </w:pPr>
            <w:r>
              <w:t>Процентное соотношение волокон, тонкие/средние/толстые</w:t>
            </w:r>
          </w:p>
        </w:tc>
      </w:tr>
    </w:tbl>
    <w:p w:rsidR="004B6076" w:rsidRDefault="009E1091">
      <w:pPr>
        <w:ind w:left="-5" w:right="22"/>
      </w:pPr>
      <w:r>
        <w:t>Наибольшие значения коэффициентов корреляции показателей с возрастом были отмечены в возрастном интервале от 13 до 16 лет. Затем темп происходящих возрастных изменений заметно снижается, о чем свидетельствуют слабая корреляционная связь с возрастом или пра</w:t>
      </w:r>
      <w:r>
        <w:t>ктически ее отсутствие почти у всех изученных параметров в группах 17–21 года и 22–35 лет. Согласно статистическому анализу с расчетом средней величины прогноза возраста можно констатировать факт, что в период от 17 до 35 лет показатели достигают уровня де</w:t>
      </w:r>
      <w:r>
        <w:t>финитивных значений и происходящие изменения характеризуются минимальной степенью выраженности.</w:t>
      </w:r>
    </w:p>
    <w:p w:rsidR="004B6076" w:rsidRDefault="009E1091">
      <w:pPr>
        <w:spacing w:after="0"/>
        <w:ind w:left="-5" w:right="22"/>
      </w:pPr>
      <w:r>
        <w:rPr>
          <w:i/>
        </w:rPr>
        <w:t>В возрасте от 36 до 60 лет</w:t>
      </w:r>
      <w:r>
        <w:t xml:space="preserve"> мы отметили признаки возрастной инволюции. На 6,0–6,9% по сравнению с периодом 22–35 лет уменьшается длина капиллярного русла (L), пр</w:t>
      </w:r>
      <w:r>
        <w:t>ирост значений диаметра капилляров (D) был незначительным: +0,9–1,5%.</w:t>
      </w:r>
    </w:p>
    <w:p w:rsidR="004B6076" w:rsidRDefault="009E1091">
      <w:pPr>
        <w:spacing w:after="0" w:line="265" w:lineRule="auto"/>
        <w:ind w:left="4175"/>
      </w:pPr>
      <w:r>
        <w:rPr>
          <w:sz w:val="16"/>
        </w:rPr>
        <w:t>2</w:t>
      </w:r>
    </w:p>
    <w:p w:rsidR="004B6076" w:rsidRDefault="009E1091">
      <w:pPr>
        <w:spacing w:after="54"/>
        <w:ind w:left="-5" w:right="22"/>
      </w:pPr>
      <w:r>
        <w:t>Расчетные показатели — S=πDL, Y=V/S, V=(D /4)Lπ — и их изменения соразмерны трансформациям линейных размеров:</w:t>
      </w:r>
    </w:p>
    <w:p w:rsidR="004B6076" w:rsidRDefault="009E1091">
      <w:pPr>
        <w:numPr>
          <w:ilvl w:val="0"/>
          <w:numId w:val="2"/>
        </w:numPr>
        <w:spacing w:after="0" w:line="265" w:lineRule="auto"/>
        <w:ind w:hanging="3553"/>
      </w:pPr>
      <w:r>
        <w:rPr>
          <w:sz w:val="16"/>
        </w:rPr>
        <w:t>2</w:t>
      </w:r>
    </w:p>
    <w:p w:rsidR="004B6076" w:rsidRDefault="009E1091">
      <w:pPr>
        <w:spacing w:after="36"/>
        <w:ind w:left="-5" w:right="22"/>
      </w:pPr>
      <w:r>
        <w:t>S1=5,879±0,05 мм (σ=0,339, r=0,51); S2=5,896±0,041 мм (σ=0,280, r=0,49); Y1=1,567±0,014 (σ=0,053, r=0,35); Y2=1,552±0,001</w:t>
      </w:r>
    </w:p>
    <w:p w:rsidR="004B6076" w:rsidRDefault="009E1091">
      <w:pPr>
        <w:numPr>
          <w:ilvl w:val="0"/>
          <w:numId w:val="2"/>
        </w:numPr>
        <w:spacing w:after="0" w:line="265" w:lineRule="auto"/>
        <w:ind w:hanging="3553"/>
      </w:pPr>
      <w:r>
        <w:rPr>
          <w:sz w:val="16"/>
        </w:rPr>
        <w:t>3</w:t>
      </w:r>
    </w:p>
    <w:p w:rsidR="004B6076" w:rsidRDefault="009E1091">
      <w:pPr>
        <w:ind w:left="-5" w:right="22"/>
      </w:pPr>
      <w:r>
        <w:t>(σ=0,036, r=0,34); V1=9,216±0,097 мкм (σ=0,656, r=0,17); V2=9,153±0,081 мкм (σ=0,549, r=0,16). В данном возрастном интервале мы видим, что емкостная характеристика практически не коррелирует с возрастом, а корреляционная взаимосвязь площади обменной поверх</w:t>
      </w:r>
      <w:r>
        <w:t>ности крайне слабая. Увеличение площади обменной поверхности направлено на компенсацию происходящего возрастного снижения капиллярной плотности в связи с частичной редукцией микрососудов. Полученные нами результаты согласуются с данными С.Е. Шемякова [173]</w:t>
      </w:r>
      <w:r>
        <w:t>. Результаты статистического анализа зависимости точности прогнозирования от фактического возраста демонстрируют сложную связь исследованных показателей с возрастом в период от 45 до 55 лет. В последующем она становится более выраженной. В пожилом возрасте</w:t>
      </w:r>
      <w:r>
        <w:t xml:space="preserve"> (61–75 лет) длина капиллярного русла снизилась на 5,3– 7,0% (в 1,05–1,15 раза по сравнению с периодами зрелого возраста); рабочая площадь капилляров также уменьшается в 1,04 раза по сравнению с предыдущей группой; количество крови на единицу поверхности к</w:t>
      </w:r>
      <w:r>
        <w:t>апилляра увеличивается на 2,5– 3,8%, диаметр мозговых капилляров расширился на 3,0–3,8% (в 1,03–1,05 раза по сравнению с периодами зрелого возраста). Происходящие в эти годы изменения отражает сильная и средней силы корреляционная взаимосвязь исследуемых п</w:t>
      </w:r>
      <w:r>
        <w:t xml:space="preserve">араметров с возрастом: D1 (r=0,80); D2 (r=0,75); L1 (r=–0,62); L2 (r=–0,63); S1 (r=0,58); S2 (r=0,51); V1 (r=0,68); V2 (r=0,63); Y1 (r=0,80); Y2 (r=0,75); при p &gt;0,05. С.Е. Шемяков в своем исследовании предполагает, что «увеличение емкостных характеристик </w:t>
      </w:r>
      <w:r>
        <w:t>капиллярного русла является приспособительной реакцией, направленной на компенсацию одновременно идущего процесса редукции капилляров» [173].</w:t>
      </w:r>
    </w:p>
    <w:p w:rsidR="004B6076" w:rsidRDefault="009E1091">
      <w:pPr>
        <w:ind w:left="-5" w:right="22"/>
      </w:pPr>
      <w:r>
        <w:rPr>
          <w:i/>
        </w:rPr>
        <w:t>После 75 лет</w:t>
      </w:r>
      <w:r>
        <w:t xml:space="preserve"> направленность инволютивных изменений продолжается, тогда как их темп заметно снижается. Диаметр капи</w:t>
      </w:r>
      <w:r>
        <w:t>лляров продолжает увеличиваться, в среднем на 1,8–2,2%. Длина капиллярного русла уменьшается на 0,7–1,0%. Данные об увеличении диаметра капилляров в старческом возрасте получены и в работах других исследователей [89, 91, 170, 173]. Они также констатируют ф</w:t>
      </w:r>
      <w:r>
        <w:t>акт формирования минимальных значений длины капиллярного русла именно в пожилом и старческом возрасте [89, 91, 170, 173]. Минимальные изменения зафиксированы у показателя S в виде незначительного прироста на 0,8– 1,1% по сравнению с пожилым возрастом.</w:t>
      </w:r>
    </w:p>
    <w:p w:rsidR="004B6076" w:rsidRDefault="009E1091">
      <w:pPr>
        <w:spacing w:after="0"/>
        <w:ind w:left="-5" w:right="22"/>
      </w:pPr>
      <w:r>
        <w:t>Мы о</w:t>
      </w:r>
      <w:r>
        <w:t>тметили соразмерность происходящих изменений линейных размеров. Увеличение в течение всего изученного периода в целом в 1,08 раза диаметра капилляров (поле 6 от 6,07±0,22 до 6,60±0,11 мкм; поле 41 от 6,06±0,17 до 6,58±0,15 мкм) сопряжено с уменьшением сред</w:t>
      </w:r>
      <w:r>
        <w:t>ней длины капиллярного русла в 1,11 раза (поле 6 от 305,4±7,73 до 274,34±9,01 мкм; поле 41 от 316,61±10,82 до 285,16±6,00 мкм). Подобные пропорциональные трансформации являются приспособительной реакцией, направленной на поддержание адекватного уровня кров</w:t>
      </w:r>
      <w:r>
        <w:t>ообращения головного мозга при старении. Соразмерность компенсаторных изменений линейных размеров (D/L) сдерживают инволютивные изменения таких параметров, как объем крови</w:t>
      </w:r>
    </w:p>
    <w:p w:rsidR="004B6076" w:rsidRDefault="009E1091">
      <w:pPr>
        <w:spacing w:after="0"/>
        <w:ind w:left="-15" w:right="163" w:firstLine="684"/>
      </w:pPr>
      <w:r>
        <w:rPr>
          <w:sz w:val="16"/>
        </w:rPr>
        <w:t xml:space="preserve">3 </w:t>
      </w:r>
      <w:r>
        <w:t>на 1 мм и количество крови на единицу поверхности, являющихся базовыми характерист</w:t>
      </w:r>
      <w:r>
        <w:t>иками капиллярного кровообращения.</w:t>
      </w:r>
    </w:p>
    <w:p w:rsidR="004B6076" w:rsidRDefault="009E1091">
      <w:pPr>
        <w:spacing w:after="0" w:line="259" w:lineRule="auto"/>
        <w:ind w:right="1696"/>
        <w:jc w:val="right"/>
      </w:pPr>
      <w:r>
        <w:rPr>
          <w:sz w:val="16"/>
        </w:rPr>
        <w:t>3</w:t>
      </w:r>
    </w:p>
    <w:p w:rsidR="004B6076" w:rsidRDefault="009E1091">
      <w:pPr>
        <w:ind w:left="-5" w:right="22"/>
      </w:pPr>
      <w:r>
        <w:t>Однако объем циркулирующей крови зависит и от скорости кровотока [173]. Объем крови в капиллярах в 1 мм ткани является важной характеристикой капиллярного кровообращения. По мере взросления организма происходит естестве</w:t>
      </w:r>
      <w:r>
        <w:t>нное увеличение объема депонированной крови и объема капилляров с последующим уменьшением по мере старения. Так, согласно нашим данным, в пожилом возрасте данный показатель снижается на 2,8–4,1%, в старческом возрасте инволюция прогрессирует, и он уменьшае</w:t>
      </w:r>
      <w:r>
        <w:t>тся еще на 2,7–3,1% по сравнению с предыдущей группой. В целом у лиц старше 75 лет снижение этого показателя от уровня дефинитивных значений составило &gt;6%.</w:t>
      </w:r>
    </w:p>
    <w:p w:rsidR="004B6076" w:rsidRDefault="009E1091">
      <w:pPr>
        <w:ind w:left="-5" w:right="22"/>
      </w:pPr>
      <w:r>
        <w:t>В палео- и неокортексе динамика происходящих изменений имеет некоторые отличия. Так, в новой коре по</w:t>
      </w:r>
      <w:r>
        <w:t xml:space="preserve"> сравнению с палеокортексом темп происходящих изменений был более выражен, инволютивные изменения наступали несколько раньше. Также ряд исследователей указывает на наличие неоднородности происходящих изменений в зависимости от топографии исследуемого отдел</w:t>
      </w:r>
      <w:r>
        <w:t>а мозга. Подобные факты гетеротопии и гетерохронии наиболее вероятно связаны с функциональной нагрузкой исследуемой области головного мозга [89, 91, 170].</w:t>
      </w:r>
    </w:p>
    <w:p w:rsidR="004B6076" w:rsidRDefault="009E1091">
      <w:pPr>
        <w:ind w:left="-5" w:right="93"/>
      </w:pPr>
      <w:r>
        <w:rPr>
          <w:b/>
        </w:rPr>
        <w:t>Резюме.</w:t>
      </w:r>
      <w:r>
        <w:t xml:space="preserve"> В динамике возрастных изменений морфометрических характеристик капилляров изученных участков </w:t>
      </w:r>
      <w:r>
        <w:t>головного мозга можно выделить следующие периоды: прирост количественных показателей с формированием дефинитивных значений к 35 годам, 35–55 лет — стадия волатильности линейных размеров как начальные проявления возрастной инволюции, нарастающие к 75 годам.</w:t>
      </w:r>
      <w:r>
        <w:t xml:space="preserve"> Старение сопровождается уменьшением длины капиллярного русла (функционально активных капилляров) и площади обменной поверхности, увеличением диаметра капилляров и количества крови на единицу поверхности, то есть снижение линейных размеров компенсируется п</w:t>
      </w:r>
      <w:r>
        <w:t>риростом емкостных показателей. Зафиксированные изменения цифровых значений у лиц старше 75 лет продемонстрировали достаточно слабую корреляционную связь с возрастом вследствие их выраженной вариабельности. На примере изменения изученных морфометрических п</w:t>
      </w:r>
      <w:r>
        <w:t>араметров капилляров мы видим реализацию принципов витаукта «благодаря деятельности мозга в ходе возрастного развития мобилизуются приспособительные механизмы, направленные на увеличение продолжительности жизни» [161].</w:t>
      </w:r>
    </w:p>
    <w:p w:rsidR="004B6076" w:rsidRDefault="009E1091">
      <w:pPr>
        <w:ind w:left="-5" w:right="22"/>
      </w:pPr>
      <w:r>
        <w:rPr>
          <w:b/>
        </w:rPr>
        <w:t>Характеристика возрастных изменений н</w:t>
      </w:r>
      <w:r>
        <w:rPr>
          <w:b/>
        </w:rPr>
        <w:t xml:space="preserve">ервного аппарата сосудов спинного мозга. </w:t>
      </w:r>
      <w:r>
        <w:t>На сегодняшний день достижения нейрогистологии не оставляют сомнений в наличии взаимосвязи строения нервного аппарата сосудов, его функциональной активности с возрастом [28, 89, 90, 117, 119, 122]. Афферентная и эфф</w:t>
      </w:r>
      <w:r>
        <w:t>ерентная иннервация артерий спинного мозга претерпевает существенные изменения на всем протяжении жизни. На примере выполненного исследования иннервации передней спинальной артерии спинного мозга ход развития возрастных преобразований нервного аппарата сос</w:t>
      </w:r>
      <w:r>
        <w:t>удов спинного мозга выглядит следующим образом.</w:t>
      </w:r>
    </w:p>
    <w:p w:rsidR="004B6076" w:rsidRDefault="009E1091">
      <w:pPr>
        <w:spacing w:after="40"/>
        <w:ind w:left="-5" w:right="22"/>
      </w:pPr>
      <w:r>
        <w:rPr>
          <w:i/>
        </w:rPr>
        <w:t xml:space="preserve">У детей и подростков </w:t>
      </w:r>
      <w:r>
        <w:t xml:space="preserve">возрастная динамика исследуемых показателей свидетельствует о фазе роста и развития. Концентрация афферентных нервных волокон и рецепторов увеличивается в среднем на 13–15%. Концентрация </w:t>
      </w:r>
      <w:r>
        <w:t>рецепторов в возрасте 8–</w:t>
      </w:r>
    </w:p>
    <w:p w:rsidR="004B6076" w:rsidRDefault="009E1091">
      <w:pPr>
        <w:tabs>
          <w:tab w:val="center" w:pos="1880"/>
          <w:tab w:val="center" w:pos="6597"/>
        </w:tabs>
        <w:spacing w:after="0" w:line="265" w:lineRule="auto"/>
        <w:ind w:left="0" w:firstLine="0"/>
      </w:pPr>
      <w:r>
        <w:rPr>
          <w:sz w:val="22"/>
        </w:rPr>
        <w:tab/>
      </w:r>
      <w:r>
        <w:rPr>
          <w:sz w:val="16"/>
        </w:rPr>
        <w:t>2</w:t>
      </w:r>
      <w:r>
        <w:rPr>
          <w:sz w:val="16"/>
        </w:rPr>
        <w:tab/>
        <w:t>2</w:t>
      </w:r>
    </w:p>
    <w:p w:rsidR="004B6076" w:rsidRDefault="009E1091">
      <w:pPr>
        <w:spacing w:after="13"/>
        <w:ind w:left="-5" w:right="22"/>
      </w:pPr>
      <w:r>
        <w:t>12 лет — 8,4±0,5 мм , в возрастной группе от 13 до 16 лет — 10,7±0,7 мм; концентрация проводников — 26,7 ±2,5 и</w:t>
      </w:r>
    </w:p>
    <w:p w:rsidR="004B6076" w:rsidRDefault="009E1091">
      <w:pPr>
        <w:spacing w:after="0" w:line="265" w:lineRule="auto"/>
        <w:ind w:left="1078"/>
      </w:pPr>
      <w:r>
        <w:rPr>
          <w:sz w:val="16"/>
        </w:rPr>
        <w:t>2</w:t>
      </w:r>
    </w:p>
    <w:p w:rsidR="004B6076" w:rsidRDefault="009E1091">
      <w:pPr>
        <w:ind w:left="-5" w:right="22"/>
      </w:pPr>
      <w:r>
        <w:t>30,1±2,2 мм соответственно, из которых тонкие составляют порядка 80%. Увеличивается также (при сравнении показат</w:t>
      </w:r>
      <w:r>
        <w:t>елей этих групп между собой) количество эфферентных нервных волокон: концентрация адренергических нервных рецепторов — на 7,3% и варикозностей — на 0,6%; концентрация холинергических нервных рецепторов — на 13%; отмечается повышение интенсивности люминесце</w:t>
      </w:r>
      <w:r>
        <w:t>нции на 3,2% и оптической плотности преципитата на 16,8%.</w:t>
      </w:r>
    </w:p>
    <w:p w:rsidR="004B6076" w:rsidRDefault="009E1091">
      <w:pPr>
        <w:ind w:left="-5" w:right="22"/>
      </w:pPr>
      <w:r>
        <w:t xml:space="preserve">По окончании подросткового периода наступает фаза относительной стабилизации: у лиц молодого, зрелого (первый период, первая половина второго периода) возраста исследуемые показатели практически не </w:t>
      </w:r>
      <w:r>
        <w:t>изменялись. В данном случае можно говорить о достижении дефинитивного уровня параметров, характеризующих нервный аппарат стенок сосудов спинного мозга.</w:t>
      </w:r>
    </w:p>
    <w:p w:rsidR="004B6076" w:rsidRDefault="009E1091">
      <w:pPr>
        <w:spacing w:after="0"/>
        <w:ind w:left="-5" w:right="22"/>
      </w:pPr>
      <w:r>
        <w:t>Появление признаков инволюционных изменений зафиксировано во второй половине второго периода зрелого воз</w:t>
      </w:r>
      <w:r>
        <w:t xml:space="preserve">раста. </w:t>
      </w:r>
      <w:r>
        <w:rPr>
          <w:i/>
        </w:rPr>
        <w:t>Возрастной интервал</w:t>
      </w:r>
      <w:r>
        <w:t xml:space="preserve"> 46–60 </w:t>
      </w:r>
      <w:r>
        <w:rPr>
          <w:i/>
        </w:rPr>
        <w:t>лет</w:t>
      </w:r>
      <w:r>
        <w:t xml:space="preserve"> характеризуется наличием статистически достоверных различий показателей при сопоставлении их с периодом дефинитивных значений на отрезке с 17 до 45 лет. У лиц старше 45 лет отмечено появление афферентных волокон с наплы</w:t>
      </w:r>
      <w:r>
        <w:t>вами и утолщениями, с различной степенью импрегнации; снижается концентрация афферентных нервных волокон за счет редукции толстых (до 1,3±0,6%) и средних (до 12,3±1,1%) проводников. Начавшиеся изменения афферентного нервного аппарата расцениваются как одно</w:t>
      </w:r>
      <w:r>
        <w:t xml:space="preserve"> из частных проявлений «деафферентного феномена» [90, 117]. Данный возрастной период (46–60 лет) характеризуется отчетливо выраженным снижением показателей: концентрации эфферентных нервных проводников в среднем на 7,5–16%; концентрации варикозностей холин</w:t>
      </w:r>
      <w:r>
        <w:t>ергических аксонов — на 25% по сравнению с возрастной группой 22–35 лет и на 22% — с группой 36–45 лет; адренергических на 34 и 38% соответственно.</w:t>
      </w:r>
    </w:p>
    <w:p w:rsidR="004B6076" w:rsidRDefault="009E1091">
      <w:pPr>
        <w:ind w:left="-5" w:right="22"/>
      </w:pPr>
      <w:r>
        <w:t>Оптическая плотность преципитата и интенсивность люминесценции адренергических волокон снижаются.</w:t>
      </w:r>
    </w:p>
    <w:p w:rsidR="004B6076" w:rsidRDefault="009E1091">
      <w:pPr>
        <w:ind w:left="-5" w:right="22"/>
      </w:pPr>
      <w:r>
        <w:t>Процесс денервации с возрастом прогрессирует, формируются статистически достоверные различия цифровых показателей группы 61–74 лет с периодом дефинитивных значений 17–45 лет.</w:t>
      </w:r>
    </w:p>
    <w:p w:rsidR="004B6076" w:rsidRDefault="009E1091">
      <w:pPr>
        <w:ind w:left="-5" w:right="22"/>
      </w:pPr>
      <w:r>
        <w:rPr>
          <w:i/>
        </w:rPr>
        <w:t>У лиц старше 60 лет</w:t>
      </w:r>
      <w:r>
        <w:t xml:space="preserve"> мы видим неравномерное снижение количественных показателей, х</w:t>
      </w:r>
      <w:r>
        <w:t>арактеризующих афферентную иннервацию, уменьшение процентного соотношения средних проводников и практически полное отсутствие толстых. Нарастают деформационные изменения нервных волокон, их контуры приобретают неровность. Возрастные изменения сердечнососуд</w:t>
      </w:r>
      <w:r>
        <w:t>истой системы характеризуются снижением чувствительности механорецепторов, нарушается способность адекватно воспринимать и реагировать на растяжение сосудистых стенок. В пожилом и старческом возрасте подобные инволютивные изменения рецепторного аппарата фо</w:t>
      </w:r>
      <w:r>
        <w:t>рмируются во всех формах сосудистых рецепторов. Также у лиц старше 60 лет изменения эфферентных нервных сплетений характеризуются прогрессирующим снижением количества проводников: холинергических — на 21% по сравнению с возрастной группой 22–35 лет и на 12</w:t>
      </w:r>
      <w:r>
        <w:t>% по сравнению с предыдущей группой, адренергических — на 35 и 17% соответственно; количество варикозностей уменьшается в среднем на 46,7%. Показатели интенсивности люминесценции и оптической плотности демонстрируют выраженную отрицательную динамику. Морфо</w:t>
      </w:r>
      <w:r>
        <w:t>логия происходящих инволюционных изменений нервных сплетений подобна явлениям дистрофии и некробиоза. При сопоставлении полученных результатов с данными других исследователей можно говорить о том, что в данном возрасте формируется постмедиаторный этап веге</w:t>
      </w:r>
      <w:r>
        <w:t>тативной нервной системы.</w:t>
      </w:r>
    </w:p>
    <w:p w:rsidR="004B6076" w:rsidRDefault="009E1091">
      <w:pPr>
        <w:ind w:left="-5" w:right="22"/>
      </w:pPr>
      <w:r>
        <w:t xml:space="preserve">У лиц </w:t>
      </w:r>
      <w:r>
        <w:rPr>
          <w:i/>
        </w:rPr>
        <w:t>старше 75 лет</w:t>
      </w:r>
      <w:r>
        <w:t xml:space="preserve"> формируется максимальная степень выраженности дегенеративных изменений. Происходит резкое снижение концентрации нервных волокон, прежде всего за счет «исчезновения» толстых проводников; тонкие и средние с призн</w:t>
      </w:r>
      <w:r>
        <w:t>аками анатомической деструкции: неравномерные вздутия, участки гомогенизации. Старение сопровождается выраженным нарушением анатомической целостности рецепторного аппарата: единичные клубочковые рецепторы находятся в состоянии зернистого распада, кустики с</w:t>
      </w:r>
      <w:r>
        <w:t xml:space="preserve">о множественными неравномерными утолщениями. Эфферентный нервный аппарат артерий спинного мозга характеризуется малочисленными фрагментированными пучками нервных волокон, часть из них достаточно тонкие, фрагментированные, количество варикозностей снижена, </w:t>
      </w:r>
      <w:r>
        <w:t xml:space="preserve">люминесценция бледно-зеленая, оптическая плотность в виде рыхлого желто-коричневого осадка. Однако, несмотря на выраженное снижение, и адренергические, и холинергические проводники выявляются в стенках сосудов и в старческом возрасте, причем часть волокон </w:t>
      </w:r>
      <w:r>
        <w:t>имеет сохранную структуру. Следует отметить, что и пожилой, и старческий возраст в большей мере характеризовался вариативностью цифровых значений исследуемых показателей. Сопоставление количественных показателей концентрации нервных проводников свидетельст</w:t>
      </w:r>
      <w:r>
        <w:t>вует о приближении данных значений к цифровым значениям, зарегистрированным у новорожденных [90, 117].</w:t>
      </w:r>
    </w:p>
    <w:p w:rsidR="004B6076" w:rsidRDefault="009E1091">
      <w:pPr>
        <w:ind w:left="-5" w:right="22"/>
      </w:pPr>
      <w:r>
        <w:rPr>
          <w:b/>
        </w:rPr>
        <w:t>Резюме.</w:t>
      </w:r>
      <w:r>
        <w:t xml:space="preserve"> На основании анализа полученных результатов мы приходим к выводу о том, что в процессе индивидуального развития количественных показателей аффере</w:t>
      </w:r>
      <w:r>
        <w:t>нтного и эфферентного нервного аппарата артерий спинного мозга человека регистрируются достоверные изменения. Ранее других фиксируется снижение количества рецепторов афферентной иннервации, затем процесс распространяется на адренергические и холинергически</w:t>
      </w:r>
      <w:r>
        <w:t>е сплетения.</w:t>
      </w:r>
    </w:p>
    <w:p w:rsidR="004B6076" w:rsidRDefault="009E1091">
      <w:pPr>
        <w:ind w:left="-5" w:right="22"/>
      </w:pPr>
      <w:r>
        <w:t>Изучение динамики показателей, характеризующих возрастные изменения иннервации сосудов спинного мозга, на примере передней спинальной артерии, с использованием стандартных методов статистического анализа, а также кластерного анализа и классифи</w:t>
      </w:r>
      <w:r>
        <w:t>кации посредством ММО позволяет выделить следующие возрастные интервалы: рост и развитие до 16 лет, 17– 45 лет — формирование дефинитивных значений, 46–60 лет — начальный этап возрастных изменений, нарастающих в возрасте 65–75 лет, и их максимальное проявл</w:t>
      </w:r>
      <w:r>
        <w:t>ение у лиц старше 75 лет. Следует учитывать, что инволютивные изменения нервного аппарата артерий, в отличие от процессов его созревания, характеризуются значительным разбросом цифровых значений, особенно в конце старческого возраста, что также может расце</w:t>
      </w:r>
      <w:r>
        <w:t>ниваться как один из уровней гетерохронии.</w:t>
      </w:r>
    </w:p>
    <w:p w:rsidR="004B6076" w:rsidRDefault="009E1091">
      <w:pPr>
        <w:ind w:left="-5" w:right="22"/>
      </w:pPr>
      <w:r>
        <w:t>Происходящие динамические изменения обусловлены возрастными трансформациями мозговой гемодинамики: изменяется сосудистое сопротивление, утолщается стенка сосудов за счет мышечного компонента. Для поддержания адекв</w:t>
      </w:r>
      <w:r>
        <w:t>атного нервного контроля увеличивается концентрация нервных волокон сосудов и нейрорецепторов в них. О гетерохромности как проявлении системогенеза происходящих изменений свидетельствует зависимость темпов дифференцировки нервного аппарата от локализации и</w:t>
      </w:r>
      <w:r>
        <w:t xml:space="preserve"> калибра спинномозговых артерий [28, 89, 90, 117, 119, 122]. Данное обстоятельство является проявлением адаптационного процесса. Значение нервного влияния с возрастом ослабевает, редуцируются компоненты нервно-волокнистого комплекса. Одной из причин инволю</w:t>
      </w:r>
      <w:r>
        <w:t>ции нервных сплетений является дистрофия клеток симпатического ствола и ганглиев блуждающего нерва [89, 90].</w:t>
      </w:r>
    </w:p>
    <w:p w:rsidR="004B6076" w:rsidRDefault="009E1091">
      <w:pPr>
        <w:spacing w:after="400"/>
        <w:ind w:left="-5" w:right="9802"/>
      </w:pPr>
      <w:r>
        <w:t>tab not found: 0026 tab not found: 0027 tab not found: 0028</w:t>
      </w:r>
    </w:p>
    <w:p w:rsidR="004B6076" w:rsidRDefault="009E1091">
      <w:pPr>
        <w:pStyle w:val="Heading1"/>
        <w:ind w:left="-5"/>
      </w:pPr>
      <w:r>
        <w:t>Глава 3. Комплексная оценка возраста с использованием методов интеллектуального анализа</w:t>
      </w:r>
    </w:p>
    <w:p w:rsidR="004B6076" w:rsidRDefault="009E1091">
      <w:pPr>
        <w:ind w:left="-5" w:right="22"/>
      </w:pPr>
      <w:r>
        <w:rPr>
          <w:b/>
        </w:rPr>
        <w:t xml:space="preserve">Состояние вопроса. </w:t>
      </w:r>
      <w:r>
        <w:t>Многолетний исследовательский труд различных научных школ позволил сформировать значительный информационный массив сведений о возрастных изменениях различных тканей и органов. Созданные цифровые базы данных содержат большой набор разнор</w:t>
      </w:r>
      <w:r>
        <w:t>одных показателей, которым необходим многофакторный полигональный анализ для построения эмпирической модели диагностики возраста. Следует учитывать, что показатели, описывающие возрастные изменения, являются «зашумленными», так как происходящие в постнатал</w:t>
      </w:r>
      <w:r>
        <w:t>ьном онтогенезе морфологические изменения тканей и органов не всегда являются следствием старения. Влияние целого ряда факторов приводит к вариативности цифровых значений исследованных признаков и, как прямое следствие, к значительным расхождениям между би</w:t>
      </w:r>
      <w:r>
        <w:t>ологическим и хронологическим возрастом. Возникает вопрос о способах совокупной оценки комплекса признаков. В настоящее время большинство методических подходов базируются на использовании множественных уравнений регрессии. С позиции современных информацион</w:t>
      </w:r>
      <w:r>
        <w:t>ных технологий применение линейного регрессионного анализа следует признать утратившими актуальность. Подобные модели не являются масштабируемыми, не обладают достаточной степенью адаптивности и гибкости, а при увеличении количества признаков в исходных да</w:t>
      </w:r>
      <w:r>
        <w:t>нных не всегда позволяют отследить взаимосвязи между параметрами. Необходимо использовать методы, позволяющие обрабатывать гетерогенные формации цифровых показателей возрастных изменений и обнаруживать нелинейные и нетривиальные зависимости, которые достат</w:t>
      </w:r>
      <w:r>
        <w:t>очно сложно найти, используя только общепринятые стандартные подходы, на основании методов описательной статистики. В условиях чрезвычайных ситуаций с массовыми человеческими жертвами очевидны разнородный характер, потенциальные значимые погрешности в исхо</w:t>
      </w:r>
      <w:r>
        <w:t>дных данных и другие сложно формализуемые особенности обрабатываемой информации, что приводит к невозможности или нецелесообразности применения отдельных методик и требует применения совокупности разных по принципу обработки информации математических метод</w:t>
      </w:r>
      <w:r>
        <w:t>ов для расчета возраста.</w:t>
      </w:r>
    </w:p>
    <w:p w:rsidR="004B6076" w:rsidRDefault="009E1091">
      <w:pPr>
        <w:ind w:left="-5" w:right="22"/>
      </w:pPr>
      <w:r>
        <w:t>Одним из наиболее перспективных вариантов является использование ММО. Глобальная цифровизация как общепризнанный тренд развития общества предполагает активное использование ММО, в том числе для решения прикладных медицинских задач.</w:t>
      </w:r>
    </w:p>
    <w:p w:rsidR="004B6076" w:rsidRDefault="009E1091">
      <w:pPr>
        <w:ind w:left="-5" w:right="22"/>
      </w:pPr>
      <w:r>
        <w:t>Активное использование в современном информационном пространстве междисциплинарного подхода с объединением набора знаний и компетенций способно существенно повысить качество итогового результата вне зависимости от сложности задачи. В области медицины таки</w:t>
      </w:r>
      <w:r>
        <w:t>ми примерами могут послужить информационные технологии. Аналитическая обработка медицинских данных с помощью современных ММО является одним из самых востребованных направлений.</w:t>
      </w:r>
    </w:p>
    <w:p w:rsidR="004B6076" w:rsidRDefault="009E1091">
      <w:pPr>
        <w:spacing w:after="0"/>
        <w:ind w:left="-5" w:right="22"/>
      </w:pPr>
      <w:r>
        <w:t>В научной литературе присутствует большое количество статей по данному направле</w:t>
      </w:r>
      <w:r>
        <w:t>нию. В систематическом обзоре G. Arji и соавт. (2019) на основе метаанализа 502 научных публикаций с 2000 по 2017 г. дана оценка использования ММО в медицине, выполнено сравнение упоминаемых классов задач (рис. 3.1) и применяемых алгоритмов машинного обуче</w:t>
      </w:r>
      <w:r>
        <w:t>ния (рис. 3.2) [195].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172246"/>
                <wp:effectExtent l="0" t="0" r="0" b="0"/>
                <wp:docPr id="119495" name="Group 119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172246"/>
                          <a:chOff x="0" y="0"/>
                          <a:chExt cx="4062485" cy="2172246"/>
                        </a:xfrm>
                      </wpg:grpSpPr>
                      <wps:wsp>
                        <wps:cNvPr id="4922" name="Shape 4922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5" name="Shape 4925"/>
                        <wps:cNvSpPr/>
                        <wps:spPr>
                          <a:xfrm>
                            <a:off x="7622" y="2168426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57" name="Shape 157657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58" name="Shape 157658"/>
                        <wps:cNvSpPr/>
                        <wps:spPr>
                          <a:xfrm>
                            <a:off x="0" y="216460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8" name="Shape 4928"/>
                        <wps:cNvSpPr/>
                        <wps:spPr>
                          <a:xfrm>
                            <a:off x="3811" y="7640"/>
                            <a:ext cx="0" cy="21569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56966">
                                <a:moveTo>
                                  <a:pt x="0" y="0"/>
                                </a:moveTo>
                                <a:lnTo>
                                  <a:pt x="0" y="215696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59" name="Shape 157659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60" name="Shape 157660"/>
                        <wps:cNvSpPr/>
                        <wps:spPr>
                          <a:xfrm>
                            <a:off x="4054863" y="216460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1" name="Shape 4931"/>
                        <wps:cNvSpPr/>
                        <wps:spPr>
                          <a:xfrm>
                            <a:off x="4058674" y="7640"/>
                            <a:ext cx="0" cy="21569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56966">
                                <a:moveTo>
                                  <a:pt x="0" y="0"/>
                                </a:moveTo>
                                <a:lnTo>
                                  <a:pt x="0" y="215696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933" name="Picture 4933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27"/>
                            <a:ext cx="4047241" cy="21570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9495" style="width:319.881pt;height:171.043pt;mso-position-horizontal-relative:char;mso-position-vertical-relative:line" coordsize="40624,21722">
                <v:shape id="Shape 4922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4925" style="position:absolute;width:40472;height:0;left:76;top:21684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61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62" style="position:absolute;width:91;height:91;left:0;top:2164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4928" style="position:absolute;width:0;height:21569;left:38;top:76;" coordsize="0,2156966" path="m0,0l0,2156966">
                  <v:stroke weight="0.600151pt" endcap="flat" dashstyle="1 1" joinstyle="bevel" on="true" color="#c0c0c0"/>
                  <v:fill on="false" color="#000000" opacity="0"/>
                </v:shape>
                <v:shape id="Shape 157663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64" style="position:absolute;width:91;height:91;left:40548;top:2164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4931" style="position:absolute;width:0;height:21569;left:40586;top:76;" coordsize="0,2156966" path="m0,0l0,2156966">
                  <v:stroke weight="0.600151pt" endcap="flat" dashstyle="1 1" joinstyle="bevel" on="true" color="#c0c0c0"/>
                  <v:fill on="false" color="#000000" opacity="0"/>
                </v:shape>
                <v:shape id="Picture 4933" style="position:absolute;width:40472;height:21570;left:76;top:76;" filled="f">
                  <v:imagedata r:id="rId126"/>
                </v:shape>
              </v:group>
            </w:pict>
          </mc:Fallback>
        </mc:AlternateContent>
      </w:r>
    </w:p>
    <w:p w:rsidR="004B6076" w:rsidRDefault="009E1091">
      <w:pPr>
        <w:spacing w:after="13"/>
        <w:ind w:left="-5" w:right="22"/>
      </w:pPr>
      <w:r>
        <w:rPr>
          <w:b/>
        </w:rPr>
        <w:t>Рис. 3.1.</w:t>
      </w:r>
      <w:r>
        <w:t xml:space="preserve"> Распределение по годам упоминаемых классов задач в рассматриваемых научных публикациях (Arji G. et al., 2019)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202756"/>
                <wp:effectExtent l="0" t="0" r="0" b="0"/>
                <wp:docPr id="119513" name="Group 1195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202756"/>
                          <a:chOff x="0" y="0"/>
                          <a:chExt cx="4062485" cy="2202756"/>
                        </a:xfrm>
                      </wpg:grpSpPr>
                      <wps:wsp>
                        <wps:cNvPr id="4938" name="Shape 4938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1" name="Shape 4941"/>
                        <wps:cNvSpPr/>
                        <wps:spPr>
                          <a:xfrm>
                            <a:off x="7622" y="2198936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65" name="Shape 15766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66" name="Shape 157666"/>
                        <wps:cNvSpPr/>
                        <wps:spPr>
                          <a:xfrm>
                            <a:off x="0" y="219511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4" name="Shape 4944"/>
                        <wps:cNvSpPr/>
                        <wps:spPr>
                          <a:xfrm>
                            <a:off x="3811" y="7640"/>
                            <a:ext cx="0" cy="2187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87476">
                                <a:moveTo>
                                  <a:pt x="0" y="0"/>
                                </a:moveTo>
                                <a:lnTo>
                                  <a:pt x="0" y="218747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67" name="Shape 157667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68" name="Shape 157668"/>
                        <wps:cNvSpPr/>
                        <wps:spPr>
                          <a:xfrm>
                            <a:off x="4054863" y="219511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7" name="Shape 4947"/>
                        <wps:cNvSpPr/>
                        <wps:spPr>
                          <a:xfrm>
                            <a:off x="4058674" y="7640"/>
                            <a:ext cx="0" cy="2187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87476">
                                <a:moveTo>
                                  <a:pt x="0" y="0"/>
                                </a:moveTo>
                                <a:lnTo>
                                  <a:pt x="0" y="218747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949" name="Picture 4949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40"/>
                            <a:ext cx="4047241" cy="21874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9513" style="width:319.881pt;height:173.445pt;mso-position-horizontal-relative:char;mso-position-vertical-relative:line" coordsize="40624,22027">
                <v:shape id="Shape 4938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4941" style="position:absolute;width:40472;height:0;left:76;top:21989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69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70" style="position:absolute;width:91;height:91;left:0;top:21951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4944" style="position:absolute;width:0;height:21874;left:38;top:76;" coordsize="0,2187476" path="m0,0l0,2187476">
                  <v:stroke weight="0.600151pt" endcap="flat" dashstyle="1 1" joinstyle="bevel" on="true" color="#c0c0c0"/>
                  <v:fill on="false" color="#000000" opacity="0"/>
                </v:shape>
                <v:shape id="Shape 157671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72" style="position:absolute;width:91;height:91;left:40548;top:21951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4947" style="position:absolute;width:0;height:21874;left:40586;top:76;" coordsize="0,2187476" path="m0,0l0,2187476">
                  <v:stroke weight="0.600151pt" endcap="flat" dashstyle="1 1" joinstyle="bevel" on="true" color="#c0c0c0"/>
                  <v:fill on="false" color="#000000" opacity="0"/>
                </v:shape>
                <v:shape id="Picture 4949" style="position:absolute;width:40472;height:21874;left:76;top:76;" filled="f">
                  <v:imagedata r:id="rId128"/>
                </v:shape>
              </v:group>
            </w:pict>
          </mc:Fallback>
        </mc:AlternateContent>
      </w:r>
    </w:p>
    <w:p w:rsidR="004B6076" w:rsidRDefault="009E1091">
      <w:pPr>
        <w:spacing w:after="13"/>
        <w:ind w:left="-5" w:right="22"/>
      </w:pPr>
      <w:r>
        <w:rPr>
          <w:b/>
        </w:rPr>
        <w:t>Рис. 3.2.</w:t>
      </w:r>
      <w:r>
        <w:t xml:space="preserve"> Распределение по годам упоминаемых алгоритмов машинного обучения в рассматриваемых научных публикациях</w:t>
      </w:r>
    </w:p>
    <w:p w:rsidR="004B6076" w:rsidRDefault="009E1091">
      <w:pPr>
        <w:ind w:left="-5" w:right="22"/>
      </w:pPr>
      <w:r>
        <w:t>(Arji G. et al., 2019)</w:t>
      </w:r>
    </w:p>
    <w:p w:rsidR="004B6076" w:rsidRDefault="009E1091">
      <w:pPr>
        <w:ind w:left="-5" w:right="22"/>
      </w:pPr>
      <w:r>
        <w:t>Наиболее упоминаемый класс задач — Classification, под которым понимается отнесение объекта к одной или нескольким заранее извест</w:t>
      </w:r>
      <w:r>
        <w:t>ным группам — классификация. Чаще всего использовались следующие алгоритмы классификации: дерево решений и случайный лес, метод опорных векторов, нейронные сети и байесовские сети.</w:t>
      </w:r>
    </w:p>
    <w:p w:rsidR="004B6076" w:rsidRDefault="009E1091">
      <w:pPr>
        <w:ind w:left="-5" w:right="22"/>
      </w:pPr>
      <w:r>
        <w:t>В работе М. Fernandez-Delgado и соавт. (2014) проведена оценка 179 классифи</w:t>
      </w:r>
      <w:r>
        <w:t>каторов из 17 семейств (дискриминантный анализ, байесовский, нейронные сети, деревья решений, случайные леса и другие ансамбли, обобщенные линейные модели, ближние соседи, частичные наименьшие квадраты и регрессия главных компонент, логистическая и мультин</w:t>
      </w:r>
      <w:r>
        <w:t>омиальная регрессия и другие методы) с использованием 121 набора данных. Наилучшими оказались классификаторы алгоритма случайного леса: максимальная точность порядка 90% была достигнута в 84,3% наборов данных [244].</w:t>
      </w:r>
    </w:p>
    <w:p w:rsidR="004B6076" w:rsidRDefault="009E1091">
      <w:pPr>
        <w:spacing w:after="304"/>
        <w:ind w:left="-5" w:right="22"/>
      </w:pPr>
      <w:r>
        <w:t>На фоне достаточного количества опубликованных работ о применении алгоритмов классификации в медицинской сфере аргументированное обоснование предпочтения того или иного алгоритма отсутствует [197, 225, 318, 352, 357, 405]. Также следует отметить, что приме</w:t>
      </w:r>
      <w:r>
        <w:t>нительно к задачам судебной медицинской идентификации личности вообще и диагностике возраста в частности алгоритмы классификации ранее не использовались.</w:t>
      </w:r>
    </w:p>
    <w:p w:rsidR="004B6076" w:rsidRDefault="009E1091">
      <w:pPr>
        <w:pStyle w:val="Heading2"/>
        <w:ind w:left="-5"/>
      </w:pPr>
      <w:r>
        <w:t>3.1. Алгоритм решения задачи расчета возраста с использованием методов машинного обучения</w:t>
      </w:r>
    </w:p>
    <w:p w:rsidR="004B6076" w:rsidRDefault="009E1091">
      <w:pPr>
        <w:spacing w:after="0"/>
        <w:ind w:left="-5" w:right="22"/>
      </w:pPr>
      <w:r>
        <w:t>При судебно-</w:t>
      </w:r>
      <w:r>
        <w:t>медицинском исследовании неизвестного индивида устанавливают вероятный возраст с указанием доверительных или прогнозных интервалов, то есть речь идет о синтезирующей оценке многочисленных параметров объектов для определения границ возрастной группы, к кото</w:t>
      </w:r>
      <w:r>
        <w:t>рой принадлежит идентифицируемый объект. Определение возрастной группы объекта является примером задачи классификации, в которой рассматривается множество заранее размеченных объектов, существующих в некотором признаковом пространстве и используемых в каче</w:t>
      </w:r>
      <w:r>
        <w:t>стве обучающей выборки при построении модели, способной классифицировать неразмеченные данные. В нашем исследовании базы данных морфометрических параметров возрастных изменений, созданные в результате проведенных исследований, использовались для обучения и</w:t>
      </w:r>
      <w:r>
        <w:t xml:space="preserve"> валидации различных моделей классификаторов. В качестве метки класса выступала возрастная группа объекта. Таким образом, мы строили модель, классифицирующую произвольные объекты схожей природы.</w:t>
      </w:r>
    </w:p>
    <w:p w:rsidR="004B6076" w:rsidRDefault="009E1091">
      <w:pPr>
        <w:ind w:left="-5" w:right="22"/>
      </w:pPr>
      <w:r>
        <w:t>На основе анализа научно-технической специализированной литер</w:t>
      </w:r>
      <w:r>
        <w:t>атуры были выбраны алгоритмы классификации, которые чаще всего используются для решения медицинских задач [5, 88, 137, 318, 352, 405]. Для сравнительного эксперимента были подготовлены 5 наборов признаков — датасеты (dataset), использованные для обучения и</w:t>
      </w:r>
      <w:r>
        <w:t xml:space="preserve"> последующего анализа работы алгоритмов (метод опорных векторов, метод стохастического градиента, метод ближайших соседей, алгоритм случайного леса, многослойная нейронная сеть). Оценка качества выполнения поставленной задачи была выполнена посредством cro</w:t>
      </w:r>
      <w:r>
        <w:t>ss-validation (перекрестной проверки) и метрики accuracy.</w:t>
      </w:r>
    </w:p>
    <w:p w:rsidR="004B6076" w:rsidRDefault="009E1091">
      <w:pPr>
        <w:spacing w:after="0"/>
        <w:ind w:left="-5" w:right="22"/>
      </w:pPr>
      <w:r>
        <w:t>Принципы работы существующих алгоритмов машинного обучения имеют отличия, а заложенные в них идеи имеют разные области применения. Для оценки качества работы были использованы алгоритмы машинного об</w:t>
      </w:r>
      <w:r>
        <w:t>учения, которые наиболее не похожи друг на друга: метод опорных векторов (SVM), метод стохастического градиента (SGD), дерево решений, метод ближайших соседей (Kneighbors), наивный байесовский классификатор (Gaussian NB), многослойная нейронная сеть и алго</w:t>
      </w:r>
      <w:r>
        <w:t>ритм случайного леса (Random Forest). Результат сравнительного анализа работы алгоритмов ММО приведен на рис. 3.3.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728615"/>
                <wp:effectExtent l="0" t="0" r="0" b="0"/>
                <wp:docPr id="125192" name="Group 125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728615"/>
                          <a:chOff x="0" y="0"/>
                          <a:chExt cx="4062485" cy="2728615"/>
                        </a:xfrm>
                      </wpg:grpSpPr>
                      <wps:wsp>
                        <wps:cNvPr id="4997" name="Shape 4997"/>
                        <wps:cNvSpPr/>
                        <wps:spPr>
                          <a:xfrm>
                            <a:off x="7622" y="377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00" name="Shape 5000"/>
                        <wps:cNvSpPr/>
                        <wps:spPr>
                          <a:xfrm>
                            <a:off x="7622" y="272479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73" name="Shape 157673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74" name="Shape 157674"/>
                        <wps:cNvSpPr/>
                        <wps:spPr>
                          <a:xfrm>
                            <a:off x="0" y="272102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03" name="Shape 5003"/>
                        <wps:cNvSpPr/>
                        <wps:spPr>
                          <a:xfrm>
                            <a:off x="3811" y="7590"/>
                            <a:ext cx="0" cy="27134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3435">
                                <a:moveTo>
                                  <a:pt x="0" y="0"/>
                                </a:moveTo>
                                <a:lnTo>
                                  <a:pt x="0" y="271343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75" name="Shape 157675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76" name="Shape 157676"/>
                        <wps:cNvSpPr/>
                        <wps:spPr>
                          <a:xfrm>
                            <a:off x="4054863" y="272102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06" name="Shape 5006"/>
                        <wps:cNvSpPr/>
                        <wps:spPr>
                          <a:xfrm>
                            <a:off x="4058674" y="7590"/>
                            <a:ext cx="0" cy="27134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3435">
                                <a:moveTo>
                                  <a:pt x="0" y="0"/>
                                </a:moveTo>
                                <a:lnTo>
                                  <a:pt x="0" y="271343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008" name="Picture 5008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565"/>
                            <a:ext cx="4047241" cy="27134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5192" style="width:319.881pt;height:214.852pt;mso-position-horizontal-relative:char;mso-position-vertical-relative:line" coordsize="40624,27286">
                <v:shape id="Shape 4997" style="position:absolute;width:40472;height:0;left:76;top:3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5000" style="position:absolute;width:40472;height:0;left:76;top:2724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77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78" style="position:absolute;width:91;height:91;left:0;top:2721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003" style="position:absolute;width:0;height:27134;left:38;top:75;" coordsize="0,2713435" path="m0,0l0,2713435">
                  <v:stroke weight="0.600151pt" endcap="flat" dashstyle="1 1" joinstyle="bevel" on="true" color="#c0c0c0"/>
                  <v:fill on="false" color="#000000" opacity="0"/>
                </v:shape>
                <v:shape id="Shape 157679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80" style="position:absolute;width:91;height:91;left:40548;top:2721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006" style="position:absolute;width:0;height:27134;left:40586;top:75;" coordsize="0,2713435" path="m0,0l0,2713435">
                  <v:stroke weight="0.600151pt" endcap="flat" dashstyle="1 1" joinstyle="bevel" on="true" color="#c0c0c0"/>
                  <v:fill on="false" color="#000000" opacity="0"/>
                </v:shape>
                <v:shape id="Picture 5008" style="position:absolute;width:40472;height:27134;left:76;top:75;" filled="f">
                  <v:imagedata r:id="rId130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3.3.</w:t>
      </w:r>
      <w:r>
        <w:t xml:space="preserve"> Сравнение точности работы алгоритмов</w:t>
      </w:r>
    </w:p>
    <w:p w:rsidR="004B6076" w:rsidRDefault="009E1091">
      <w:pPr>
        <w:ind w:left="-5" w:right="22"/>
      </w:pPr>
      <w:r>
        <w:t>Алгоритм метода опорных векторов показал слабые результаты на всех базах данных, а его макси</w:t>
      </w:r>
      <w:r>
        <w:t>мальный признак точности не превысил даже 60%. Несколько лучший, но недостаточный результат показал алгоритм метода стохастического градиента — его результаты не преодолели отметку 70%. Методы многослойных нейронных сетей и Random Forest (порядка 90%) пока</w:t>
      </w:r>
      <w:r>
        <w:t>зали наилучший результат. При этом алгоритм Random Forest продемонстрировал и самые стабильные результаты, без сильного разброса в показателях качества вне зависимости от набора данных. Нейронные сети, обладая расширенными возможностями, продемонстрировали</w:t>
      </w:r>
      <w:r>
        <w:t xml:space="preserve"> максимальную точность (&gt;90%). База № 1 — гистоморфометрические признаки возрастных изменений кожи; база № 2 — гистоморфометрические признаки возрастных изменений хрящевой ткани; база № 3 — гистоморфометрические признаки возрастных изменений костной ткани;</w:t>
      </w:r>
      <w:r>
        <w:t xml:space="preserve"> база № 4 — гистоморфометрические признаки возрастных изменений капилляров головного мозга; база № 5 — признаки возрастных изменений нервного аппарата сосудов спинного мозга.</w:t>
      </w:r>
    </w:p>
    <w:p w:rsidR="004B6076" w:rsidRDefault="009E1091">
      <w:pPr>
        <w:ind w:left="-5" w:right="22"/>
      </w:pPr>
      <w:r>
        <w:t>Стабильность работы на различных выборках была отмечена у метода случайного леса,</w:t>
      </w:r>
      <w:r>
        <w:t xml:space="preserve"> вследствие чего именно Random Forest был выбран для решения целевой задачи проекта (решающее правило для определения возрастной группы в виде дерева решений), так как он способен работать с пропусками в исходных данных без необходимости их предобработки. </w:t>
      </w:r>
      <w:r>
        <w:t>Подобное</w:t>
      </w:r>
      <w:r>
        <w:t>​</w:t>
      </w:r>
      <w:r>
        <w:t xml:space="preserve"> </w:t>
      </w:r>
      <w:r>
        <w:t>обстоятельство имеет немаловажное значение, учитывая малую (в контексте использования ММО) выборку объектов.</w:t>
      </w:r>
    </w:p>
    <w:p w:rsidR="004B6076" w:rsidRDefault="009E1091">
      <w:pPr>
        <w:ind w:left="-5" w:right="22"/>
      </w:pPr>
      <w:r>
        <w:t xml:space="preserve">Деревья решений — это один из методов Data Mining, метод поиска логических закономерностей в данных и один из основных подходов в теории </w:t>
      </w:r>
      <w:r>
        <w:t>принятия решений. Они эффективно реализуют задачи классификации и распознавания посредством многошагового процесса принятия решений и используют особенности древовидных классификаторов, основанных на учете локальных свойств классифицируемых объектов каждог</w:t>
      </w:r>
      <w:r>
        <w:t>о уровня и узла дерева [297]. Это позволяет реализовать как прямую, так и обратную цепочку рассуждений. Наглядность поискового процесса является его существенным достоинством.</w:t>
      </w:r>
    </w:p>
    <w:p w:rsidR="004B6076" w:rsidRDefault="009E1091">
      <w:pPr>
        <w:ind w:left="-5" w:right="22"/>
      </w:pPr>
      <w:r>
        <w:t>Важным этапом при построении математической модели является подготовка и отбор п</w:t>
      </w:r>
      <w:r>
        <w:t>ризнаков. Отбор признаков может оказывать существенное влияние на итоговый результат работы построенной модели, точность и эффективность работы модели в целом.</w:t>
      </w:r>
    </w:p>
    <w:p w:rsidR="004B6076" w:rsidRDefault="009E1091">
      <w:pPr>
        <w:ind w:left="-5" w:right="22"/>
      </w:pPr>
      <w:r>
        <w:t>Исходные данные представлены в виде двухмерных изображений с помощью использования методов t-SNE</w:t>
      </w:r>
      <w:r>
        <w:t xml:space="preserve"> и алгоритма машинного обучения для нелинейного снижения размерности (рис. 3.4, 3.5). Результаты визуализации свидетельствуют о плотном перемешивании возрастных групп без явной кластеризации до отбора признаков.</w:t>
      </w:r>
    </w:p>
    <w:p w:rsidR="004B6076" w:rsidRDefault="004B6076">
      <w:pPr>
        <w:sectPr w:rsidR="004B6076">
          <w:headerReference w:type="even" r:id="rId131"/>
          <w:headerReference w:type="default" r:id="rId132"/>
          <w:headerReference w:type="first" r:id="rId133"/>
          <w:pgSz w:w="11900" w:h="16840"/>
          <w:pgMar w:top="6" w:right="83" w:bottom="0" w:left="96" w:header="720" w:footer="720" w:gutter="0"/>
          <w:cols w:space="720"/>
        </w:sectPr>
      </w:pPr>
    </w:p>
    <w:p w:rsidR="004B6076" w:rsidRDefault="009E1091">
      <w:pPr>
        <w:spacing w:after="0"/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7590</wp:posOffset>
                </wp:positionV>
                <wp:extent cx="4062485" cy="3124994"/>
                <wp:effectExtent l="0" t="0" r="0" b="0"/>
                <wp:wrapTopAndBottom/>
                <wp:docPr id="124914" name="Group 1249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124994"/>
                          <a:chOff x="0" y="0"/>
                          <a:chExt cx="4062485" cy="3124994"/>
                        </a:xfrm>
                      </wpg:grpSpPr>
                      <wps:wsp>
                        <wps:cNvPr id="5048" name="Shape 5048"/>
                        <wps:cNvSpPr/>
                        <wps:spPr>
                          <a:xfrm>
                            <a:off x="7622" y="3121224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81" name="Shape 157681"/>
                        <wps:cNvSpPr/>
                        <wps:spPr>
                          <a:xfrm>
                            <a:off x="0" y="311740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1" name="Shape 5051"/>
                        <wps:cNvSpPr/>
                        <wps:spPr>
                          <a:xfrm>
                            <a:off x="3811" y="0"/>
                            <a:ext cx="0" cy="3117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17404">
                                <a:moveTo>
                                  <a:pt x="0" y="0"/>
                                </a:moveTo>
                                <a:lnTo>
                                  <a:pt x="0" y="311740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82" name="Shape 157682"/>
                        <wps:cNvSpPr/>
                        <wps:spPr>
                          <a:xfrm>
                            <a:off x="4054863" y="311740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4" name="Shape 5054"/>
                        <wps:cNvSpPr/>
                        <wps:spPr>
                          <a:xfrm>
                            <a:off x="4058674" y="0"/>
                            <a:ext cx="0" cy="3117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17404">
                                <a:moveTo>
                                  <a:pt x="0" y="0"/>
                                </a:moveTo>
                                <a:lnTo>
                                  <a:pt x="0" y="311740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056" name="Picture 5056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0"/>
                            <a:ext cx="4047241" cy="311736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914" style="width:319.881pt;height:246.063pt;position:absolute;mso-position-horizontal-relative:page;mso-position-horizontal:absolute;margin-left:4.80121pt;mso-position-vertical-relative:page;margin-top:0.597656pt;" coordsize="40624,31249">
                <v:shape id="Shape 5048" style="position:absolute;width:40472;height:0;left:76;top:31212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83" style="position:absolute;width:91;height:91;left:0;top:31174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051" style="position:absolute;width:0;height:31174;left:38;top:0;" coordsize="0,3117404" path="m0,0l0,3117404">
                  <v:stroke weight="0.600151pt" endcap="flat" dashstyle="1 1" joinstyle="bevel" on="true" color="#c0c0c0"/>
                  <v:fill on="false" color="#000000" opacity="0"/>
                </v:shape>
                <v:shape id="Shape 157684" style="position:absolute;width:91;height:91;left:40548;top:31174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054" style="position:absolute;width:0;height:31174;left:40586;top:0;" coordsize="0,3117404" path="m0,0l0,3117404">
                  <v:stroke weight="0.600151pt" endcap="flat" dashstyle="1 1" joinstyle="bevel" on="true" color="#c0c0c0"/>
                  <v:fill on="false" color="#000000" opacity="0"/>
                </v:shape>
                <v:shape id="Picture 5056" style="position:absolute;width:40472;height:31173;left:76;top:0;" filled="f">
                  <v:imagedata r:id="rId135"/>
                </v:shape>
                <w10:wrap type="topAndBottom"/>
              </v:group>
            </w:pict>
          </mc:Fallback>
        </mc:AlternateContent>
      </w:r>
      <w:r>
        <w:rPr>
          <w:b/>
        </w:rPr>
        <w:t>Рис. 3.4.</w:t>
      </w:r>
      <w:r>
        <w:t xml:space="preserve"> Двухмерное представление исходных данных с использованием алгоритма машинного обучения со стохастическим вложением соседей с t-распределением. Кластеризация до отбора признаков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056384"/>
                <wp:effectExtent l="0" t="0" r="0" b="0"/>
                <wp:docPr id="124915" name="Group 124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056384"/>
                          <a:chOff x="0" y="0"/>
                          <a:chExt cx="4062485" cy="3056384"/>
                        </a:xfrm>
                      </wpg:grpSpPr>
                      <wps:wsp>
                        <wps:cNvPr id="5062" name="Shape 5062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5" name="Shape 5065"/>
                        <wps:cNvSpPr/>
                        <wps:spPr>
                          <a:xfrm>
                            <a:off x="7622" y="3052564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85" name="Shape 15768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86" name="Shape 157686"/>
                        <wps:cNvSpPr/>
                        <wps:spPr>
                          <a:xfrm>
                            <a:off x="0" y="304874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8" name="Shape 5068"/>
                        <wps:cNvSpPr/>
                        <wps:spPr>
                          <a:xfrm>
                            <a:off x="3811" y="7640"/>
                            <a:ext cx="0" cy="30411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41104">
                                <a:moveTo>
                                  <a:pt x="0" y="0"/>
                                </a:moveTo>
                                <a:lnTo>
                                  <a:pt x="0" y="304110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87" name="Shape 157687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88" name="Shape 157688"/>
                        <wps:cNvSpPr/>
                        <wps:spPr>
                          <a:xfrm>
                            <a:off x="4054863" y="304874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71" name="Shape 5071"/>
                        <wps:cNvSpPr/>
                        <wps:spPr>
                          <a:xfrm>
                            <a:off x="4058674" y="7640"/>
                            <a:ext cx="0" cy="30411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41104">
                                <a:moveTo>
                                  <a:pt x="0" y="0"/>
                                </a:moveTo>
                                <a:lnTo>
                                  <a:pt x="0" y="304110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073" name="Picture 5073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40"/>
                            <a:ext cx="4047241" cy="30411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4915" style="width:319.881pt;height:240.66pt;mso-position-horizontal-relative:char;mso-position-vertical-relative:line" coordsize="40624,30563">
                <v:shape id="Shape 5062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5065" style="position:absolute;width:40472;height:0;left:76;top:30525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89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90" style="position:absolute;width:91;height:91;left:0;top:30487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068" style="position:absolute;width:0;height:30411;left:38;top:76;" coordsize="0,3041104" path="m0,0l0,3041104">
                  <v:stroke weight="0.600151pt" endcap="flat" dashstyle="1 1" joinstyle="bevel" on="true" color="#c0c0c0"/>
                  <v:fill on="false" color="#000000" opacity="0"/>
                </v:shape>
                <v:shape id="Shape 157691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692" style="position:absolute;width:91;height:91;left:40548;top:30487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071" style="position:absolute;width:0;height:30411;left:40586;top:76;" coordsize="0,3041104" path="m0,0l0,3041104">
                  <v:stroke weight="0.600151pt" endcap="flat" dashstyle="1 1" joinstyle="bevel" on="true" color="#c0c0c0"/>
                  <v:fill on="false" color="#000000" opacity="0"/>
                </v:shape>
                <v:shape id="Picture 5073" style="position:absolute;width:40472;height:30411;left:76;top:76;" filled="f">
                  <v:imagedata r:id="rId137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 xml:space="preserve">Рис. 3.5. </w:t>
      </w:r>
      <w:r>
        <w:t>Двухмерное представление исходных данных с использованием метода uMAP. Кластеризация до отбора признаков</w:t>
      </w:r>
    </w:p>
    <w:p w:rsidR="004B6076" w:rsidRDefault="009E1091">
      <w:pPr>
        <w:ind w:left="-5" w:right="22"/>
      </w:pPr>
      <w:r>
        <w:t>Здесь и далее использована разбивка на группы согласно возрастной периодизации (АПН СССР, 1965): 1-я группа — до 12 лет; 2-я группа — 13–16 лет; 3-я гр</w:t>
      </w:r>
      <w:r>
        <w:t>уппа — 17–21 год; 4-я группа — 22–35 лет; 5-я группа — 36–60 лет; 6-я группа — 61–75 лет; 7-я группа — старше 75 лет.</w:t>
      </w:r>
    </w:p>
    <w:p w:rsidR="004B6076" w:rsidRDefault="009E1091">
      <w:pPr>
        <w:ind w:left="-5" w:right="22"/>
      </w:pPr>
      <w:r>
        <w:t>Для оценки информативности признаков используется метод Recursive feature elimination с привлечением деревьев решений и критерия Джинни. Р</w:t>
      </w:r>
      <w:r>
        <w:t>езультаты представлены на рис. 3.6. Значимость признаков при отборе по объединенной базе данных изменяется по сравнению с оценкой признаков одного вида объектов исследования.</w:t>
      </w:r>
    </w:p>
    <w:p w:rsidR="004B6076" w:rsidRDefault="009E1091">
      <w:pPr>
        <w:ind w:left="-5" w:right="22"/>
      </w:pPr>
      <w:r>
        <w:rPr>
          <w:b/>
        </w:rPr>
        <w:t>Рис. 3.6.</w:t>
      </w:r>
      <w:r>
        <w:t xml:space="preserve"> Информативность показателей гистоморфометрических признаков объединенно</w:t>
      </w:r>
      <w:r>
        <w:t>й базы данных</w:t>
      </w:r>
    </w:p>
    <w:p w:rsidR="004B6076" w:rsidRDefault="009E1091">
      <w:pPr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7640</wp:posOffset>
                </wp:positionV>
                <wp:extent cx="4062485" cy="5541119"/>
                <wp:effectExtent l="0" t="0" r="0" b="0"/>
                <wp:wrapTopAndBottom/>
                <wp:docPr id="125520" name="Group 1255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5541119"/>
                          <a:chOff x="0" y="0"/>
                          <a:chExt cx="4062485" cy="5541119"/>
                        </a:xfrm>
                      </wpg:grpSpPr>
                      <wps:wsp>
                        <wps:cNvPr id="5092" name="Shape 5092"/>
                        <wps:cNvSpPr/>
                        <wps:spPr>
                          <a:xfrm>
                            <a:off x="7622" y="5537299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93" name="Shape 157693"/>
                        <wps:cNvSpPr/>
                        <wps:spPr>
                          <a:xfrm>
                            <a:off x="0" y="553348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5" name="Shape 5095"/>
                        <wps:cNvSpPr/>
                        <wps:spPr>
                          <a:xfrm>
                            <a:off x="3811" y="0"/>
                            <a:ext cx="0" cy="5533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33480">
                                <a:moveTo>
                                  <a:pt x="0" y="0"/>
                                </a:moveTo>
                                <a:lnTo>
                                  <a:pt x="0" y="553348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94" name="Shape 157694"/>
                        <wps:cNvSpPr/>
                        <wps:spPr>
                          <a:xfrm>
                            <a:off x="4054863" y="553348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8" name="Shape 5098"/>
                        <wps:cNvSpPr/>
                        <wps:spPr>
                          <a:xfrm>
                            <a:off x="4058674" y="0"/>
                            <a:ext cx="0" cy="5533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33480">
                                <a:moveTo>
                                  <a:pt x="0" y="0"/>
                                </a:moveTo>
                                <a:lnTo>
                                  <a:pt x="0" y="553348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100" name="Picture 5100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25"/>
                            <a:ext cx="4047241" cy="55335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5520" style="width:319.881pt;height:436.309pt;position:absolute;mso-position-horizontal-relative:page;mso-position-horizontal:absolute;margin-left:4.80121pt;mso-position-vertical-relative:page;margin-top:0.601563pt;" coordsize="40624,55411">
                <v:shape id="Shape 5092" style="position:absolute;width:40472;height:0;left:76;top:55372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95" style="position:absolute;width:91;height:91;left:0;top:55334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095" style="position:absolute;width:0;height:55334;left:38;top:0;" coordsize="0,5533480" path="m0,0l0,5533480">
                  <v:stroke weight="0.600151pt" endcap="flat" dashstyle="1 1" joinstyle="bevel" on="true" color="#c0c0c0"/>
                  <v:fill on="false" color="#000000" opacity="0"/>
                </v:shape>
                <v:shape id="Shape 157696" style="position:absolute;width:91;height:91;left:40548;top:55334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098" style="position:absolute;width:0;height:55334;left:40586;top:0;" coordsize="0,5533480" path="m0,0l0,5533480">
                  <v:stroke weight="0.600151pt" endcap="flat" dashstyle="1 1" joinstyle="bevel" on="true" color="#c0c0c0"/>
                  <v:fill on="false" color="#000000" opacity="0"/>
                </v:shape>
                <v:shape id="Picture 5100" style="position:absolute;width:40472;height:55335;left:76;top:0;" filled="f">
                  <v:imagedata r:id="rId139"/>
                </v:shape>
                <w10:wrap type="topAndBottom"/>
              </v:group>
            </w:pict>
          </mc:Fallback>
        </mc:AlternateContent>
      </w:r>
      <w:r>
        <w:t>С помощью тепловой карты (heatmap) можно визуализировать корреляционную связь между существующим набором признаков, где красным цветом выделены признаки с сильной положительной корреляцией, а синим — с сильной обратной корреляцией. На теплов</w:t>
      </w:r>
      <w:r>
        <w:t>ой карте (рис. 3.7) добавлены коэффициенты корреляции показателей не только с возрастом и возрастной группой, но и между собой (на пересечении).</w:t>
      </w:r>
    </w:p>
    <w:p w:rsidR="004B6076" w:rsidRDefault="009E1091">
      <w:pPr>
        <w:ind w:left="-5" w:right="22"/>
      </w:pPr>
      <w:r>
        <w:rPr>
          <w:b/>
        </w:rPr>
        <w:t>Рис. 3.7.</w:t>
      </w:r>
      <w:r>
        <w:t xml:space="preserve"> Нeatmap по базам данных гистоморфометрических признаков хрящевой и костной тканей</w:t>
      </w:r>
    </w:p>
    <w:p w:rsidR="004B6076" w:rsidRDefault="009E1091">
      <w:pPr>
        <w:ind w:left="-5" w:right="22"/>
      </w:pPr>
      <w:r>
        <w:t>Визуализация резуль</w:t>
      </w:r>
      <w:r>
        <w:t>татов посредством тепловой карты позволяет увидеть несколько ярких групп из связанных между собой признаков.</w:t>
      </w:r>
    </w:p>
    <w:p w:rsidR="004B6076" w:rsidRDefault="009E1091">
      <w:pPr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7590</wp:posOffset>
                </wp:positionV>
                <wp:extent cx="4062485" cy="4222552"/>
                <wp:effectExtent l="0" t="0" r="0" b="0"/>
                <wp:wrapTopAndBottom/>
                <wp:docPr id="125844" name="Group 1258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4222552"/>
                          <a:chOff x="0" y="0"/>
                          <a:chExt cx="4062485" cy="4222552"/>
                        </a:xfrm>
                      </wpg:grpSpPr>
                      <wps:wsp>
                        <wps:cNvPr id="5115" name="Shape 5115"/>
                        <wps:cNvSpPr/>
                        <wps:spPr>
                          <a:xfrm>
                            <a:off x="7622" y="4218732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97" name="Shape 157697"/>
                        <wps:cNvSpPr/>
                        <wps:spPr>
                          <a:xfrm>
                            <a:off x="0" y="421491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8" name="Shape 5118"/>
                        <wps:cNvSpPr/>
                        <wps:spPr>
                          <a:xfrm>
                            <a:off x="3811" y="0"/>
                            <a:ext cx="0" cy="4214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14912">
                                <a:moveTo>
                                  <a:pt x="0" y="0"/>
                                </a:moveTo>
                                <a:lnTo>
                                  <a:pt x="0" y="421491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98" name="Shape 157698"/>
                        <wps:cNvSpPr/>
                        <wps:spPr>
                          <a:xfrm>
                            <a:off x="4054863" y="421491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21" name="Shape 5121"/>
                        <wps:cNvSpPr/>
                        <wps:spPr>
                          <a:xfrm>
                            <a:off x="4058674" y="0"/>
                            <a:ext cx="0" cy="4214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14912">
                                <a:moveTo>
                                  <a:pt x="0" y="0"/>
                                </a:moveTo>
                                <a:lnTo>
                                  <a:pt x="0" y="421491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123" name="Picture 5123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0"/>
                            <a:ext cx="4047241" cy="42149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5844" style="width:319.881pt;height:332.484pt;position:absolute;mso-position-horizontal-relative:page;mso-position-horizontal:absolute;margin-left:4.80121pt;mso-position-vertical-relative:page;margin-top:0.597656pt;" coordsize="40624,42225">
                <v:shape id="Shape 5115" style="position:absolute;width:40472;height:0;left:76;top:4218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699" style="position:absolute;width:91;height:91;left:0;top:42149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118" style="position:absolute;width:0;height:42149;left:38;top:0;" coordsize="0,4214912" path="m0,0l0,4214912">
                  <v:stroke weight="0.600151pt" endcap="flat" dashstyle="1 1" joinstyle="bevel" on="true" color="#c0c0c0"/>
                  <v:fill on="false" color="#000000" opacity="0"/>
                </v:shape>
                <v:shape id="Shape 157700" style="position:absolute;width:91;height:91;left:40548;top:42149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121" style="position:absolute;width:0;height:42149;left:40586;top:0;" coordsize="0,4214912" path="m0,0l0,4214912">
                  <v:stroke weight="0.600151pt" endcap="flat" dashstyle="1 1" joinstyle="bevel" on="true" color="#c0c0c0"/>
                  <v:fill on="false" color="#000000" opacity="0"/>
                </v:shape>
                <v:shape id="Picture 5123" style="position:absolute;width:40472;height:42149;left:76;top:0;" filled="f">
                  <v:imagedata r:id="rId141"/>
                </v:shape>
                <w10:wrap type="topAndBottom"/>
              </v:group>
            </w:pict>
          </mc:Fallback>
        </mc:AlternateContent>
      </w:r>
      <w:r>
        <w:t>Учитывая тот факт, что данные признаки будут оказывать схожее влияние на результат классификации, часть из них после экспертного анализа можно уда</w:t>
      </w:r>
      <w:r>
        <w:t>лить, тем самым сократив признаковое пространство. Это снижает потребность в вычислительных мощностях для построения математических моделей.</w:t>
      </w:r>
    </w:p>
    <w:p w:rsidR="004B6076" w:rsidRDefault="009E1091">
      <w:pPr>
        <w:ind w:left="-5" w:right="22"/>
      </w:pPr>
      <w:r>
        <w:t>Оценку информативности и значимости признаков можно также выполнять посредством многомерного анализа (Multivariate)</w:t>
      </w:r>
      <w:r>
        <w:t>, позволяющего проводить сравнение более двух переменных (рис. 3.8).</w:t>
      </w:r>
    </w:p>
    <w:p w:rsidR="004B6076" w:rsidRDefault="009E1091">
      <w:pPr>
        <w:ind w:left="-5" w:right="22"/>
      </w:pPr>
      <w:r>
        <w:rPr>
          <w:b/>
        </w:rPr>
        <w:t>Рис. 3.8.</w:t>
      </w:r>
      <w:r>
        <w:t xml:space="preserve"> Pairplot наиболее информативных признаков объединенной базы данных, включающей количественные показатели гистоморфометрических признаков кожи, хрящевой и костной ткани</w:t>
      </w:r>
    </w:p>
    <w:p w:rsidR="004B6076" w:rsidRDefault="009E1091">
      <w:pPr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7590</wp:posOffset>
                </wp:positionV>
                <wp:extent cx="4062485" cy="5624959"/>
                <wp:effectExtent l="0" t="0" r="0" b="0"/>
                <wp:wrapTopAndBottom/>
                <wp:docPr id="124221" name="Group 124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5624959"/>
                          <a:chOff x="0" y="0"/>
                          <a:chExt cx="4062485" cy="5624959"/>
                        </a:xfrm>
                      </wpg:grpSpPr>
                      <wps:wsp>
                        <wps:cNvPr id="5141" name="Shape 5141"/>
                        <wps:cNvSpPr/>
                        <wps:spPr>
                          <a:xfrm>
                            <a:off x="7622" y="5621189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01" name="Shape 157701"/>
                        <wps:cNvSpPr/>
                        <wps:spPr>
                          <a:xfrm>
                            <a:off x="0" y="56173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44" name="Shape 5144"/>
                        <wps:cNvSpPr/>
                        <wps:spPr>
                          <a:xfrm>
                            <a:off x="3811" y="0"/>
                            <a:ext cx="0" cy="5617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7369">
                                <a:moveTo>
                                  <a:pt x="0" y="0"/>
                                </a:moveTo>
                                <a:lnTo>
                                  <a:pt x="0" y="5617369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02" name="Shape 157702"/>
                        <wps:cNvSpPr/>
                        <wps:spPr>
                          <a:xfrm>
                            <a:off x="4054863" y="56173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47" name="Shape 5147"/>
                        <wps:cNvSpPr/>
                        <wps:spPr>
                          <a:xfrm>
                            <a:off x="4058674" y="0"/>
                            <a:ext cx="0" cy="5617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7369">
                                <a:moveTo>
                                  <a:pt x="0" y="0"/>
                                </a:moveTo>
                                <a:lnTo>
                                  <a:pt x="0" y="5617369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149" name="Picture 5149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4"/>
                            <a:ext cx="4047241" cy="56173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221" style="width:319.881pt;height:442.91pt;position:absolute;mso-position-horizontal-relative:page;mso-position-horizontal:absolute;margin-left:4.80121pt;mso-position-vertical-relative:page;margin-top:0.597656pt;" coordsize="40624,56249">
                <v:shape id="Shape 5141" style="position:absolute;width:40472;height:0;left:76;top:56211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03" style="position:absolute;width:91;height:91;left:0;top:56173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144" style="position:absolute;width:0;height:56173;left:38;top:0;" coordsize="0,5617369" path="m0,0l0,5617369">
                  <v:stroke weight="0.600151pt" endcap="flat" dashstyle="1 1" joinstyle="bevel" on="true" color="#c0c0c0"/>
                  <v:fill on="false" color="#000000" opacity="0"/>
                </v:shape>
                <v:shape id="Shape 157704" style="position:absolute;width:91;height:91;left:40548;top:56173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147" style="position:absolute;width:0;height:56173;left:40586;top:0;" coordsize="0,5617369" path="m0,0l0,5617369">
                  <v:stroke weight="0.600151pt" endcap="flat" dashstyle="1 1" joinstyle="bevel" on="true" color="#c0c0c0"/>
                  <v:fill on="false" color="#000000" opacity="0"/>
                </v:shape>
                <v:shape id="Picture 5149" style="position:absolute;width:40472;height:56173;left:76;top:0;" filled="f">
                  <v:imagedata r:id="rId143"/>
                </v:shape>
                <w10:wrap type="topAndBottom"/>
              </v:group>
            </w:pict>
          </mc:Fallback>
        </mc:AlternateContent>
      </w:r>
      <w:r>
        <w:t>Pairplot</w:t>
      </w:r>
      <w:r>
        <w:t xml:space="preserve"> — парные графики, симметричные относительно главной диагонали, на которой размещено распределение каждого графика. Каждая точка окрашена в зависимости от ее класса. Данные графики могут использоваться при оценке роли пары признаков в классификации.</w:t>
      </w:r>
    </w:p>
    <w:p w:rsidR="004B6076" w:rsidRDefault="009E1091">
      <w:pPr>
        <w:ind w:left="-5" w:right="22"/>
      </w:pPr>
      <w:r>
        <w:t>На кач</w:t>
      </w:r>
      <w:r>
        <w:t>ество работы моделей влияет количество использованных признаков, начиная от самых информативных и далее по убыванию. Оценка качества работы классификаторов от количества используемых признаков представлена на рис. 3.9 и 3.10.</w:t>
      </w:r>
    </w:p>
    <w:p w:rsidR="004B6076" w:rsidRDefault="009E1091">
      <w:pPr>
        <w:spacing w:after="13"/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7541</wp:posOffset>
                </wp:positionV>
                <wp:extent cx="4062485" cy="3978672"/>
                <wp:effectExtent l="0" t="0" r="0" b="0"/>
                <wp:wrapTopAndBottom/>
                <wp:docPr id="124345" name="Group 124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978672"/>
                          <a:chOff x="0" y="0"/>
                          <a:chExt cx="4062485" cy="3978672"/>
                        </a:xfrm>
                      </wpg:grpSpPr>
                      <wps:wsp>
                        <wps:cNvPr id="5166" name="Shape 5166"/>
                        <wps:cNvSpPr/>
                        <wps:spPr>
                          <a:xfrm>
                            <a:off x="7622" y="3974852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05" name="Shape 157705"/>
                        <wps:cNvSpPr/>
                        <wps:spPr>
                          <a:xfrm>
                            <a:off x="0" y="397103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9" name="Shape 5169"/>
                        <wps:cNvSpPr/>
                        <wps:spPr>
                          <a:xfrm>
                            <a:off x="3811" y="0"/>
                            <a:ext cx="0" cy="3971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71032">
                                <a:moveTo>
                                  <a:pt x="0" y="0"/>
                                </a:moveTo>
                                <a:lnTo>
                                  <a:pt x="0" y="397103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06" name="Shape 157706"/>
                        <wps:cNvSpPr/>
                        <wps:spPr>
                          <a:xfrm>
                            <a:off x="4054863" y="397103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2" name="Shape 5172"/>
                        <wps:cNvSpPr/>
                        <wps:spPr>
                          <a:xfrm>
                            <a:off x="4058674" y="0"/>
                            <a:ext cx="0" cy="3971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71032">
                                <a:moveTo>
                                  <a:pt x="0" y="0"/>
                                </a:moveTo>
                                <a:lnTo>
                                  <a:pt x="0" y="397103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174" name="Picture 5174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50"/>
                            <a:ext cx="4047241" cy="397102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345" style="width:319.881pt;height:313.281pt;position:absolute;mso-position-horizontal-relative:page;mso-position-horizontal:absolute;margin-left:4.80121pt;mso-position-vertical-relative:page;margin-top:0.59375pt;" coordsize="40624,39786">
                <v:shape id="Shape 5166" style="position:absolute;width:40472;height:0;left:76;top:3974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07" style="position:absolute;width:91;height:91;left:0;top:3971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169" style="position:absolute;width:0;height:39710;left:38;top:0;" coordsize="0,3971032" path="m0,0l0,3971032">
                  <v:stroke weight="0.600151pt" endcap="flat" dashstyle="1 1" joinstyle="bevel" on="true" color="#c0c0c0"/>
                  <v:fill on="false" color="#000000" opacity="0"/>
                </v:shape>
                <v:shape id="Shape 157708" style="position:absolute;width:91;height:91;left:40548;top:3971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172" style="position:absolute;width:0;height:39710;left:40586;top:0;" coordsize="0,3971032" path="m0,0l0,3971032">
                  <v:stroke weight="0.600151pt" endcap="flat" dashstyle="1 1" joinstyle="bevel" on="true" color="#c0c0c0"/>
                  <v:fill on="false" color="#000000" opacity="0"/>
                </v:shape>
                <v:shape id="Picture 5174" style="position:absolute;width:40472;height:39710;left:76;top:0;" filled="f">
                  <v:imagedata r:id="rId145"/>
                </v:shape>
                <w10:wrap type="topAndBottom"/>
              </v:group>
            </w:pict>
          </mc:Fallback>
        </mc:AlternateContent>
      </w:r>
      <w:r>
        <w:rPr>
          <w:b/>
        </w:rPr>
        <w:t>Рис. 3.9.</w:t>
      </w:r>
      <w:r>
        <w:t xml:space="preserve"> Оценка точности раб</w:t>
      </w:r>
      <w:r>
        <w:t>оты алгоритмов в зависимости от количества признаков</w:t>
      </w:r>
      <w:r>
        <w:t>​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4138712"/>
                <wp:effectExtent l="0" t="0" r="0" b="0"/>
                <wp:docPr id="124347" name="Group 1243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4138712"/>
                          <a:chOff x="0" y="0"/>
                          <a:chExt cx="4062485" cy="4138712"/>
                        </a:xfrm>
                      </wpg:grpSpPr>
                      <wps:wsp>
                        <wps:cNvPr id="5181" name="Shape 5181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4" name="Shape 5184"/>
                        <wps:cNvSpPr/>
                        <wps:spPr>
                          <a:xfrm>
                            <a:off x="7622" y="4134892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09" name="Shape 15770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10" name="Shape 157710"/>
                        <wps:cNvSpPr/>
                        <wps:spPr>
                          <a:xfrm>
                            <a:off x="0" y="413107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7" name="Shape 5187"/>
                        <wps:cNvSpPr/>
                        <wps:spPr>
                          <a:xfrm>
                            <a:off x="3811" y="7640"/>
                            <a:ext cx="0" cy="412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23432">
                                <a:moveTo>
                                  <a:pt x="0" y="0"/>
                                </a:moveTo>
                                <a:lnTo>
                                  <a:pt x="0" y="412343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11" name="Shape 157711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12" name="Shape 157712"/>
                        <wps:cNvSpPr/>
                        <wps:spPr>
                          <a:xfrm>
                            <a:off x="4054863" y="413107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90" name="Shape 5190"/>
                        <wps:cNvSpPr/>
                        <wps:spPr>
                          <a:xfrm>
                            <a:off x="4058674" y="7640"/>
                            <a:ext cx="0" cy="412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23432">
                                <a:moveTo>
                                  <a:pt x="0" y="0"/>
                                </a:moveTo>
                                <a:lnTo>
                                  <a:pt x="0" y="412343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192" name="Picture 5192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65"/>
                            <a:ext cx="4047241" cy="41234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4347" style="width:319.881pt;height:325.883pt;mso-position-horizontal-relative:char;mso-position-vertical-relative:line" coordsize="40624,41387">
                <v:shape id="Shape 5181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5184" style="position:absolute;width:40472;height:0;left:76;top:4134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13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14" style="position:absolute;width:91;height:91;left:0;top:4131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187" style="position:absolute;width:0;height:41234;left:38;top:76;" coordsize="0,4123432" path="m0,0l0,4123432">
                  <v:stroke weight="0.600151pt" endcap="flat" dashstyle="1 1" joinstyle="bevel" on="true" color="#c0c0c0"/>
                  <v:fill on="false" color="#000000" opacity="0"/>
                </v:shape>
                <v:shape id="Shape 157715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16" style="position:absolute;width:91;height:91;left:40548;top:4131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190" style="position:absolute;width:0;height:41234;left:40586;top:76;" coordsize="0,4123432" path="m0,0l0,4123432">
                  <v:stroke weight="0.600151pt" endcap="flat" dashstyle="1 1" joinstyle="bevel" on="true" color="#c0c0c0"/>
                  <v:fill on="false" color="#000000" opacity="0"/>
                </v:shape>
                <v:shape id="Picture 5192" style="position:absolute;width:40472;height:41234;left:76;top:76;" filled="f">
                  <v:imagedata r:id="rId147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3.10.</w:t>
      </w:r>
      <w:r>
        <w:t xml:space="preserve"> Зависимость значения F1-score от количества используемых признаков</w:t>
      </w:r>
    </w:p>
    <w:p w:rsidR="004B6076" w:rsidRDefault="009E1091">
      <w:pPr>
        <w:ind w:left="-5" w:right="22"/>
      </w:pPr>
      <w:r>
        <w:t xml:space="preserve">На данных рисунках можно заметить, что для моделей, основанных на деревьях решений, качество остается примерно одинаковым вплоть до использования всех исходных признаков, что можно объяснить способностью данных алгоритмов самостоятельно отбирать признаки. </w:t>
      </w:r>
      <w:r>
        <w:t>Для остальных алгоритмов можно заметить тенденцию к падению качества после использования более 28 признаков. Полученные ранжированные списки были сопоставлены с результатами статистического анализа, выполнены сравнительный анализ, экспертная оценка с позиц</w:t>
      </w:r>
      <w:r>
        <w:t>ий возрастной морфологии.</w:t>
      </w:r>
    </w:p>
    <w:p w:rsidR="004B6076" w:rsidRDefault="009E1091">
      <w:pPr>
        <w:ind w:left="-5" w:right="22"/>
      </w:pPr>
      <w:r>
        <w:t>Двухмерная визуализация данных с использованием методов t-SNE (рис. 3.11) и uMAP (рис. 3.12) после отбора признаков и формирования фиксированного набора наглядно продемонстрировала эффективность работы. Можно заметить, что теперь наблюдается более четко вы</w:t>
      </w:r>
      <w:r>
        <w:t>раженная кластерная структура.</w:t>
      </w:r>
    </w:p>
    <w:p w:rsidR="004B6076" w:rsidRDefault="009E1091">
      <w:pPr>
        <w:spacing w:after="0"/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7590</wp:posOffset>
                </wp:positionV>
                <wp:extent cx="4062485" cy="3963392"/>
                <wp:effectExtent l="0" t="0" r="0" b="0"/>
                <wp:wrapTopAndBottom/>
                <wp:docPr id="125325" name="Group 1253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963392"/>
                          <a:chOff x="0" y="0"/>
                          <a:chExt cx="4062485" cy="3963392"/>
                        </a:xfrm>
                      </wpg:grpSpPr>
                      <wps:wsp>
                        <wps:cNvPr id="5211" name="Shape 5211"/>
                        <wps:cNvSpPr/>
                        <wps:spPr>
                          <a:xfrm>
                            <a:off x="7622" y="3959622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17" name="Shape 157717"/>
                        <wps:cNvSpPr/>
                        <wps:spPr>
                          <a:xfrm>
                            <a:off x="0" y="395580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14" name="Shape 5214"/>
                        <wps:cNvSpPr/>
                        <wps:spPr>
                          <a:xfrm>
                            <a:off x="3811" y="0"/>
                            <a:ext cx="0" cy="3955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55802">
                                <a:moveTo>
                                  <a:pt x="0" y="0"/>
                                </a:moveTo>
                                <a:lnTo>
                                  <a:pt x="0" y="395580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18" name="Shape 157718"/>
                        <wps:cNvSpPr/>
                        <wps:spPr>
                          <a:xfrm>
                            <a:off x="4054863" y="395580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17" name="Shape 5217"/>
                        <wps:cNvSpPr/>
                        <wps:spPr>
                          <a:xfrm>
                            <a:off x="4058674" y="0"/>
                            <a:ext cx="0" cy="3955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55802">
                                <a:moveTo>
                                  <a:pt x="0" y="0"/>
                                </a:moveTo>
                                <a:lnTo>
                                  <a:pt x="0" y="395580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219" name="Picture 5219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0"/>
                            <a:ext cx="4047241" cy="395577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5325" style="width:319.881pt;height:312.078pt;position:absolute;mso-position-horizontal-relative:page;mso-position-horizontal:absolute;margin-left:4.80121pt;mso-position-vertical-relative:page;margin-top:0.597656pt;" coordsize="40624,39633">
                <v:shape id="Shape 5211" style="position:absolute;width:40472;height:0;left:76;top:39596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19" style="position:absolute;width:91;height:91;left:0;top:39558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214" style="position:absolute;width:0;height:39558;left:38;top:0;" coordsize="0,3955802" path="m0,0l0,3955802">
                  <v:stroke weight="0.600151pt" endcap="flat" dashstyle="1 1" joinstyle="bevel" on="true" color="#c0c0c0"/>
                  <v:fill on="false" color="#000000" opacity="0"/>
                </v:shape>
                <v:shape id="Shape 157720" style="position:absolute;width:91;height:91;left:40548;top:39558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217" style="position:absolute;width:0;height:39558;left:40586;top:0;" coordsize="0,3955802" path="m0,0l0,3955802">
                  <v:stroke weight="0.600151pt" endcap="flat" dashstyle="1 1" joinstyle="bevel" on="true" color="#c0c0c0"/>
                  <v:fill on="false" color="#000000" opacity="0"/>
                </v:shape>
                <v:shape id="Picture 5219" style="position:absolute;width:40472;height:39557;left:76;top:0;" filled="f">
                  <v:imagedata r:id="rId149"/>
                </v:shape>
                <w10:wrap type="topAndBottom"/>
              </v:group>
            </w:pict>
          </mc:Fallback>
        </mc:AlternateContent>
      </w:r>
      <w:r>
        <w:rPr>
          <w:b/>
        </w:rPr>
        <w:t xml:space="preserve">Рис. 3.11. </w:t>
      </w:r>
      <w:r>
        <w:t>Двухмерное представление исходных данных с использованием алгоритма машинного обучения со стохастическим вложением соседей с t-распределением после отбора признаков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4032002"/>
                <wp:effectExtent l="0" t="0" r="0" b="0"/>
                <wp:docPr id="125339" name="Group 1253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4032002"/>
                          <a:chOff x="0" y="0"/>
                          <a:chExt cx="4062485" cy="4032002"/>
                        </a:xfrm>
                      </wpg:grpSpPr>
                      <wps:wsp>
                        <wps:cNvPr id="5225" name="Shape 5225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8" name="Shape 5228"/>
                        <wps:cNvSpPr/>
                        <wps:spPr>
                          <a:xfrm>
                            <a:off x="7622" y="4028182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21" name="Shape 157721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22" name="Shape 157722"/>
                        <wps:cNvSpPr/>
                        <wps:spPr>
                          <a:xfrm>
                            <a:off x="0" y="402436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1" name="Shape 5231"/>
                        <wps:cNvSpPr/>
                        <wps:spPr>
                          <a:xfrm>
                            <a:off x="3811" y="7640"/>
                            <a:ext cx="0" cy="40167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16722">
                                <a:moveTo>
                                  <a:pt x="0" y="0"/>
                                </a:moveTo>
                                <a:lnTo>
                                  <a:pt x="0" y="401672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23" name="Shape 157723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24" name="Shape 157724"/>
                        <wps:cNvSpPr/>
                        <wps:spPr>
                          <a:xfrm>
                            <a:off x="4054863" y="402436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4" name="Shape 5234"/>
                        <wps:cNvSpPr/>
                        <wps:spPr>
                          <a:xfrm>
                            <a:off x="4058674" y="7640"/>
                            <a:ext cx="0" cy="40167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16722">
                                <a:moveTo>
                                  <a:pt x="0" y="0"/>
                                </a:moveTo>
                                <a:lnTo>
                                  <a:pt x="0" y="401672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236" name="Picture 5236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65"/>
                            <a:ext cx="4047241" cy="40167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5339" style="width:319.881pt;height:317.48pt;mso-position-horizontal-relative:char;mso-position-vertical-relative:line" coordsize="40624,40320">
                <v:shape id="Shape 5225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5228" style="position:absolute;width:40472;height:0;left:76;top:40281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25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26" style="position:absolute;width:91;height:91;left:0;top:40243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231" style="position:absolute;width:0;height:40167;left:38;top:76;" coordsize="0,4016722" path="m0,0l0,4016722">
                  <v:stroke weight="0.600151pt" endcap="flat" dashstyle="1 1" joinstyle="bevel" on="true" color="#c0c0c0"/>
                  <v:fill on="false" color="#000000" opacity="0"/>
                </v:shape>
                <v:shape id="Shape 157727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28" style="position:absolute;width:91;height:91;left:40548;top:40243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234" style="position:absolute;width:0;height:40167;left:40586;top:76;" coordsize="0,4016722" path="m0,0l0,4016722">
                  <v:stroke weight="0.600151pt" endcap="flat" dashstyle="1 1" joinstyle="bevel" on="true" color="#c0c0c0"/>
                  <v:fill on="false" color="#000000" opacity="0"/>
                </v:shape>
                <v:shape id="Picture 5236" style="position:absolute;width:40472;height:40167;left:76;top:76;" filled="f">
                  <v:imagedata r:id="rId151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3.12.</w:t>
      </w:r>
      <w:r>
        <w:t xml:space="preserve"> Двухмерное представление исходных д</w:t>
      </w:r>
      <w:r>
        <w:t>анных с использованием метода uMAP после отбора признаков</w:t>
      </w:r>
    </w:p>
    <w:p w:rsidR="004B6076" w:rsidRDefault="009E1091">
      <w:pPr>
        <w:ind w:left="-5" w:right="22"/>
      </w:pPr>
      <w:r>
        <w:t>Следующий этап работы — это определение оптимального возрастного интервала, диагностика которого осуществляется с максимальной точностью и надежностью.</w:t>
      </w:r>
    </w:p>
    <w:p w:rsidR="004B6076" w:rsidRDefault="009E1091">
      <w:pPr>
        <w:ind w:left="-5" w:right="22"/>
      </w:pPr>
      <w:r>
        <w:t>Для алгоритма Random Forest строятся матрица о</w:t>
      </w:r>
      <w:r>
        <w:t>шибок (рис. 3.13) и ROC-кривые (рис. 3.14).</w:t>
      </w:r>
    </w:p>
    <w:p w:rsidR="004B6076" w:rsidRDefault="009E1091">
      <w:pPr>
        <w:spacing w:after="13"/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7640</wp:posOffset>
                </wp:positionV>
                <wp:extent cx="4062485" cy="3544193"/>
                <wp:effectExtent l="0" t="0" r="0" b="0"/>
                <wp:wrapTopAndBottom/>
                <wp:docPr id="123046" name="Group 1230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544193"/>
                          <a:chOff x="0" y="0"/>
                          <a:chExt cx="4062485" cy="3544193"/>
                        </a:xfrm>
                      </wpg:grpSpPr>
                      <wps:wsp>
                        <wps:cNvPr id="5250" name="Shape 5250"/>
                        <wps:cNvSpPr/>
                        <wps:spPr>
                          <a:xfrm>
                            <a:off x="7622" y="3540423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29" name="Shape 157729"/>
                        <wps:cNvSpPr/>
                        <wps:spPr>
                          <a:xfrm>
                            <a:off x="0" y="353660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53" name="Shape 5253"/>
                        <wps:cNvSpPr/>
                        <wps:spPr>
                          <a:xfrm>
                            <a:off x="3811" y="0"/>
                            <a:ext cx="0" cy="3536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6603">
                                <a:moveTo>
                                  <a:pt x="0" y="0"/>
                                </a:moveTo>
                                <a:lnTo>
                                  <a:pt x="0" y="353660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30" name="Shape 157730"/>
                        <wps:cNvSpPr/>
                        <wps:spPr>
                          <a:xfrm>
                            <a:off x="4054863" y="353660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56" name="Shape 5256"/>
                        <wps:cNvSpPr/>
                        <wps:spPr>
                          <a:xfrm>
                            <a:off x="4058674" y="0"/>
                            <a:ext cx="0" cy="3536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6603">
                                <a:moveTo>
                                  <a:pt x="0" y="0"/>
                                </a:moveTo>
                                <a:lnTo>
                                  <a:pt x="0" y="353660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258" name="Picture 5258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25"/>
                            <a:ext cx="4047241" cy="35365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3046" style="width:319.881pt;height:279.07pt;position:absolute;mso-position-horizontal-relative:page;mso-position-horizontal:absolute;margin-left:4.80121pt;mso-position-vertical-relative:page;margin-top:0.601563pt;" coordsize="40624,35441">
                <v:shape id="Shape 5250" style="position:absolute;width:40472;height:0;left:76;top:35404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31" style="position:absolute;width:91;height:91;left:0;top:3536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253" style="position:absolute;width:0;height:35366;left:38;top:0;" coordsize="0,3536603" path="m0,0l0,3536603">
                  <v:stroke weight="0.600151pt" endcap="flat" dashstyle="1 1" joinstyle="bevel" on="true" color="#c0c0c0"/>
                  <v:fill on="false" color="#000000" opacity="0"/>
                </v:shape>
                <v:shape id="Shape 157732" style="position:absolute;width:91;height:91;left:40548;top:35366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256" style="position:absolute;width:0;height:35366;left:40586;top:0;" coordsize="0,3536603" path="m0,0l0,3536603">
                  <v:stroke weight="0.600151pt" endcap="flat" dashstyle="1 1" joinstyle="bevel" on="true" color="#c0c0c0"/>
                  <v:fill on="false" color="#000000" opacity="0"/>
                </v:shape>
                <v:shape id="Picture 5258" style="position:absolute;width:40472;height:35365;left:76;top:0;" filled="f">
                  <v:imagedata r:id="rId153"/>
                </v:shape>
                <w10:wrap type="topAndBottom"/>
              </v:group>
            </w:pict>
          </mc:Fallback>
        </mc:AlternateContent>
      </w:r>
      <w:r>
        <w:rPr>
          <w:b/>
        </w:rPr>
        <w:t>Рис. 3.13.</w:t>
      </w:r>
      <w:r>
        <w:t xml:space="preserve"> Матрица ошибок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780483"/>
                <wp:effectExtent l="0" t="0" r="0" b="0"/>
                <wp:docPr id="123049" name="Group 1230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780483"/>
                          <a:chOff x="0" y="0"/>
                          <a:chExt cx="4062485" cy="3780483"/>
                        </a:xfrm>
                      </wpg:grpSpPr>
                      <wps:wsp>
                        <wps:cNvPr id="5263" name="Shape 5263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66" name="Shape 5266"/>
                        <wps:cNvSpPr/>
                        <wps:spPr>
                          <a:xfrm>
                            <a:off x="7622" y="3776663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33" name="Shape 157733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34" name="Shape 157734"/>
                        <wps:cNvSpPr/>
                        <wps:spPr>
                          <a:xfrm>
                            <a:off x="0" y="377284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69" name="Shape 5269"/>
                        <wps:cNvSpPr/>
                        <wps:spPr>
                          <a:xfrm>
                            <a:off x="3811" y="7640"/>
                            <a:ext cx="0" cy="37652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5203">
                                <a:moveTo>
                                  <a:pt x="0" y="0"/>
                                </a:moveTo>
                                <a:lnTo>
                                  <a:pt x="0" y="376520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35" name="Shape 157735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36" name="Shape 157736"/>
                        <wps:cNvSpPr/>
                        <wps:spPr>
                          <a:xfrm>
                            <a:off x="4054863" y="377284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72" name="Shape 5272"/>
                        <wps:cNvSpPr/>
                        <wps:spPr>
                          <a:xfrm>
                            <a:off x="4058674" y="7640"/>
                            <a:ext cx="0" cy="37652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5203">
                                <a:moveTo>
                                  <a:pt x="0" y="0"/>
                                </a:moveTo>
                                <a:lnTo>
                                  <a:pt x="0" y="376520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274" name="Picture 5274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39"/>
                            <a:ext cx="4047241" cy="37652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3049" style="width:319.881pt;height:297.676pt;mso-position-horizontal-relative:char;mso-position-vertical-relative:line" coordsize="40624,37804">
                <v:shape id="Shape 5263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5266" style="position:absolute;width:40472;height:0;left:76;top:37766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37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38" style="position:absolute;width:91;height:91;left:0;top:37728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269" style="position:absolute;width:0;height:37652;left:38;top:76;" coordsize="0,3765203" path="m0,0l0,3765203">
                  <v:stroke weight="0.600151pt" endcap="flat" dashstyle="1 1" joinstyle="bevel" on="true" color="#c0c0c0"/>
                  <v:fill on="false" color="#000000" opacity="0"/>
                </v:shape>
                <v:shape id="Shape 157739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40" style="position:absolute;width:91;height:91;left:40548;top:37728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272" style="position:absolute;width:0;height:37652;left:40586;top:76;" coordsize="0,3765203" path="m0,0l0,3765203">
                  <v:stroke weight="0.600151pt" endcap="flat" dashstyle="1 1" joinstyle="bevel" on="true" color="#c0c0c0"/>
                  <v:fill on="false" color="#000000" opacity="0"/>
                </v:shape>
                <v:shape id="Picture 5274" style="position:absolute;width:40472;height:37652;left:76;top:76;" filled="f">
                  <v:imagedata r:id="rId155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3.14.</w:t>
      </w:r>
      <w:r>
        <w:t xml:space="preserve"> ROC-кривые для каждой возрастной групп. FPR (False Positive Rate) — доля ошибочных положительных классификаций (специфичность алгоритма); TPR (True Positive Rate) — доля пр</w:t>
      </w:r>
      <w:r>
        <w:t>авильных положительных классификаций (чувствительность алгоритма)</w:t>
      </w:r>
    </w:p>
    <w:p w:rsidR="004B6076" w:rsidRDefault="009E1091">
      <w:pPr>
        <w:ind w:left="-5" w:right="22"/>
      </w:pPr>
      <w:r>
        <w:t>Матрица ошибок (см. рис. 3.13) и ROC-кривые (см. рис. 3.14) наглядно иллюстрируют то, что построенная модель достаточно точно (100%) классифицирует объекты, которые принадлежат к 1–3-й групп</w:t>
      </w:r>
      <w:r>
        <w:t>е (то есть индивидов до 20 лет), и лиц старше 60 лет. Объекты 4-й (90%) и 5-й (92%) возрастных групп немного сложнее поддаются кластеризации, однако точность классификации данных групп также достаточно высокая. Четкая градация данных групп является отображ</w:t>
      </w:r>
      <w:r>
        <w:t>ением фундаментальных процессов постнатального онтогенеза, происходящих в костно-хрящевой системе. Стадия созревания (группы 1–3) сменяется стадией стабилизации (группа 4) и завершается инволютивными преобразованиями (группы 5–7). Наименьшая точность зафик</w:t>
      </w:r>
      <w:r>
        <w:t xml:space="preserve">сирована в возрастной группе 7 (≥75 лет). Подобное обстоятельство закономерно, так как в данном возрасте состояние тканей и органов обусловлено не только возрастной инволюцией, но и результирующим воздействием массы привходящих факторов, имеющих к данному </w:t>
      </w:r>
      <w:r>
        <w:t>возрасту выраженный кумулятивный эффект (болезни, прием лекарственных препаратов, вредные привычки, питание, образ жизни и т.д.).</w:t>
      </w:r>
    </w:p>
    <w:p w:rsidR="004B6076" w:rsidRDefault="009E1091">
      <w:pPr>
        <w:spacing w:after="0"/>
        <w:ind w:left="-5" w:right="22"/>
      </w:pPr>
      <w:r>
        <w:t>Результаты классификации на группы, соответствующие десятилетнему интервалу, визуализированы на рис. 3.15 и 3.16. Полученные г</w:t>
      </w:r>
      <w:r>
        <w:t>рафические изображения демонстрируют достаточно четкую межклассовую дифференцировку. Используя алгоритм Random Forest, показавший наилучшую работу на рассматриваемых данных, была выполнена проверка качества модели, которая проводилась с использованием крос</w:t>
      </w:r>
      <w:r>
        <w:t>с-валидации на 5 фолдах, и построена матрица ошибок (рис. 3.17).</w:t>
      </w:r>
    </w:p>
    <w:p w:rsidR="004B6076" w:rsidRDefault="009E1091">
      <w:pPr>
        <w:spacing w:after="0"/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7590</wp:posOffset>
                </wp:positionV>
                <wp:extent cx="4062485" cy="3917702"/>
                <wp:effectExtent l="0" t="0" r="0" b="0"/>
                <wp:wrapTopAndBottom/>
                <wp:docPr id="123876" name="Group 1238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917702"/>
                          <a:chOff x="0" y="0"/>
                          <a:chExt cx="4062485" cy="3917702"/>
                        </a:xfrm>
                      </wpg:grpSpPr>
                      <wps:wsp>
                        <wps:cNvPr id="5304" name="Shape 5304"/>
                        <wps:cNvSpPr/>
                        <wps:spPr>
                          <a:xfrm>
                            <a:off x="7622" y="3913882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41" name="Shape 157741"/>
                        <wps:cNvSpPr/>
                        <wps:spPr>
                          <a:xfrm>
                            <a:off x="0" y="391006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7" name="Shape 5307"/>
                        <wps:cNvSpPr/>
                        <wps:spPr>
                          <a:xfrm>
                            <a:off x="3811" y="50"/>
                            <a:ext cx="0" cy="3910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10013">
                                <a:moveTo>
                                  <a:pt x="0" y="0"/>
                                </a:moveTo>
                                <a:lnTo>
                                  <a:pt x="0" y="391001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42" name="Shape 157742"/>
                        <wps:cNvSpPr/>
                        <wps:spPr>
                          <a:xfrm>
                            <a:off x="4054863" y="391006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10" name="Shape 5310"/>
                        <wps:cNvSpPr/>
                        <wps:spPr>
                          <a:xfrm>
                            <a:off x="4058674" y="50"/>
                            <a:ext cx="0" cy="3910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10013">
                                <a:moveTo>
                                  <a:pt x="0" y="0"/>
                                </a:moveTo>
                                <a:lnTo>
                                  <a:pt x="0" y="3910013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312" name="Picture 5312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0"/>
                            <a:ext cx="4047241" cy="391004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3876" style="width:319.881pt;height:308.48pt;position:absolute;mso-position-horizontal-relative:page;mso-position-horizontal:absolute;margin-left:4.80121pt;mso-position-vertical-relative:page;margin-top:0.597656pt;" coordsize="40624,39177">
                <v:shape id="Shape 5304" style="position:absolute;width:40472;height:0;left:76;top:391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43" style="position:absolute;width:91;height:91;left:0;top:3910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307" style="position:absolute;width:0;height:39100;left:38;top:0;" coordsize="0,3910013" path="m0,0l0,3910013">
                  <v:stroke weight="0.600151pt" endcap="flat" dashstyle="1 1" joinstyle="bevel" on="true" color="#c0c0c0"/>
                  <v:fill on="false" color="#000000" opacity="0"/>
                </v:shape>
                <v:shape id="Shape 157744" style="position:absolute;width:91;height:91;left:40548;top:3910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310" style="position:absolute;width:0;height:39100;left:40586;top:0;" coordsize="0,3910013" path="m0,0l0,3910013">
                  <v:stroke weight="0.600151pt" endcap="flat" dashstyle="1 1" joinstyle="bevel" on="true" color="#c0c0c0"/>
                  <v:fill on="false" color="#000000" opacity="0"/>
                </v:shape>
                <v:shape id="Picture 5312" style="position:absolute;width:40472;height:39100;left:76;top:0;" filled="f">
                  <v:imagedata r:id="rId157"/>
                </v:shape>
                <w10:wrap type="topAndBottom"/>
              </v:group>
            </w:pict>
          </mc:Fallback>
        </mc:AlternateContent>
      </w:r>
      <w:r>
        <w:rPr>
          <w:b/>
        </w:rPr>
        <w:t>Рис. 3.15.</w:t>
      </w:r>
      <w:r>
        <w:t xml:space="preserve"> Двухмерное представление исходных данных с использованием алгоритма машинного обучения со стохастическим вложением соседей с t-распределением после отбора признаков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4024412"/>
                <wp:effectExtent l="0" t="0" r="0" b="0"/>
                <wp:docPr id="123879" name="Group 1238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4024412"/>
                          <a:chOff x="0" y="0"/>
                          <a:chExt cx="4062485" cy="4024412"/>
                        </a:xfrm>
                      </wpg:grpSpPr>
                      <wps:wsp>
                        <wps:cNvPr id="5318" name="Shape 5318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21" name="Shape 5321"/>
                        <wps:cNvSpPr/>
                        <wps:spPr>
                          <a:xfrm>
                            <a:off x="7622" y="4020592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45" name="Shape 15774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46" name="Shape 157746"/>
                        <wps:cNvSpPr/>
                        <wps:spPr>
                          <a:xfrm>
                            <a:off x="0" y="401677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24" name="Shape 5324"/>
                        <wps:cNvSpPr/>
                        <wps:spPr>
                          <a:xfrm>
                            <a:off x="3811" y="7640"/>
                            <a:ext cx="0" cy="4009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09132">
                                <a:moveTo>
                                  <a:pt x="0" y="0"/>
                                </a:moveTo>
                                <a:lnTo>
                                  <a:pt x="0" y="400913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47" name="Shape 157747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48" name="Shape 157748"/>
                        <wps:cNvSpPr/>
                        <wps:spPr>
                          <a:xfrm>
                            <a:off x="4054863" y="401677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27" name="Shape 5327"/>
                        <wps:cNvSpPr/>
                        <wps:spPr>
                          <a:xfrm>
                            <a:off x="4058674" y="7640"/>
                            <a:ext cx="0" cy="4009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09132">
                                <a:moveTo>
                                  <a:pt x="0" y="0"/>
                                </a:moveTo>
                                <a:lnTo>
                                  <a:pt x="0" y="400913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329" name="Picture 5329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39"/>
                            <a:ext cx="4047241" cy="40091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3879" style="width:319.881pt;height:316.883pt;mso-position-horizontal-relative:char;mso-position-vertical-relative:line" coordsize="40624,40244">
                <v:shape id="Shape 5318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5321" style="position:absolute;width:40472;height:0;left:76;top:40205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49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50" style="position:absolute;width:91;height:91;left:0;top:40167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324" style="position:absolute;width:0;height:40091;left:38;top:76;" coordsize="0,4009132" path="m0,0l0,4009132">
                  <v:stroke weight="0.600151pt" endcap="flat" dashstyle="1 1" joinstyle="bevel" on="true" color="#c0c0c0"/>
                  <v:fill on="false" color="#000000" opacity="0"/>
                </v:shape>
                <v:shape id="Shape 157751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52" style="position:absolute;width:91;height:91;left:40548;top:40167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327" style="position:absolute;width:0;height:40091;left:40586;top:76;" coordsize="0,4009132" path="m0,0l0,4009132">
                  <v:stroke weight="0.600151pt" endcap="flat" dashstyle="1 1" joinstyle="bevel" on="true" color="#c0c0c0"/>
                  <v:fill on="false" color="#000000" opacity="0"/>
                </v:shape>
                <v:shape id="Picture 5329" style="position:absolute;width:40472;height:40091;left:76;top:76;" filled="f">
                  <v:imagedata r:id="rId159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3.16.</w:t>
      </w:r>
      <w:r>
        <w:t xml:space="preserve"> Д</w:t>
      </w:r>
      <w:r>
        <w:t>вухмерное представление исходных данных с использованием метода uMAP после отбора признаков</w:t>
      </w:r>
    </w:p>
    <w:p w:rsidR="004B6076" w:rsidRDefault="009E1091">
      <w:pPr>
        <w:ind w:left="-5" w:right="22"/>
      </w:pPr>
      <w:r>
        <w:rPr>
          <w:b/>
        </w:rPr>
        <w:t>Рис. 3.17.</w:t>
      </w:r>
      <w:r>
        <w:t xml:space="preserve"> Матрица ошибок</w:t>
      </w:r>
    </w:p>
    <w:p w:rsidR="004B6076" w:rsidRDefault="009E1091">
      <w:pPr>
        <w:ind w:left="-5" w:right="22"/>
      </w:pPr>
      <w:r>
        <w:t>Согласно данным матрицы ошибок, точность классификации 1-й, 3-й, 4-й, 5-й, 6-й, 8-й групп на валидационной выборке составляет 100%. Точнос</w:t>
      </w:r>
      <w:r>
        <w:t>ть классификации 2-й группы (11–20 лет) — 67%. Данный интервал включает в себя периоды активного</w:t>
      </w:r>
      <w:r>
        <w:t>​</w:t>
      </w:r>
      <w:r>
        <w:t xml:space="preserve"> </w:t>
      </w:r>
      <w:r>
        <w:t>роста и развития всех органов и систем, период полового созревания, что влечет за собой неравномерность, неоднородность показателей. Следовательно, относитель</w:t>
      </w:r>
      <w:r>
        <w:t>но низкая точность связана с широтой возрастного диапазона данной группы. Также низкая точность зафиксирована для группы 7 — 43%. Динамика показателей в период от 61 до 70 лет обусловлена проявлениями ассоциированных с возрастом болезней, с одной стороны.</w:t>
      </w:r>
    </w:p>
    <w:p w:rsidR="004B6076" w:rsidRDefault="009E1091">
      <w:pPr>
        <w:ind w:left="-5" w:right="22"/>
      </w:pPr>
      <w:r>
        <w:t>С другой стороны, мы отмечали именно в данной декаде некоторое замедление возрастной трансформации. Это влечет за собой значительный разброс цифровых значений и, как прямое следствие, попадание в соседнюю, более старшую группу. Также следует признать закон</w:t>
      </w:r>
      <w:r>
        <w:t>омерным снижение точности установления возрастной группы у лиц старше 80 лет (группа 9) — 80%.</w:t>
      </w:r>
    </w:p>
    <w:p w:rsidR="004B6076" w:rsidRDefault="009E1091">
      <w:pPr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7640</wp:posOffset>
                </wp:positionV>
                <wp:extent cx="4062485" cy="4131072"/>
                <wp:effectExtent l="0" t="0" r="0" b="0"/>
                <wp:wrapTopAndBottom/>
                <wp:docPr id="124741" name="Group 1247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4131072"/>
                          <a:chOff x="0" y="0"/>
                          <a:chExt cx="4062485" cy="4131072"/>
                        </a:xfrm>
                      </wpg:grpSpPr>
                      <wps:wsp>
                        <wps:cNvPr id="5340" name="Shape 5340"/>
                        <wps:cNvSpPr/>
                        <wps:spPr>
                          <a:xfrm>
                            <a:off x="7622" y="4127252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53" name="Shape 157753"/>
                        <wps:cNvSpPr/>
                        <wps:spPr>
                          <a:xfrm>
                            <a:off x="0" y="412343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3" name="Shape 5343"/>
                        <wps:cNvSpPr/>
                        <wps:spPr>
                          <a:xfrm>
                            <a:off x="3811" y="0"/>
                            <a:ext cx="0" cy="412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23432">
                                <a:moveTo>
                                  <a:pt x="0" y="0"/>
                                </a:moveTo>
                                <a:lnTo>
                                  <a:pt x="0" y="412343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54" name="Shape 157754"/>
                        <wps:cNvSpPr/>
                        <wps:spPr>
                          <a:xfrm>
                            <a:off x="4054863" y="412343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" name="Shape 5346"/>
                        <wps:cNvSpPr/>
                        <wps:spPr>
                          <a:xfrm>
                            <a:off x="4058674" y="0"/>
                            <a:ext cx="0" cy="412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23432">
                                <a:moveTo>
                                  <a:pt x="0" y="0"/>
                                </a:moveTo>
                                <a:lnTo>
                                  <a:pt x="0" y="4123432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348" name="Picture 5348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25"/>
                            <a:ext cx="4047241" cy="41234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741" style="width:319.881pt;height:325.281pt;position:absolute;mso-position-horizontal-relative:page;mso-position-horizontal:absolute;margin-left:4.80121pt;mso-position-vertical-relative:page;margin-top:0.601563pt;" coordsize="40624,41310">
                <v:shape id="Shape 5340" style="position:absolute;width:40472;height:0;left:76;top:41272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55" style="position:absolute;width:91;height:91;left:0;top:41234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343" style="position:absolute;width:0;height:41234;left:38;top:0;" coordsize="0,4123432" path="m0,0l0,4123432">
                  <v:stroke weight="0.600151pt" endcap="flat" dashstyle="1 1" joinstyle="bevel" on="true" color="#c0c0c0"/>
                  <v:fill on="false" color="#000000" opacity="0"/>
                </v:shape>
                <v:shape id="Shape 157756" style="position:absolute;width:91;height:91;left:40548;top:41234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346" style="position:absolute;width:0;height:41234;left:40586;top:0;" coordsize="0,4123432" path="m0,0l0,4123432">
                  <v:stroke weight="0.600151pt" endcap="flat" dashstyle="1 1" joinstyle="bevel" on="true" color="#c0c0c0"/>
                  <v:fill on="false" color="#000000" opacity="0"/>
                </v:shape>
                <v:shape id="Picture 5348" style="position:absolute;width:40472;height:41234;left:76;top:0;" filled="f">
                  <v:imagedata r:id="rId161"/>
                </v:shape>
                <w10:wrap type="topAndBottom"/>
              </v:group>
            </w:pict>
          </mc:Fallback>
        </mc:AlternateContent>
      </w:r>
      <w:r>
        <w:t>Для анализа комплекса признаков мы использовали алгоритмы, позволяющие изучать нелинейные зависимости, например метод опорных векторов с правильно подобранным я</w:t>
      </w:r>
      <w:r>
        <w:t>дром, деревья решений и основанные на них методы, такие как Random Forest или Catboost.</w:t>
      </w:r>
    </w:p>
    <w:p w:rsidR="004B6076" w:rsidRDefault="009E1091">
      <w:pPr>
        <w:ind w:left="-5" w:right="22"/>
      </w:pPr>
      <w:r>
        <w:t>Для визуализации подобных данных методы t-SNE и алгоритма машинного обучения для нелинейного снижения размерности работают ожидаемо лучше классических методов, таких ка</w:t>
      </w:r>
      <w:r>
        <w:t>к, например, метода анализа основных компонентов (PCA – Principal Component Analysis), используемого в аналогичных работах и показавшего ощутимо менее информативный результат (точность классификации ±30 лет) [212]. Алгоритмы t-SNE и uMAP продемонстрировали</w:t>
      </w:r>
      <w:r>
        <w:t xml:space="preserve"> эффективность в отношении обнаружения скрытых структур в данной классификации групп и визуализации сложных наборов данных. Следует отметить их способность компенсировать нелинейные отклонения по измерениям.</w:t>
      </w:r>
    </w:p>
    <w:p w:rsidR="004B6076" w:rsidRDefault="009E1091">
      <w:pPr>
        <w:ind w:left="-5" w:right="22"/>
      </w:pPr>
      <w:r>
        <w:t>Использование современного метода uMAP в совокуп</w:t>
      </w:r>
      <w:r>
        <w:t>ности с уже зарекомендовавшим себя ранее t-SNE позволило нам получить более точные результаты: определение заданной возрастной группы со средней точностью до 87%. Данный результат подтверждает эффективность использованных в работе алгоритмов для решения по</w:t>
      </w:r>
      <w:r>
        <w:t>добного рода задач — классификации данных для судебно-медицинской диагностики возраста.</w:t>
      </w:r>
    </w:p>
    <w:p w:rsidR="004B6076" w:rsidRDefault="009E1091">
      <w:pPr>
        <w:ind w:left="-5" w:right="22"/>
      </w:pPr>
      <w:r>
        <w:t>На основании проведенного сравнительного анализа качества работы алгоритмов машинного обучения при определении возраста (метод опорных векторов, метод стохастического г</w:t>
      </w:r>
      <w:r>
        <w:t>радиента, дерево решений, метод ближайших соседей, наивный байесовский классификатор, многослойная нейронная сеть и алгоритм случайного леса), обоснования выбора наиболее подходящих классификаторов для заявленной цели, анализа исходных данных и их предобра</w:t>
      </w:r>
      <w:r>
        <w:t>ботки представлены итоговый алгоритм классификации и разработанное на его основе веб-приложение для классификации возраста объекта.</w:t>
      </w:r>
    </w:p>
    <w:p w:rsidR="004B6076" w:rsidRDefault="009E1091">
      <w:pPr>
        <w:ind w:left="-5" w:right="22"/>
      </w:pPr>
      <w:r>
        <w:rPr>
          <w:b/>
        </w:rPr>
        <w:t>Рис. 3.18.</w:t>
      </w:r>
      <w:r>
        <w:t xml:space="preserve"> Скриншот страницы веб-приложения для классификации возраста объекта</w:t>
      </w:r>
    </w:p>
    <w:p w:rsidR="004B6076" w:rsidRDefault="009E1091">
      <w:pPr>
        <w:spacing w:after="304"/>
        <w:ind w:left="-5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page">
                  <wp:posOffset>60975</wp:posOffset>
                </wp:positionH>
                <wp:positionV relativeFrom="page">
                  <wp:posOffset>7590</wp:posOffset>
                </wp:positionV>
                <wp:extent cx="4062485" cy="2759125"/>
                <wp:effectExtent l="0" t="0" r="0" b="0"/>
                <wp:wrapTopAndBottom/>
                <wp:docPr id="123035" name="Group 1230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759125"/>
                          <a:chOff x="0" y="0"/>
                          <a:chExt cx="4062485" cy="2759125"/>
                        </a:xfrm>
                      </wpg:grpSpPr>
                      <wps:wsp>
                        <wps:cNvPr id="5388" name="Shape 5388"/>
                        <wps:cNvSpPr/>
                        <wps:spPr>
                          <a:xfrm>
                            <a:off x="7622" y="2755305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57" name="Shape 157757"/>
                        <wps:cNvSpPr/>
                        <wps:spPr>
                          <a:xfrm>
                            <a:off x="0" y="275153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91" name="Shape 5391"/>
                        <wps:cNvSpPr/>
                        <wps:spPr>
                          <a:xfrm>
                            <a:off x="3811" y="0"/>
                            <a:ext cx="0" cy="2751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51535">
                                <a:moveTo>
                                  <a:pt x="0" y="0"/>
                                </a:moveTo>
                                <a:lnTo>
                                  <a:pt x="0" y="275153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58" name="Shape 157758"/>
                        <wps:cNvSpPr/>
                        <wps:spPr>
                          <a:xfrm>
                            <a:off x="4054863" y="275153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94" name="Shape 5394"/>
                        <wps:cNvSpPr/>
                        <wps:spPr>
                          <a:xfrm>
                            <a:off x="4058674" y="0"/>
                            <a:ext cx="0" cy="2751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51535">
                                <a:moveTo>
                                  <a:pt x="0" y="0"/>
                                </a:moveTo>
                                <a:lnTo>
                                  <a:pt x="0" y="2751535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396" name="Picture 5396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0"/>
                            <a:ext cx="4047241" cy="27515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3035" style="width:319.881pt;height:217.254pt;position:absolute;mso-position-horizontal-relative:page;mso-position-horizontal:absolute;margin-left:4.80121pt;mso-position-vertical-relative:page;margin-top:0.597656pt;" coordsize="40624,27591">
                <v:shape id="Shape 5388" style="position:absolute;width:40472;height:0;left:76;top:27553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59" style="position:absolute;width:91;height:91;left:0;top:2751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391" style="position:absolute;width:0;height:27515;left:38;top:0;" coordsize="0,2751535" path="m0,0l0,2751535">
                  <v:stroke weight="0.600151pt" endcap="flat" dashstyle="1 1" joinstyle="bevel" on="true" color="#c0c0c0"/>
                  <v:fill on="false" color="#000000" opacity="0"/>
                </v:shape>
                <v:shape id="Shape 157760" style="position:absolute;width:91;height:91;left:40548;top:27515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394" style="position:absolute;width:0;height:27515;left:40586;top:0;" coordsize="0,2751535" path="m0,0l0,2751535">
                  <v:stroke weight="0.600151pt" endcap="flat" dashstyle="1 1" joinstyle="bevel" on="true" color="#c0c0c0"/>
                  <v:fill on="false" color="#000000" opacity="0"/>
                </v:shape>
                <v:shape id="Picture 5396" style="position:absolute;width:40472;height:27515;left:76;top:0;" filled="f">
                  <v:imagedata r:id="rId163"/>
                </v:shape>
                <w10:wrap type="topAndBottom"/>
              </v:group>
            </w:pict>
          </mc:Fallback>
        </mc:AlternateContent>
      </w:r>
      <w:r>
        <w:t>Основная цель приложения состоит в том, чтобы построить надежную модель прогнозирования возрастного интервала. Оптимальными в данном случае являются методики, предлагающие точные гибридные классификаторы со встроенной регуляризацией, включающие методы вычи</w:t>
      </w:r>
      <w:r>
        <w:t>слительного интеллекта. Приложение функционирует на сервере. Для того чтобы воспользоваться его функционалом, пользователю достаточно иметь устройство, имеющее доступ в интернет (компьютер, телефон, планшет). Приложение реализовано с использованием языка п</w:t>
      </w:r>
      <w:r>
        <w:t>рограммирования Python 3. Среди использованных библиотек — sklearn, streamlit, matplotlib, seaborn.</w:t>
      </w:r>
    </w:p>
    <w:p w:rsidR="004B6076" w:rsidRDefault="009E1091">
      <w:pPr>
        <w:pStyle w:val="Heading2"/>
        <w:ind w:left="-5"/>
      </w:pPr>
      <w:r>
        <w:t>3.2. Структурно-функциональная организация программно-аппаратного комплекса для решения задачи установления возраста идентифицируемого объекта</w:t>
      </w:r>
    </w:p>
    <w:p w:rsidR="004B6076" w:rsidRDefault="009E1091">
      <w:pPr>
        <w:spacing w:after="13"/>
        <w:ind w:left="-5" w:right="22"/>
      </w:pPr>
      <w:r>
        <w:t>Схема генерал</w:t>
      </w:r>
      <w:r>
        <w:t>изованного алгоритма решения задачи диагностики возрастного интервала неопознанного лица дана на рис. 3.19.</w:t>
      </w:r>
    </w:p>
    <w:p w:rsidR="004B6076" w:rsidRDefault="009E1091">
      <w:pPr>
        <w:spacing w:after="0" w:line="259" w:lineRule="auto"/>
        <w:ind w:left="0" w:firstLine="0"/>
      </w:pPr>
      <w:r>
        <w:rPr>
          <w:noProof/>
        </w:rPr>
        <w:drawing>
          <wp:inline distT="0" distB="0" distL="0" distR="0">
            <wp:extent cx="4001509" cy="5144798"/>
            <wp:effectExtent l="0" t="0" r="0" b="0"/>
            <wp:docPr id="5410" name="Picture 54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0" name="Picture 5410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001509" cy="514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76" w:rsidRDefault="004B6076">
      <w:pPr>
        <w:sectPr w:rsidR="004B6076">
          <w:headerReference w:type="even" r:id="rId165"/>
          <w:headerReference w:type="default" r:id="rId166"/>
          <w:headerReference w:type="first" r:id="rId167"/>
          <w:pgSz w:w="11900" w:h="16840"/>
          <w:pgMar w:top="4709" w:right="95" w:bottom="128" w:left="96" w:header="720" w:footer="720" w:gutter="0"/>
          <w:cols w:space="720"/>
        </w:sectPr>
      </w:pPr>
    </w:p>
    <w:p w:rsidR="004B6076" w:rsidRDefault="009E1091">
      <w:pPr>
        <w:spacing w:after="80"/>
        <w:ind w:left="-5" w:right="22"/>
      </w:pPr>
      <w:r>
        <w:rPr>
          <w:b/>
        </w:rPr>
        <w:t>Рис. 3.19.</w:t>
      </w:r>
      <w:r>
        <w:t xml:space="preserve"> Генерализованный алгоритм решения задачи диагностики возраста неопознанного лица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510"/>
                <wp:effectExtent l="0" t="0" r="0" b="0"/>
                <wp:docPr id="124963" name="Group 1249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510"/>
                          <a:chOff x="0" y="0"/>
                          <a:chExt cx="30488" cy="30510"/>
                        </a:xfrm>
                      </wpg:grpSpPr>
                      <wps:wsp>
                        <wps:cNvPr id="5418" name="Shape 5418"/>
                        <wps:cNvSpPr/>
                        <wps:spPr>
                          <a:xfrm>
                            <a:off x="0" y="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4963" style="width:2.40061pt;height:2.40234pt;mso-position-horizontal-relative:char;mso-position-vertical-relative:line" coordsize="304,305">
                <v:shape id="Shape 5418" style="position:absolute;width:304;height:305;left:0;top:0;" coordsize="30488,30510" path="m15244,0c23663,0,30488,6846,30488,15280c30488,23664,23663,30510,15244,30510c6825,30510,0,23664,0,15280c0,6846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310" w:right="22"/>
      </w:pPr>
      <w:r>
        <w:t>Этап 1 — введение первоначальных сведений. Первоначальными сведениями являются сформированные совокупности числовых значений, полученных на основании лабораторно-инструментального исследования представленных объектов. Это могут быть результаты, например, г</w:t>
      </w:r>
      <w:r>
        <w:t>истоморфометрического исследования, а также качественные и/или количественные характеристики признаков в виде семантического описания, данного экспертом.</w:t>
      </w:r>
    </w:p>
    <w:p w:rsidR="004B6076" w:rsidRDefault="009E1091">
      <w:pPr>
        <w:spacing w:after="0"/>
        <w:ind w:left="310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-2331</wp:posOffset>
                </wp:positionV>
                <wp:extent cx="30488" cy="320129"/>
                <wp:effectExtent l="0" t="0" r="0" b="0"/>
                <wp:wrapSquare wrapText="bothSides"/>
                <wp:docPr id="124964" name="Group 1249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20129"/>
                          <a:chOff x="0" y="0"/>
                          <a:chExt cx="30488" cy="320129"/>
                        </a:xfrm>
                      </wpg:grpSpPr>
                      <wps:wsp>
                        <wps:cNvPr id="5423" name="Shape 5423"/>
                        <wps:cNvSpPr/>
                        <wps:spPr>
                          <a:xfrm>
                            <a:off x="0" y="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26" name="Shape 5426"/>
                        <wps:cNvSpPr/>
                        <wps:spPr>
                          <a:xfrm>
                            <a:off x="0" y="28962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964" style="width:2.40061pt;height:25.207pt;position:absolute;mso-position-horizontal-relative:text;mso-position-horizontal:absolute;margin-left:15.0038pt;mso-position-vertical-relative:text;margin-top:-0.183594pt;" coordsize="304,3201">
                <v:shape id="Shape 5423" style="position:absolute;width:304;height:304;left:0;top:0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  <v:shape id="Shape 5426" style="position:absolute;width:304;height:305;left:0;top:2896;" coordsize="30488,30510" path="m15244,0c23663,0,30488,6846,30488,15230c30488,23664,23663,30510,15244,30510c6825,30510,0,23664,0,1523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t>Этап 2 — группировка введенных признаков по заданным критериям, обобщение на основании схожести крите</w:t>
      </w:r>
      <w:r>
        <w:t>риев; статистический анализ (при необходимости).</w:t>
      </w:r>
    </w:p>
    <w:p w:rsidR="004B6076" w:rsidRDefault="009E1091">
      <w:pPr>
        <w:spacing w:after="12"/>
        <w:ind w:left="310" w:right="22"/>
      </w:pPr>
      <w:r>
        <w:t xml:space="preserve">Этап 3 — оценка достаточности данных для реализации имеющихся в арсенале методов обработки; предварительная фильтрация, нахождение и выбраковка предположительно недостоверных цифровых значений анализируемых </w:t>
      </w:r>
      <w:r>
        <w:t>признаков и рациональный подбор для последующей обработки метода(ов) и алгоритмов машинного обучения. Для анализа исходных данных и их предобработки возможно использование различных подходов: анализ корреляционных матриц, ранжирование</w:t>
      </w:r>
      <w:r>
        <w:t>​</w:t>
      </w:r>
      <w:r>
        <w:t xml:space="preserve"> </w:t>
      </w:r>
      <w:r>
        <w:t>посредством ММО.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460"/>
                <wp:effectExtent l="0" t="0" r="0" b="0"/>
                <wp:docPr id="124966" name="Group 1249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460"/>
                          <a:chOff x="0" y="0"/>
                          <a:chExt cx="30488" cy="30460"/>
                        </a:xfrm>
                      </wpg:grpSpPr>
                      <wps:wsp>
                        <wps:cNvPr id="5434" name="Shape 5434"/>
                        <wps:cNvSpPr/>
                        <wps:spPr>
                          <a:xfrm>
                            <a:off x="0" y="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4966" style="width:2.40061pt;height:2.39844pt;mso-position-horizontal-relative:char;mso-position-vertical-relative:line" coordsize="304,304">
                <v:shape id="Shape 5434" style="position:absolute;width:304;height:304;left:0;top:0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310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1011337</wp:posOffset>
                </wp:positionV>
                <wp:extent cx="30488" cy="754559"/>
                <wp:effectExtent l="0" t="0" r="0" b="0"/>
                <wp:wrapSquare wrapText="bothSides"/>
                <wp:docPr id="124968" name="Group 1249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754559"/>
                          <a:chOff x="0" y="0"/>
                          <a:chExt cx="30488" cy="754559"/>
                        </a:xfrm>
                      </wpg:grpSpPr>
                      <wps:wsp>
                        <wps:cNvPr id="5442" name="Shape 5442"/>
                        <wps:cNvSpPr/>
                        <wps:spPr>
                          <a:xfrm>
                            <a:off x="0" y="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45" name="Shape 5445"/>
                        <wps:cNvSpPr/>
                        <wps:spPr>
                          <a:xfrm>
                            <a:off x="0" y="28962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48" name="Shape 5448"/>
                        <wps:cNvSpPr/>
                        <wps:spPr>
                          <a:xfrm>
                            <a:off x="0" y="579239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50" name="Shape 5450"/>
                        <wps:cNvSpPr/>
                        <wps:spPr>
                          <a:xfrm>
                            <a:off x="0" y="724049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968" style="width:2.40061pt;height:59.4141pt;position:absolute;mso-position-horizontal-relative:text;mso-position-horizontal:absolute;margin-left:15.0038pt;mso-position-vertical-relative:text;margin-top:79.6328pt;" coordsize="304,7545">
                <v:shape id="Shape 5442" style="position:absolute;width:304;height:304;left:0;top:0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  <v:shape id="Shape 5445" style="position:absolute;width:304;height:305;left:0;top:2896;" coordsize="30488,30510" path="m15244,0c23663,0,30488,6846,30488,15230c30488,23664,23663,30510,15244,30510c6825,30510,0,23664,0,15230c0,6846,6825,0,15244,0x">
                  <v:stroke weight="0.600151pt" endcap="square" joinstyle="bevel" on="true" color="#000000"/>
                  <v:fill on="true" color="#000000"/>
                </v:shape>
                <v:shape id="Shape 5448" style="position:absolute;width:304;height:305;left:0;top:5792;" coordsize="30488,30510" path="m15244,0c23663,0,30488,6846,30488,15280c30488,23664,23663,30510,15244,30510c6825,30510,0,23664,0,15280c0,6846,6825,0,15244,0x">
                  <v:stroke weight="0.600151pt" endcap="square" joinstyle="bevel" on="true" color="#000000"/>
                  <v:fill on="true" color="#000000"/>
                </v:shape>
                <v:shape id="Shape 5450" style="position:absolute;width:304;height:305;left:0;top:7240;" coordsize="30488,30510" path="m15244,0c23663,0,30488,6846,30488,15280c30488,23664,23663,30510,15244,30510c6825,30510,0,23664,0,1528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t>Этап 4 — на основе результатов предварительного анализа (этап 3), учитывая объем, достаточность и достоверность имеющихся данных, реализуется отбор метода последующего анализа данных. Выбор метода обработки данных, частных способов и алгоритмов анализа осу</w:t>
      </w:r>
      <w:r>
        <w:t>ществляется с позиций максимальной точности и достоверности итогового результата с учетом рациональности применения для конкретных информационных значений. Основными методами обработки информации являются статический корреляционный анализ, нечеткий логичес</w:t>
      </w:r>
      <w:r>
        <w:t>кий вывод, ММО и экспертная оценка. Для отбора метода принципиальное значение имеют «наличие и достаточность априорной эталонной информации о диапазоне, статистических распределениях и иных необходимых параметрах исходных значений признаков в эталонной выб</w:t>
      </w:r>
      <w:r>
        <w:t>орке». Этап 5 — независимое построение целевой функции на базе каждого из ранее скомплектованных на этапе двух выборок исходных значений. Целевая функция устанавливает возраст / возрастной интервал.</w:t>
      </w:r>
    </w:p>
    <w:p w:rsidR="004B6076" w:rsidRDefault="009E1091">
      <w:pPr>
        <w:spacing w:after="0"/>
        <w:ind w:left="310" w:right="22"/>
      </w:pPr>
      <w:r>
        <w:t>Этап 6 — оценивается достоверность результата посредством</w:t>
      </w:r>
      <w:r>
        <w:t xml:space="preserve"> анализа входной информации (качество, объем первоначальных данных) и адекватности имеющейся эталонной выборки по анализируемой группе показателей.</w:t>
      </w:r>
    </w:p>
    <w:p w:rsidR="004B6076" w:rsidRDefault="009E1091">
      <w:pPr>
        <w:ind w:left="310" w:right="111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1445865</wp:posOffset>
                </wp:positionV>
                <wp:extent cx="30488" cy="30460"/>
                <wp:effectExtent l="0" t="0" r="0" b="0"/>
                <wp:wrapSquare wrapText="bothSides"/>
                <wp:docPr id="124969" name="Group 1249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460"/>
                          <a:chOff x="0" y="0"/>
                          <a:chExt cx="30488" cy="30460"/>
                        </a:xfrm>
                      </wpg:grpSpPr>
                      <wps:wsp>
                        <wps:cNvPr id="5462" name="Shape 5462"/>
                        <wps:cNvSpPr/>
                        <wps:spPr>
                          <a:xfrm>
                            <a:off x="0" y="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969" style="width:2.40061pt;height:2.39844pt;position:absolute;mso-position-horizontal-relative:text;mso-position-horizontal:absolute;margin-left:15.0038pt;mso-position-vertical-relative:text;margin-top:113.848pt;" coordsize="304,304">
                <v:shape id="Shape 5462" style="position:absolute;width:304;height:304;left:0;top:0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t>Результаты 2–6-го этапа позволяют выработать целевой вектор признаков для последующей обработки на этапе 7. Этап 7 — комплексирование данных и формирование результата обработки с оценкой итоговой достоверности. Данный этап реализуется посредством первонача</w:t>
      </w:r>
      <w:r>
        <w:t>льной группы действия по формулировке вывода для каждой группы показателей</w:t>
      </w:r>
      <w:r>
        <w:t>​</w:t>
      </w:r>
      <w:r>
        <w:t xml:space="preserve"> </w:t>
      </w:r>
      <w:r>
        <w:t>о максимально достоверном значении из всех рассчитанных на этапе шести промежуточных оценок и расчете степени значимости. В данном случае фактически производится отбор признака/при</w:t>
      </w:r>
      <w:r>
        <w:t>знаков, имеющих максимально достоверное значение. Сортировка и выбор осуществляются посредством решающего правила, исходными данными для которого являются априорные степени значимости каждой совокупности типов данных и полученные в процессе расчета доверит</w:t>
      </w:r>
      <w:r>
        <w:t>ельные интервалы рассчитанных значений признаков. Вторая группа действий данного этапа производит итоговое уточнение через привлечение дополнительных параметров с низким уровнем значимости. В данном случае происходит дополнительная корректировка возрастног</w:t>
      </w:r>
      <w:r>
        <w:t>о интервала с помощью вычисления взвешенной уточняющей поправки. Этап 8 — формирование отчетной формы о результатах выполненного анализа с указанием достоверности результирующего значения возрастного интервала.</w:t>
      </w:r>
    </w:p>
    <w:p w:rsidR="004B6076" w:rsidRDefault="009E1091">
      <w:pPr>
        <w:spacing w:after="0"/>
        <w:ind w:left="-5" w:right="22"/>
      </w:pPr>
      <w:r>
        <w:t xml:space="preserve">Реализация вышеописанного алгоритма возможна </w:t>
      </w:r>
      <w:r>
        <w:t>в программно-аппаратном комплексе, структурно-функциональная организация которого представлена на рис. 3.20.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2126506"/>
                <wp:effectExtent l="0" t="0" r="0" b="0"/>
                <wp:docPr id="124970" name="Group 1249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2126506"/>
                          <a:chOff x="0" y="0"/>
                          <a:chExt cx="4062485" cy="2126506"/>
                        </a:xfrm>
                      </wpg:grpSpPr>
                      <wps:wsp>
                        <wps:cNvPr id="5469" name="Shape 5469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72" name="Shape 5472"/>
                        <wps:cNvSpPr/>
                        <wps:spPr>
                          <a:xfrm>
                            <a:off x="7622" y="2122736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61" name="Shape 157761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62" name="Shape 157762"/>
                        <wps:cNvSpPr/>
                        <wps:spPr>
                          <a:xfrm>
                            <a:off x="0" y="211891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75" name="Shape 5475"/>
                        <wps:cNvSpPr/>
                        <wps:spPr>
                          <a:xfrm>
                            <a:off x="3811" y="7640"/>
                            <a:ext cx="0" cy="21112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1276">
                                <a:moveTo>
                                  <a:pt x="0" y="0"/>
                                </a:moveTo>
                                <a:lnTo>
                                  <a:pt x="0" y="211127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63" name="Shape 157763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64" name="Shape 157764"/>
                        <wps:cNvSpPr/>
                        <wps:spPr>
                          <a:xfrm>
                            <a:off x="4054863" y="211891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78" name="Shape 5478"/>
                        <wps:cNvSpPr/>
                        <wps:spPr>
                          <a:xfrm>
                            <a:off x="4058674" y="7640"/>
                            <a:ext cx="0" cy="21112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1276">
                                <a:moveTo>
                                  <a:pt x="0" y="0"/>
                                </a:moveTo>
                                <a:lnTo>
                                  <a:pt x="0" y="2111276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480" name="Picture 5480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40"/>
                            <a:ext cx="4047241" cy="21112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4970" style="width:319.881pt;height:167.441pt;mso-position-horizontal-relative:char;mso-position-vertical-relative:line" coordsize="40624,21265">
                <v:shape id="Shape 5469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5472" style="position:absolute;width:40472;height:0;left:76;top:21227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65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66" style="position:absolute;width:91;height:91;left:0;top:21189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475" style="position:absolute;width:0;height:21112;left:38;top:76;" coordsize="0,2111276" path="m0,0l0,2111276">
                  <v:stroke weight="0.600151pt" endcap="flat" dashstyle="1 1" joinstyle="bevel" on="true" color="#c0c0c0"/>
                  <v:fill on="false" color="#000000" opacity="0"/>
                </v:shape>
                <v:shape id="Shape 157767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68" style="position:absolute;width:91;height:91;left:40548;top:21189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478" style="position:absolute;width:0;height:21112;left:40586;top:76;" coordsize="0,2111276" path="m0,0l0,2111276">
                  <v:stroke weight="0.600151pt" endcap="flat" dashstyle="1 1" joinstyle="bevel" on="true" color="#c0c0c0"/>
                  <v:fill on="false" color="#000000" opacity="0"/>
                </v:shape>
                <v:shape id="Picture 5480" style="position:absolute;width:40472;height:21112;left:76;top:76;" filled="f">
                  <v:imagedata r:id="rId169"/>
                </v:shape>
              </v:group>
            </w:pict>
          </mc:Fallback>
        </mc:AlternateContent>
      </w:r>
    </w:p>
    <w:p w:rsidR="004B6076" w:rsidRDefault="009E1091">
      <w:pPr>
        <w:ind w:left="-5" w:right="22"/>
      </w:pPr>
      <w:r>
        <w:rPr>
          <w:b/>
        </w:rPr>
        <w:t>Рис. 3.20.</w:t>
      </w:r>
      <w:r>
        <w:t xml:space="preserve"> Структурно-функциональная организация программно-аппаратного комплекса для реализации интеллектуальных методов оценки возраста</w:t>
      </w:r>
    </w:p>
    <w:p w:rsidR="004B6076" w:rsidRDefault="009E1091">
      <w:pPr>
        <w:spacing w:after="80"/>
        <w:ind w:left="-5" w:right="22"/>
      </w:pPr>
      <w:r>
        <w:t>Ключевы</w:t>
      </w:r>
      <w:r>
        <w:t>е модули программно-аппаратного комплекса: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460"/>
                <wp:effectExtent l="0" t="0" r="0" b="0"/>
                <wp:docPr id="124971" name="Group 1249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460"/>
                          <a:chOff x="0" y="0"/>
                          <a:chExt cx="30488" cy="30460"/>
                        </a:xfrm>
                      </wpg:grpSpPr>
                      <wps:wsp>
                        <wps:cNvPr id="5485" name="Shape 5485"/>
                        <wps:cNvSpPr/>
                        <wps:spPr>
                          <a:xfrm>
                            <a:off x="0" y="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4971" style="width:2.40061pt;height:2.39844pt;mso-position-horizontal-relative:char;mso-position-vertical-relative:line" coordsize="304,304">
                <v:shape id="Shape 5485" style="position:absolute;width:304;height:304;left:0;top:0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310" w:right="22"/>
      </w:pPr>
      <w:r>
        <w:t>центральный элемент — «вычислительный комплекс», осуществляющий управление и контроль и выполняющий базовые процедуры вычисления. С учетом назначения и в зависимости от поставленной цели в качестве данного элеме</w:t>
      </w:r>
      <w:r>
        <w:t>нта может использоваться вычислительное устройство, способное обеспечить реализацию специального программного обеспечения</w:t>
      </w:r>
    </w:p>
    <w:p w:rsidR="004B6076" w:rsidRDefault="009E1091">
      <w:pPr>
        <w:ind w:left="310" w:right="187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142478</wp:posOffset>
                </wp:positionV>
                <wp:extent cx="30488" cy="30510"/>
                <wp:effectExtent l="0" t="0" r="0" b="0"/>
                <wp:wrapSquare wrapText="bothSides"/>
                <wp:docPr id="124972" name="Group 1249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510"/>
                          <a:chOff x="0" y="0"/>
                          <a:chExt cx="30488" cy="30510"/>
                        </a:xfrm>
                      </wpg:grpSpPr>
                      <wps:wsp>
                        <wps:cNvPr id="5490" name="Shape 5490"/>
                        <wps:cNvSpPr/>
                        <wps:spPr>
                          <a:xfrm>
                            <a:off x="0" y="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972" style="width:2.40061pt;height:2.40234pt;position:absolute;mso-position-horizontal-relative:text;mso-position-horizontal:absolute;margin-left:15.0038pt;mso-position-vertical-relative:text;margin-top:11.2188pt;" coordsize="304,305">
                <v:shape id="Shape 5490" style="position:absolute;width:304;height:305;left:0;top:0;" coordsize="30488,30510" path="m15244,0c23663,0,30488,6846,30488,15280c30488,23664,23663,30510,15244,30510c6825,30510,0,23664,0,1528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576957</wp:posOffset>
                </wp:positionV>
                <wp:extent cx="30488" cy="30460"/>
                <wp:effectExtent l="0" t="0" r="0" b="0"/>
                <wp:wrapSquare wrapText="bothSides"/>
                <wp:docPr id="124973" name="Group 1249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460"/>
                          <a:chOff x="0" y="0"/>
                          <a:chExt cx="30488" cy="30460"/>
                        </a:xfrm>
                      </wpg:grpSpPr>
                      <wps:wsp>
                        <wps:cNvPr id="5494" name="Shape 5494"/>
                        <wps:cNvSpPr/>
                        <wps:spPr>
                          <a:xfrm>
                            <a:off x="0" y="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973" style="width:2.40061pt;height:2.39844pt;position:absolute;mso-position-horizontal-relative:text;mso-position-horizontal:absolute;margin-left:15.0038pt;mso-position-vertical-relative:text;margin-top:45.4297pt;" coordsize="304,304">
                <v:shape id="Shape 5494" style="position:absolute;width:304;height:304;left:0;top:0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1011386</wp:posOffset>
                </wp:positionV>
                <wp:extent cx="30488" cy="30510"/>
                <wp:effectExtent l="0" t="0" r="0" b="0"/>
                <wp:wrapSquare wrapText="bothSides"/>
                <wp:docPr id="124974" name="Group 1249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510"/>
                          <a:chOff x="0" y="0"/>
                          <a:chExt cx="30488" cy="30510"/>
                        </a:xfrm>
                      </wpg:grpSpPr>
                      <wps:wsp>
                        <wps:cNvPr id="5498" name="Shape 5498"/>
                        <wps:cNvSpPr/>
                        <wps:spPr>
                          <a:xfrm>
                            <a:off x="0" y="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974" style="width:2.40061pt;height:2.40234pt;position:absolute;mso-position-horizontal-relative:text;mso-position-horizontal:absolute;margin-left:15.0038pt;mso-position-vertical-relative:text;margin-top:79.6367pt;" coordsize="304,305">
                <v:shape id="Shape 5498" style="position:absolute;width:304;height:305;left:0;top:0;" coordsize="30488,30510" path="m15244,0c23663,0,30488,6846,30488,15230c30488,23664,23663,30510,15244,30510c6825,30510,0,23664,0,1523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t>(персональный компьютер, в том числе портативный); база знаний, определяющая совокупность априорно заданных и апостериорно обновляе</w:t>
      </w:r>
      <w:r>
        <w:t>мых правил принятия решений на основе эталонных и текущих значений векторов параметров, описывающих признаки индивидуума, полученные различными инструментальными средствами; база данных — это совокупность цифровых значений параметров, касающихся непосредст</w:t>
      </w:r>
      <w:r>
        <w:t>венно идентифицируемого объекта, а также диапазон референтных значений, сформированных на основании исследования эталонной выборочной совокупности; инструментальные измерительные средства — совокупность лабораторно-диагностического оборудования, необходимо</w:t>
      </w:r>
      <w:r>
        <w:t>го для получения цифровых значений показателей; комплектация данного модуля имеет значительную вариабельность исполнения в зависимости от изначальной задачи, характеристики идентифицируемых объектов и др.;</w:t>
      </w:r>
    </w:p>
    <w:p w:rsidR="004B6076" w:rsidRDefault="009E1091">
      <w:pPr>
        <w:spacing w:after="0"/>
        <w:ind w:left="310" w:right="94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-2331</wp:posOffset>
                </wp:positionV>
                <wp:extent cx="30488" cy="320129"/>
                <wp:effectExtent l="0" t="0" r="0" b="0"/>
                <wp:wrapSquare wrapText="bothSides"/>
                <wp:docPr id="123028" name="Group 1230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20129"/>
                          <a:chOff x="0" y="0"/>
                          <a:chExt cx="30488" cy="320129"/>
                        </a:xfrm>
                      </wpg:grpSpPr>
                      <wps:wsp>
                        <wps:cNvPr id="5507" name="Shape 5507"/>
                        <wps:cNvSpPr/>
                        <wps:spPr>
                          <a:xfrm>
                            <a:off x="0" y="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10" name="Shape 5510"/>
                        <wps:cNvSpPr/>
                        <wps:spPr>
                          <a:xfrm>
                            <a:off x="0" y="28962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3028" style="width:2.40061pt;height:25.207pt;position:absolute;mso-position-horizontal-relative:text;mso-position-horizontal:absolute;margin-left:15.0038pt;mso-position-vertical-relative:text;margin-top:-0.183594pt;" coordsize="304,3201">
                <v:shape id="Shape 5507" style="position:absolute;width:304;height:305;left:0;top:0;" coordsize="30488,30510" path="m15244,0c23663,0,30488,6846,30488,15230c30488,23664,23663,30510,15244,30510c6825,30510,0,23664,0,15230c0,6846,6825,0,15244,0x">
                  <v:stroke weight="0.600151pt" endcap="square" joinstyle="bevel" on="true" color="#000000"/>
                  <v:fill on="true" color="#000000"/>
                </v:shape>
                <v:shape id="Shape 5510" style="position:absolute;width:304;height:305;left:0;top:2896;" coordsize="30488,30510" path="m15244,0c23663,0,30488,6846,30488,15280c30488,23664,23663,30510,15244,30510c6825,30510,0,23664,0,1528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t>введение изначальных, первичных показателей и пос</w:t>
      </w:r>
      <w:r>
        <w:t>ледующая коммуникация с источниками извне — осуществляется через модуль средства обмена данными; предподготовка, оценка качества показателей — происходит с помощью модуля, обеспечивающего статистический анализ, посредством программного обеспечения, позволя</w:t>
      </w:r>
      <w:r>
        <w:t>ющего оценить статистические характеристики, обобщающие величины и</w:t>
      </w:r>
    </w:p>
    <w:p w:rsidR="004B6076" w:rsidRDefault="009E1091">
      <w:pPr>
        <w:ind w:left="310" w:right="296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142577</wp:posOffset>
                </wp:positionV>
                <wp:extent cx="30488" cy="30460"/>
                <wp:effectExtent l="0" t="0" r="0" b="0"/>
                <wp:wrapSquare wrapText="bothSides"/>
                <wp:docPr id="123029" name="Group 1230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460"/>
                          <a:chOff x="0" y="0"/>
                          <a:chExt cx="30488" cy="30460"/>
                        </a:xfrm>
                      </wpg:grpSpPr>
                      <wps:wsp>
                        <wps:cNvPr id="5514" name="Shape 5514"/>
                        <wps:cNvSpPr/>
                        <wps:spPr>
                          <a:xfrm>
                            <a:off x="0" y="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3029" style="width:2.40061pt;height:2.39844pt;position:absolute;mso-position-horizontal-relative:text;mso-position-horizontal:absolute;margin-left:15.0038pt;mso-position-vertical-relative:text;margin-top:11.2266pt;" coordsize="304,304">
                <v:shape id="Shape 5514" style="position:absolute;width:304;height:304;left:0;top:0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866626</wp:posOffset>
                </wp:positionV>
                <wp:extent cx="30488" cy="464939"/>
                <wp:effectExtent l="0" t="0" r="0" b="0"/>
                <wp:wrapSquare wrapText="bothSides"/>
                <wp:docPr id="123030" name="Group 1230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464939"/>
                          <a:chOff x="0" y="0"/>
                          <a:chExt cx="30488" cy="464939"/>
                        </a:xfrm>
                      </wpg:grpSpPr>
                      <wps:wsp>
                        <wps:cNvPr id="5522" name="Shape 5522"/>
                        <wps:cNvSpPr/>
                        <wps:spPr>
                          <a:xfrm>
                            <a:off x="0" y="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24" name="Shape 5524"/>
                        <wps:cNvSpPr/>
                        <wps:spPr>
                          <a:xfrm>
                            <a:off x="0" y="144859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27" name="Shape 5527"/>
                        <wps:cNvSpPr/>
                        <wps:spPr>
                          <a:xfrm>
                            <a:off x="0" y="434479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3030" style="width:2.40061pt;height:36.6094pt;position:absolute;mso-position-horizontal-relative:text;mso-position-horizontal:absolute;margin-left:15.0038pt;mso-position-vertical-relative:text;margin-top:68.2383pt;" coordsize="304,4649">
                <v:shape id="Shape 5522" style="position:absolute;width:304;height:305;left:0;top:0;" coordsize="30488,30510" path="m15244,0c23663,0,30488,6846,30488,15280c30488,23664,23663,30510,15244,30510c6825,30510,0,23664,0,15280c0,6846,6825,0,15244,0x">
                  <v:stroke weight="0.600151pt" endcap="square" joinstyle="bevel" on="true" color="#000000"/>
                  <v:fill on="true" color="#000000"/>
                </v:shape>
                <v:shape id="Shape 5524" style="position:absolute;width:304;height:304;left:0;top:1448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  <v:shape id="Shape 5527" style="position:absolute;width:304;height:304;left:0;top:4344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t>др.; сравнительный анализ априорного информационного массива с вводимыми данными, предобработка на этапе статистического анализа — позволяет выполнить фильтрацию изначальных данных на про</w:t>
      </w:r>
      <w:r>
        <w:t>граммном уровне и исключить уже на входе имеющие заведомо недостоверные значения; проведенное исследование доказывает целесообразность</w:t>
      </w:r>
      <w:r>
        <w:t>​</w:t>
      </w:r>
      <w:r>
        <w:t xml:space="preserve"> </w:t>
      </w:r>
      <w:r>
        <w:t>введения модульных элементов, позволяющих на программно-аппаратном уровне использовать принципы обработки информации с п</w:t>
      </w:r>
      <w:r>
        <w:t xml:space="preserve">рименением нейросетевого анализа, ММО, нечетких логических выводов; оценка достоверной значимости данных — реализуется через соответствующий модуль; формирование итогового решения — осуществляется посредством комплексного анализа и обработки информации на </w:t>
      </w:r>
      <w:r>
        <w:t>основе информационных массивов базы знаний и базы данных (этап 7, см. рис. 3.19); модуль визуализации, сохранения итоговых результатов.</w:t>
      </w:r>
    </w:p>
    <w:p w:rsidR="004B6076" w:rsidRDefault="009E1091">
      <w:pPr>
        <w:ind w:left="-5" w:right="22"/>
      </w:pPr>
      <w:r>
        <w:t>Подобная структура функциональной организации обеспечивает максимальную эффективность решения задачи — установления биол</w:t>
      </w:r>
      <w:r>
        <w:t>огического возраста в рамках судебно-медицинской экспертизы по идентификации личности. Расширение функциональных возможностей данного программно-аппаратного комплекса достигается посредством введения новейших информационных решений. Структура программно-ап</w:t>
      </w:r>
      <w:r>
        <w:t>паратного комплекса обладает расширенными адаптационными возможностями, позволяющими вводить дополнительные программные и аппаратные модульные элементы, производить доработку при выявлении в ходе функционирования недостатков. Описание межмодульного взаимод</w:t>
      </w:r>
      <w:r>
        <w:t>ействия, этапы обработки данных, их последовательность и этап принятия итогового решения о возрастном интервале, возрасте прописываются в специальном файле конфигурации.</w:t>
      </w:r>
    </w:p>
    <w:p w:rsidR="004B6076" w:rsidRDefault="009E1091">
      <w:pPr>
        <w:ind w:left="-5" w:right="22"/>
      </w:pPr>
      <w:r>
        <w:t>Математический аппарат статистического анализа, ММО, теорию нечеткой логики и логическ</w:t>
      </w:r>
      <w:r>
        <w:t>ого вывода следует рассматривать в качестве базовых теоретических основ, используемых для формирования выводов, как частных, этапных, так и итоговых, результирующих. Выбор того или иного математического подхода должен быть адекватен исходным данным, исполь</w:t>
      </w:r>
      <w:r>
        <w:t>зуемым для установления возрастного интервала. Методы статистического, корреляционного, регрессионного анализа необходимо применять при известной четко выраженной и хорошо формализуемой зависимости результата от входных данных. Они хорошо зарекомендовали с</w:t>
      </w:r>
      <w:r>
        <w:t>ебя с позиции точности оценки при наличии хорошо изученных и подтвержденных закономерностей и фактически сводятся к построению регрессионных моделей и четко формализуемых алгоритмов, обеспечивающих расчет возраста. Зашумление данных, помеховые связи привод</w:t>
      </w:r>
      <w:r>
        <w:t>ят к ошибкам при установлении возраста при использовании только методов статистического анализа. В случаях разнородной, искаженной, неполной информации данные методы практически бесполезны.</w:t>
      </w:r>
    </w:p>
    <w:p w:rsidR="004B6076" w:rsidRDefault="009E1091">
      <w:pPr>
        <w:ind w:left="-5" w:right="22"/>
      </w:pPr>
      <w:r>
        <w:t>Методы нечеткой логики и ММО демонстрируют адекватную поставленной</w:t>
      </w:r>
      <w:r>
        <w:t xml:space="preserve"> задаче работу в условиях зашумленного информационного массива, когда исходные данные неполные и/или разнородные. Целевая направленность этих методов схожа, и для правильной, достоверной оценки возрастного интервала необходима их корректная реализация.</w:t>
      </w:r>
    </w:p>
    <w:p w:rsidR="004B6076" w:rsidRDefault="009E1091">
      <w:pPr>
        <w:ind w:left="-5" w:right="22"/>
      </w:pPr>
      <w:r>
        <w:t>Мет</w:t>
      </w:r>
      <w:r>
        <w:t>оды нечеткой логики целесообразно применять при наличии ряда словесно описываемых признаков, разрозненных совокупностей параметров и неточно измеренных значений с потенциально большой исходной погрешностью. При этом для реализации методов нечеткой логики н</w:t>
      </w:r>
      <w:r>
        <w:t>еобходима четкая формализация алгоритмов принятия решения, сформированных экспертом, в этом случае применение методов нечеткой логики является обоснованным и приносит результат.</w:t>
      </w:r>
    </w:p>
    <w:p w:rsidR="004B6076" w:rsidRDefault="009E1091">
      <w:pPr>
        <w:ind w:left="-5" w:right="22"/>
      </w:pPr>
      <w:r>
        <w:t>ММО должны быть применены для случаев сложных и неформализуемых зависимостей м</w:t>
      </w:r>
      <w:r>
        <w:t>ежду наборами входных данных и получаемой результирующей оценкой возраста.</w:t>
      </w:r>
    </w:p>
    <w:p w:rsidR="004B6076" w:rsidRDefault="009E1091">
      <w:pPr>
        <w:spacing w:after="400"/>
        <w:ind w:left="-5" w:right="9810"/>
      </w:pPr>
      <w:r>
        <w:t>tab not found: 0007 tab not found: 0008 tab not found: 0009</w:t>
      </w:r>
    </w:p>
    <w:p w:rsidR="004B6076" w:rsidRDefault="009E1091">
      <w:pPr>
        <w:pStyle w:val="Heading1"/>
        <w:spacing w:after="139"/>
        <w:ind w:left="-5"/>
      </w:pPr>
      <w:r>
        <w:t>Глава 4. Экспертные модели и алгоритмы определения биологического возраста индивида</w:t>
      </w:r>
    </w:p>
    <w:p w:rsidR="004B6076" w:rsidRDefault="009E1091">
      <w:pPr>
        <w:pStyle w:val="Heading2"/>
        <w:ind w:left="-5"/>
      </w:pPr>
      <w:r>
        <w:t>4.1. Экспертная модель микроостеометрического определения биологического возраста индивида</w:t>
      </w:r>
    </w:p>
    <w:p w:rsidR="004B6076" w:rsidRDefault="009E1091">
      <w:pPr>
        <w:ind w:left="-5" w:right="22"/>
      </w:pPr>
      <w:r>
        <w:t>Предложенная нами экспертная модель определения биологического возраста индивида включает в себя алгоритм отнесения индивида к определенной возрастной группе и компл</w:t>
      </w:r>
      <w:r>
        <w:t>екс уравнений регрессии для разных возрастных групп.</w:t>
      </w:r>
    </w:p>
    <w:p w:rsidR="004B6076" w:rsidRDefault="009E1091">
      <w:pPr>
        <w:spacing w:after="304"/>
        <w:ind w:left="-5" w:right="22"/>
      </w:pPr>
      <w:r>
        <w:t>В настоящее время главным методом судебно-медицинского установления возраста является математическое моделирование возрастных изменений на основе многофакторного корреляционного и регрессионного анализа.</w:t>
      </w:r>
      <w:r>
        <w:t xml:space="preserve"> Однако следует отметить, что составление уравнений регрессий обусловлено чисто механическим подходом, на основании только коэффициентов корреляции, без учета биологической сущности используемых в них признаков. На наш взгляд, системный подход, включающий </w:t>
      </w:r>
      <w:r>
        <w:t>в себя использование достоверно определяемых качественных признаков и базирующейся на них периодизации возрастов, позволяет более полно анализировать всю полученную информацию и тем самым повысить точность экспертного заключения (Пиголкин Ю.И. и др., 2001)</w:t>
      </w:r>
      <w:r>
        <w:t>.</w:t>
      </w:r>
    </w:p>
    <w:p w:rsidR="004B6076" w:rsidRDefault="009E1091">
      <w:pPr>
        <w:spacing w:after="99" w:line="248" w:lineRule="auto"/>
        <w:ind w:left="-5"/>
      </w:pPr>
      <w:r>
        <w:rPr>
          <w:b/>
          <w:sz w:val="29"/>
        </w:rPr>
        <w:t>4.1.1. Расчет биологического возраста на основании результатов гистоморфометрического исследования эпифизов и диафизов большеберцовой кости</w:t>
      </w:r>
    </w:p>
    <w:p w:rsidR="004B6076" w:rsidRDefault="009E1091">
      <w:pPr>
        <w:ind w:left="-5" w:right="22"/>
      </w:pPr>
      <w:r>
        <w:t>Основой для ориентировочного установления возраста служат качественные признаки, характерные для определенных возр</w:t>
      </w:r>
      <w:r>
        <w:t>астных периодов.</w:t>
      </w:r>
    </w:p>
    <w:p w:rsidR="004B6076" w:rsidRDefault="009E1091">
      <w:pPr>
        <w:numPr>
          <w:ilvl w:val="0"/>
          <w:numId w:val="3"/>
        </w:numPr>
        <w:spacing w:after="0"/>
        <w:ind w:right="22"/>
      </w:pPr>
      <w:r>
        <w:rPr>
          <w:i/>
        </w:rPr>
        <w:t xml:space="preserve">Наличие или отсутствие линии минерализации. </w:t>
      </w:r>
      <w:r>
        <w:t>Линия минерализации хряща видна в гистологических препаратах, окрашенных гематоксилин-эозином, в виде извилистой базофильной линии, отделяющей суставной хрящ от субхондральной пластинки (рис. 4.1</w:t>
      </w:r>
      <w:r>
        <w:t>.1, а, б).</w:t>
      </w:r>
    </w:p>
    <w:p w:rsidR="004B6076" w:rsidRDefault="009E1091">
      <w:pPr>
        <w:spacing w:after="352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62485" cy="3170734"/>
                <wp:effectExtent l="0" t="0" r="0" b="0"/>
                <wp:docPr id="126122" name="Group 126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2485" cy="3170734"/>
                          <a:chOff x="0" y="0"/>
                          <a:chExt cx="4062485" cy="3170734"/>
                        </a:xfrm>
                      </wpg:grpSpPr>
                      <wps:wsp>
                        <wps:cNvPr id="5593" name="Shape 5593"/>
                        <wps:cNvSpPr/>
                        <wps:spPr>
                          <a:xfrm>
                            <a:off x="7622" y="3820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96" name="Shape 5596"/>
                        <wps:cNvSpPr/>
                        <wps:spPr>
                          <a:xfrm>
                            <a:off x="7622" y="3166914"/>
                            <a:ext cx="40472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7241">
                                <a:moveTo>
                                  <a:pt x="0" y="0"/>
                                </a:moveTo>
                                <a:lnTo>
                                  <a:pt x="4047241" y="0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71" name="Shape 157771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72" name="Shape 157772"/>
                        <wps:cNvSpPr/>
                        <wps:spPr>
                          <a:xfrm>
                            <a:off x="0" y="316309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99" name="Shape 5599"/>
                        <wps:cNvSpPr/>
                        <wps:spPr>
                          <a:xfrm>
                            <a:off x="3811" y="7640"/>
                            <a:ext cx="0" cy="31554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454">
                                <a:moveTo>
                                  <a:pt x="0" y="0"/>
                                </a:moveTo>
                                <a:lnTo>
                                  <a:pt x="0" y="315545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73" name="Shape 157773"/>
                        <wps:cNvSpPr/>
                        <wps:spPr>
                          <a:xfrm>
                            <a:off x="405486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74" name="Shape 157774"/>
                        <wps:cNvSpPr/>
                        <wps:spPr>
                          <a:xfrm>
                            <a:off x="4054863" y="316309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0C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02" name="Shape 5602"/>
                        <wps:cNvSpPr/>
                        <wps:spPr>
                          <a:xfrm>
                            <a:off x="4058674" y="7640"/>
                            <a:ext cx="0" cy="31554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454">
                                <a:moveTo>
                                  <a:pt x="0" y="0"/>
                                </a:moveTo>
                                <a:lnTo>
                                  <a:pt x="0" y="3155454"/>
                                </a:lnTo>
                              </a:path>
                            </a:pathLst>
                          </a:custGeom>
                          <a:ln w="7622" cap="flat">
                            <a:custDash>
                              <a:ds d="60015" sp="60015"/>
                            </a:custDash>
                            <a:bevel/>
                          </a:ln>
                        </wps:spPr>
                        <wps:style>
                          <a:lnRef idx="1">
                            <a:srgbClr val="C0C0C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604" name="Picture 5604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7622" y="7640"/>
                            <a:ext cx="4047241" cy="31554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6122" style="width:319.881pt;height:249.664pt;mso-position-horizontal-relative:char;mso-position-vertical-relative:line" coordsize="40624,31707">
                <v:shape id="Shape 5593" style="position:absolute;width:40472;height:0;left:76;top:38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5596" style="position:absolute;width:40472;height:0;left:76;top:31669;" coordsize="4047241,0" path="m0,0l4047241,0">
                  <v:stroke weight="0.600151pt" endcap="flat" dashstyle="1 1" joinstyle="bevel" on="true" color="#c0c0c0"/>
                  <v:fill on="false" color="#000000" opacity="0"/>
                </v:shape>
                <v:shape id="Shape 157775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76" style="position:absolute;width:91;height:91;left:0;top:3163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599" style="position:absolute;width:0;height:31554;left:38;top:76;" coordsize="0,3155454" path="m0,0l0,3155454">
                  <v:stroke weight="0.600151pt" endcap="flat" dashstyle="1 1" joinstyle="bevel" on="true" color="#c0c0c0"/>
                  <v:fill on="false" color="#000000" opacity="0"/>
                </v:shape>
                <v:shape id="Shape 157777" style="position:absolute;width:91;height:91;left:40548;top: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157778" style="position:absolute;width:91;height:91;left:40548;top:31630;" coordsize="9144,9144" path="m0,0l9144,0l9144,9144l0,9144l0,0">
                  <v:stroke weight="0pt" endcap="flat" joinstyle="miter" miterlimit="10" on="false" color="#000000" opacity="0"/>
                  <v:fill on="true" color="#c0c0c0"/>
                </v:shape>
                <v:shape id="Shape 5602" style="position:absolute;width:0;height:31554;left:40586;top:76;" coordsize="0,3155454" path="m0,0l0,3155454">
                  <v:stroke weight="0.600151pt" endcap="flat" dashstyle="1 1" joinstyle="bevel" on="true" color="#c0c0c0"/>
                  <v:fill on="false" color="#000000" opacity="0"/>
                </v:shape>
                <v:shape id="Picture 5604" style="position:absolute;width:40472;height:31554;left:76;top:76;" filled="f">
                  <v:imagedata r:id="rId171"/>
                </v:shape>
              </v:group>
            </w:pict>
          </mc:Fallback>
        </mc:AlternateContent>
      </w:r>
    </w:p>
    <w:p w:rsidR="004B6076" w:rsidRDefault="009E1091">
      <w:pPr>
        <w:spacing w:after="82"/>
        <w:ind w:left="-5" w:right="22"/>
      </w:pPr>
      <w:r>
        <w:rPr>
          <w:b/>
        </w:rPr>
        <w:t>Рис. 4.1.1.</w:t>
      </w:r>
      <w:r>
        <w:t xml:space="preserve"> Качественные признаки возрастных групп. Нижний эпифиз большеберцовой кости (окраска гематоксилин-эозином,</w:t>
      </w:r>
      <w:r>
        <w:t>​</w:t>
      </w:r>
    </w:p>
    <w:p w:rsidR="004B6076" w:rsidRDefault="009E1091">
      <w:pPr>
        <w:ind w:left="-5" w:right="22"/>
      </w:pPr>
      <w:r>
        <w:t>×50): а — отсутствие линии минерализации; б — наличие линии минерализации; в — эпифизарная пластинка</w:t>
      </w:r>
      <w:r>
        <w:t>​</w:t>
      </w:r>
    </w:p>
    <w:p w:rsidR="004B6076" w:rsidRDefault="009E1091">
      <w:pPr>
        <w:numPr>
          <w:ilvl w:val="0"/>
          <w:numId w:val="3"/>
        </w:numPr>
        <w:spacing w:after="84"/>
        <w:ind w:right="22"/>
      </w:pPr>
      <w:r>
        <w:rPr>
          <w:i/>
        </w:rPr>
        <w:t xml:space="preserve">Наличие или отсутствие синостозирования. </w:t>
      </w:r>
      <w:r>
        <w:t>Синостозирование — слияние эпифизов с диафизами и прекращение роста — в разных костях происходит в разное время. В последнее время в связи с акселерацией наблюдается более раннее синостозирование костей и прекращени</w:t>
      </w:r>
      <w:r>
        <w:t>е роста: у девушек в возрасте 16–18 лет, у юношей — 18–19 лет. Надо учитывать также, что скорость, а следовательно, и длительность синостозирования у подростков одного возраста неодинакова: она больше у мальчиков, отстававших в росте и весе от сверстников.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460"/>
                <wp:effectExtent l="0" t="0" r="0" b="0"/>
                <wp:docPr id="126123" name="Group 126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460"/>
                          <a:chOff x="0" y="0"/>
                          <a:chExt cx="30488" cy="30460"/>
                        </a:xfrm>
                      </wpg:grpSpPr>
                      <wps:wsp>
                        <wps:cNvPr id="5618" name="Shape 5618"/>
                        <wps:cNvSpPr/>
                        <wps:spPr>
                          <a:xfrm>
                            <a:off x="0" y="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6123" style="width:2.40061pt;height:2.39844pt;mso-position-horizontal-relative:char;mso-position-vertical-relative:line" coordsize="304,304">
                <v:shape id="Shape 5618" style="position:absolute;width:304;height:304;left:0;top:0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310" w:right="22"/>
      </w:pPr>
      <w:r>
        <w:t>Практически наличие или отсутствие синостозирования определяется по наличию или отсутствию так называемой эпифизарной пластинки — зоны хряща, разделяющей костную ткань метафиза и эпифиза и имеющей четырехслойное</w:t>
      </w:r>
    </w:p>
    <w:p w:rsidR="004B6076" w:rsidRDefault="009E1091">
      <w:pPr>
        <w:spacing w:after="13"/>
        <w:ind w:left="490" w:right="22"/>
      </w:pPr>
      <w:r>
        <w:t>строение (см. рис. 4.1.1, в):</w:t>
      </w:r>
    </w:p>
    <w:p w:rsidR="004B6076" w:rsidRDefault="009E1091">
      <w:pPr>
        <w:spacing w:after="18"/>
        <w:ind w:left="310" w:right="5109"/>
      </w:pPr>
      <w:r>
        <w:t>зона покоящегося хряща; зона пролиферации (столбчатых клеток, монетных столбиков);</w:t>
      </w:r>
      <w:r>
        <w:t>​</w:t>
      </w:r>
      <w:r>
        <w:t xml:space="preserve"> </w:t>
      </w:r>
      <w:r>
        <w:t>зона созревающего хряща (пузырчатых клеток); зона кальцинирующегося (фрагментированного) хряща.</w:t>
      </w:r>
    </w:p>
    <w:p w:rsidR="004B6076" w:rsidRDefault="009E1091">
      <w:pPr>
        <w:spacing w:after="0"/>
        <w:ind w:left="490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-581619</wp:posOffset>
                </wp:positionV>
                <wp:extent cx="335365" cy="899418"/>
                <wp:effectExtent l="0" t="0" r="0" b="0"/>
                <wp:wrapSquare wrapText="bothSides"/>
                <wp:docPr id="126124" name="Group 126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365" cy="899418"/>
                          <a:chOff x="0" y="0"/>
                          <a:chExt cx="335365" cy="899418"/>
                        </a:xfrm>
                      </wpg:grpSpPr>
                      <wps:wsp>
                        <wps:cNvPr id="5622" name="Shape 5622"/>
                        <wps:cNvSpPr/>
                        <wps:spPr>
                          <a:xfrm>
                            <a:off x="304877" y="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30488" y="15280"/>
                                </a:move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24" name="Shape 5624"/>
                        <wps:cNvSpPr/>
                        <wps:spPr>
                          <a:xfrm>
                            <a:off x="304877" y="14481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30488" y="15280"/>
                                </a:move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80"/>
                                </a:cubicBezTo>
                                <a:cubicBezTo>
                                  <a:pt x="0" y="6896"/>
                                  <a:pt x="6825" y="0"/>
                                  <a:pt x="15244" y="0"/>
                                </a:cubicBezTo>
                                <a:cubicBezTo>
                                  <a:pt x="23663" y="0"/>
                                  <a:pt x="30488" y="6896"/>
                                  <a:pt x="30488" y="1528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28" name="Shape 5628"/>
                        <wps:cNvSpPr/>
                        <wps:spPr>
                          <a:xfrm>
                            <a:off x="304877" y="289669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30488" y="15230"/>
                                </a:move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30" name="Shape 5630"/>
                        <wps:cNvSpPr/>
                        <wps:spPr>
                          <a:xfrm>
                            <a:off x="304877" y="434479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30488" y="15230"/>
                                </a:move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32" name="Shape 5632"/>
                        <wps:cNvSpPr/>
                        <wps:spPr>
                          <a:xfrm>
                            <a:off x="0" y="579289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35" name="Shape 5635"/>
                        <wps:cNvSpPr/>
                        <wps:spPr>
                          <a:xfrm>
                            <a:off x="0" y="868908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6124" style="width:26.4067pt;height:70.8203pt;position:absolute;mso-position-horizontal-relative:text;mso-position-horizontal:absolute;margin-left:15.0038pt;mso-position-vertical-relative:text;margin-top:-45.7969pt;" coordsize="3353,8994">
                <v:shape id="Shape 5622" style="position:absolute;width:304;height:305;left:3048;top:0;" coordsize="30488,30510" path="m30488,15280c30488,23664,23663,30510,15244,30510c6825,30510,0,23664,0,15280c0,6846,6825,0,15244,0c23663,0,30488,6846,30488,15280x">
                  <v:stroke weight="0.600151pt" endcap="square" joinstyle="bevel" on="true" color="#000000"/>
                  <v:fill on="false" color="#000000" opacity="0"/>
                </v:shape>
                <v:shape id="Shape 5624" style="position:absolute;width:304;height:305;left:3048;top:1448;" coordsize="30488,30510" path="m30488,15280c30488,23664,23663,30510,15244,30510c6825,30510,0,23664,0,15280c0,6896,6825,0,15244,0c23663,0,30488,6896,30488,15280x">
                  <v:stroke weight="0.600151pt" endcap="square" joinstyle="bevel" on="true" color="#000000"/>
                  <v:fill on="false" color="#000000" opacity="0"/>
                </v:shape>
                <v:shape id="Shape 5628" style="position:absolute;width:304;height:304;left:3048;top:2896;" coordsize="30488,30460" path="m30488,15230c30488,23614,23663,30460,15244,30460c6825,30460,0,23614,0,15230c0,6846,6825,0,15244,0c23663,0,30488,6846,30488,15230x">
                  <v:stroke weight="0.600151pt" endcap="square" joinstyle="bevel" on="true" color="#000000"/>
                  <v:fill on="false" color="#000000" opacity="0"/>
                </v:shape>
                <v:shape id="Shape 5630" style="position:absolute;width:304;height:304;left:3048;top:4344;" coordsize="30488,30460" path="m30488,15230c30488,23614,23663,30460,15244,30460c6825,30460,0,23614,0,15230c0,6846,6825,0,15244,0c23663,0,30488,6846,30488,15230x">
                  <v:stroke weight="0.600151pt" endcap="square" joinstyle="bevel" on="true" color="#000000"/>
                  <v:fill on="false" color="#000000" opacity="0"/>
                </v:shape>
                <v:shape id="Shape 5632" style="position:absolute;width:304;height:304;left:0;top:5792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  <v:shape id="Shape 5635" style="position:absolute;width:304;height:305;left:0;top:8689;" coordsize="30488,30510" path="m15244,0c23663,0,30488,6846,30488,15230c30488,23664,23663,30510,15244,30510c6825,30510,0,23664,0,1523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t>Сочетание состоявшегося синостозирования с наличием линии роста позволяет с</w:t>
      </w:r>
      <w:r>
        <w:t>делать вывод, что возраст идентифицируемого больше 18 лет.</w:t>
      </w:r>
    </w:p>
    <w:p w:rsidR="004B6076" w:rsidRDefault="009E1091">
      <w:pPr>
        <w:ind w:left="490" w:right="22"/>
      </w:pPr>
      <w:r>
        <w:t>Наличие многочисленных толстых костных балок и многочисленных эндотрабекулярных остеонов в губчатом веществе эпифиза ББК, толстая субхондральная пластинка, наличие ячеистой структуры, располагающей</w:t>
      </w:r>
      <w:r>
        <w:t>ся ниже субхондральной пластинки, служат критериями отнесения индентифицируемого к возрастной группе от 18 до 50 лет.</w:t>
      </w:r>
    </w:p>
    <w:p w:rsidR="004B6076" w:rsidRDefault="009E1091">
      <w:pPr>
        <w:ind w:left="-5" w:right="22"/>
      </w:pPr>
      <w:r>
        <w:rPr>
          <w:i/>
        </w:rPr>
        <w:t>3.  Оценка комплекса качественных признаков, характеризующих инволюционные процессы.</w:t>
      </w:r>
      <w:r>
        <w:t xml:space="preserve"> Выраженные возрастные инволюции костной ткани наблюда</w:t>
      </w:r>
      <w:r>
        <w:t>ются у лиц старше 50 лет. Для этой группы характерны немногочисленные тонкие костные балки и небольшое количество эндотрабекулярных остеонов в губчатом веществе эпифиза ББК, тонкая субхондральная пластинка, отсутствие ячеистой структуры.</w:t>
      </w:r>
    </w:p>
    <w:p w:rsidR="004B6076" w:rsidRDefault="009E1091">
      <w:pPr>
        <w:spacing w:after="273"/>
        <w:ind w:left="-5" w:right="22"/>
      </w:pPr>
      <w:r>
        <w:t>На следующем этапе</w:t>
      </w:r>
      <w:r>
        <w:t xml:space="preserve"> результаты измерений вводят в специальные математические формулы-уравнения регрессии, имеющие вид:</w:t>
      </w:r>
    </w:p>
    <w:p w:rsidR="004B6076" w:rsidRDefault="009E1091">
      <w:pPr>
        <w:spacing w:after="13"/>
        <w:ind w:left="-5" w:right="22"/>
      </w:pPr>
      <w:r>
        <w:rPr>
          <w:b/>
        </w:rPr>
        <w:t>AGE</w:t>
      </w:r>
      <w:r>
        <w:t>=а +а C1 (Y1)+а C2 (Y2)+…+а Cn (Yn),</w:t>
      </w:r>
    </w:p>
    <w:p w:rsidR="004B6076" w:rsidRDefault="009E1091">
      <w:pPr>
        <w:tabs>
          <w:tab w:val="center" w:pos="679"/>
          <w:tab w:val="center" w:pos="979"/>
          <w:tab w:val="center" w:pos="1976"/>
          <w:tab w:val="center" w:pos="3284"/>
        </w:tabs>
        <w:spacing w:after="302" w:line="265" w:lineRule="auto"/>
        <w:ind w:left="0" w:firstLine="0"/>
      </w:pPr>
      <w:r>
        <w:rPr>
          <w:sz w:val="22"/>
        </w:rPr>
        <w:tab/>
      </w:r>
      <w:r>
        <w:rPr>
          <w:sz w:val="16"/>
        </w:rPr>
        <w:t>0</w:t>
      </w:r>
      <w:r>
        <w:rPr>
          <w:sz w:val="16"/>
        </w:rPr>
        <w:tab/>
        <w:t>1</w:t>
      </w:r>
      <w:r>
        <w:rPr>
          <w:sz w:val="16"/>
        </w:rPr>
        <w:tab/>
        <w:t>2</w:t>
      </w:r>
      <w:r>
        <w:rPr>
          <w:sz w:val="16"/>
        </w:rPr>
        <w:tab/>
        <w:t>n</w:t>
      </w:r>
    </w:p>
    <w:p w:rsidR="004B6076" w:rsidRDefault="009E1091">
      <w:pPr>
        <w:spacing w:after="13"/>
        <w:ind w:left="-5" w:right="22"/>
      </w:pPr>
      <w:r>
        <w:t>где AGE — прогнозируемый возраст в годах; а , а , а , … а — коэффициенты регрессии, вычисленные при обследо</w:t>
      </w:r>
      <w:r>
        <w:t>вании лиц с</w:t>
      </w:r>
      <w:r>
        <w:t>​</w:t>
      </w:r>
    </w:p>
    <w:p w:rsidR="004B6076" w:rsidRDefault="009E1091">
      <w:pPr>
        <w:tabs>
          <w:tab w:val="center" w:pos="4184"/>
          <w:tab w:val="center" w:pos="4472"/>
          <w:tab w:val="center" w:pos="4760"/>
          <w:tab w:val="center" w:pos="5288"/>
        </w:tabs>
        <w:spacing w:after="99" w:line="265" w:lineRule="auto"/>
        <w:ind w:left="0" w:firstLine="0"/>
      </w:pPr>
      <w:r>
        <w:rPr>
          <w:sz w:val="22"/>
        </w:rPr>
        <w:tab/>
      </w:r>
      <w:r>
        <w:rPr>
          <w:sz w:val="16"/>
        </w:rPr>
        <w:t>0</w:t>
      </w:r>
      <w:r>
        <w:rPr>
          <w:sz w:val="16"/>
        </w:rPr>
        <w:tab/>
        <w:t>1</w:t>
      </w:r>
      <w:r>
        <w:rPr>
          <w:sz w:val="16"/>
        </w:rPr>
        <w:tab/>
        <w:t>2</w:t>
      </w:r>
      <w:r>
        <w:rPr>
          <w:sz w:val="16"/>
        </w:rPr>
        <w:tab/>
        <w:t>n</w:t>
      </w:r>
    </w:p>
    <w:p w:rsidR="004B6076" w:rsidRDefault="009E1091">
      <w:pPr>
        <w:ind w:left="-5" w:right="22"/>
      </w:pPr>
      <w:r>
        <w:t>известным возрастом; C1 (Y1), C2 (Y2), … Cn (Yn) — величины признаков.</w:t>
      </w:r>
      <w:r>
        <w:t>​</w:t>
      </w:r>
    </w:p>
    <w:p w:rsidR="004B6076" w:rsidRDefault="009E1091">
      <w:pPr>
        <w:ind w:left="-5" w:right="22"/>
      </w:pPr>
      <w:r>
        <w:t>C1  — среднее количество остеонов в поле зрения нижнего эпифиза большебеpцовой кости (ББК).</w:t>
      </w:r>
    </w:p>
    <w:p w:rsidR="004B6076" w:rsidRDefault="009E1091">
      <w:pPr>
        <w:ind w:left="-5" w:right="22"/>
      </w:pPr>
      <w:r>
        <w:t>C2  — минимальная толщина субхондральной пластинки в поле зрения нижнего эпифиза ББК.</w:t>
      </w:r>
    </w:p>
    <w:p w:rsidR="004B6076" w:rsidRDefault="009E1091">
      <w:pPr>
        <w:ind w:left="-5" w:right="22"/>
      </w:pPr>
      <w:r>
        <w:t>C3  — максимальное количество остеонов в поле зрения нижнего эпифиза ББК.</w:t>
      </w:r>
    </w:p>
    <w:p w:rsidR="004B6076" w:rsidRDefault="009E1091">
      <w:pPr>
        <w:ind w:left="-5" w:right="22"/>
      </w:pPr>
      <w:r>
        <w:t>C4  — минимальное количество остеонов в поле зрения нижнего эпифиза ББК.</w:t>
      </w:r>
    </w:p>
    <w:p w:rsidR="004B6076" w:rsidRDefault="009E1091">
      <w:pPr>
        <w:ind w:left="-5" w:right="22"/>
      </w:pPr>
      <w:r>
        <w:t>C5  — различия между то</w:t>
      </w:r>
      <w:r>
        <w:t>лщиной костных балок в верхней и нижней части препарата нижнего эпифиза ББК (есть — 2, нет — 1).</w:t>
      </w:r>
    </w:p>
    <w:p w:rsidR="004B6076" w:rsidRDefault="009E1091">
      <w:pPr>
        <w:ind w:left="-5" w:right="22"/>
      </w:pPr>
      <w:r>
        <w:t>C6  — толщина костных балок в верхней части препарата нижнего эпифиза ББК (1 — мало, 2 — среднее количество, 3 — много).</w:t>
      </w:r>
    </w:p>
    <w:p w:rsidR="004B6076" w:rsidRDefault="009E1091">
      <w:pPr>
        <w:ind w:left="-5" w:right="22"/>
      </w:pPr>
      <w:r>
        <w:t>C7  — толщина костных балок в нижней ч</w:t>
      </w:r>
      <w:r>
        <w:t>асти препарата нижнего эпифиза ББК (1 — мало, 2 — среднее количество, 3 — много).</w:t>
      </w:r>
    </w:p>
    <w:p w:rsidR="004B6076" w:rsidRDefault="009E1091">
      <w:pPr>
        <w:ind w:left="-5" w:right="22"/>
      </w:pPr>
      <w:r>
        <w:t>C8  — наличие ячеистой структуры (1 — нет, 2 — есть).</w:t>
      </w:r>
    </w:p>
    <w:p w:rsidR="004B6076" w:rsidRDefault="009E1091">
      <w:pPr>
        <w:ind w:left="-5" w:right="22"/>
      </w:pPr>
      <w:r>
        <w:t>C9  — количество остеонов (1 — мало, 2 — много).</w:t>
      </w:r>
    </w:p>
    <w:p w:rsidR="004B6076" w:rsidRDefault="009E1091">
      <w:pPr>
        <w:ind w:left="-5" w:right="22"/>
      </w:pPr>
      <w:r>
        <w:t>C10 — наличие скопления костных балок на месте бывшей эпифизарной пласт</w:t>
      </w:r>
      <w:r>
        <w:t>инки (1 — нет, 2 — есть).</w:t>
      </w:r>
    </w:p>
    <w:p w:rsidR="004B6076" w:rsidRDefault="009E1091">
      <w:pPr>
        <w:spacing w:after="162" w:line="265" w:lineRule="auto"/>
        <w:ind w:left="-5"/>
      </w:pPr>
      <w:r>
        <w:rPr>
          <w:i/>
        </w:rPr>
        <w:t>Корреляционная матрица</w:t>
      </w:r>
    </w:p>
    <w:p w:rsidR="004B6076" w:rsidRDefault="009E1091">
      <w:pPr>
        <w:spacing w:after="163" w:line="265" w:lineRule="auto"/>
        <w:ind w:left="-5"/>
      </w:pPr>
      <w:r>
        <w:rPr>
          <w:b/>
          <w:i/>
        </w:rPr>
        <w:t>Модель № 1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=111,358–10,774×С6–11,873×С7–14,305×С8,</w:t>
      </w:r>
    </w:p>
    <w:p w:rsidR="004B6076" w:rsidRDefault="009E1091">
      <w:pPr>
        <w:ind w:left="-5" w:right="22"/>
      </w:pPr>
      <w:r>
        <w:t>где С6 — толщина костных балок в верхней части препарата (в баллах); С7 — толщина костных балок в нижней части препарата (в баллах); С8 — наличие ячеисто</w:t>
      </w:r>
      <w:r>
        <w:t>й структуры.</w:t>
      </w:r>
    </w:p>
    <w:p w:rsidR="004B6076" w:rsidRDefault="009E1091">
      <w:pPr>
        <w:ind w:left="-5" w:right="22"/>
      </w:pPr>
      <w:r>
        <w:t>Коэффициент корреляции для данной модели: r=0,78.</w:t>
      </w:r>
    </w:p>
    <w:p w:rsidR="004B6076" w:rsidRDefault="009E1091">
      <w:pPr>
        <w:ind w:left="-5" w:right="22"/>
      </w:pPr>
      <w:r>
        <w:t>Стандартная ошибка: 15,25.</w:t>
      </w:r>
    </w:p>
    <w:p w:rsidR="004B6076" w:rsidRDefault="009E1091">
      <w:pPr>
        <w:ind w:left="-5" w:right="22"/>
      </w:pPr>
      <w:r>
        <w:t>Значимость: р &lt;0,001.</w:t>
      </w:r>
    </w:p>
    <w:p w:rsidR="004B6076" w:rsidRDefault="009E1091">
      <w:pPr>
        <w:ind w:left="-5" w:right="22"/>
      </w:pPr>
      <w:r>
        <w:t>Полученная нами модель № 1 позволяет определить возраст исследуемого индивида с точностью до 15 лет на основании неметрического (балльного) исследования нижнего эпифиза ББК.</w:t>
      </w:r>
    </w:p>
    <w:p w:rsidR="004B6076" w:rsidRDefault="009E1091">
      <w:pPr>
        <w:spacing w:after="163" w:line="265" w:lineRule="auto"/>
        <w:ind w:left="-5"/>
      </w:pPr>
      <w:r>
        <w:rPr>
          <w:b/>
          <w:i/>
        </w:rPr>
        <w:t>Модель № 2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=111,024–5,801×С1–3,662×С2–4,013×С6–7,923×С8,</w:t>
      </w:r>
    </w:p>
    <w:p w:rsidR="004B6076" w:rsidRDefault="009E1091">
      <w:pPr>
        <w:ind w:left="-5" w:right="22"/>
      </w:pPr>
      <w:r>
        <w:t>где С1 — среднее колич</w:t>
      </w:r>
      <w:r>
        <w:t>ество остеонов в поле зрения эпифиза ББК; С2 — минимальная толщина субхондральной пластинки в поле зрения эпифиза ББК, мкм; С6 — толщина костных трабекул в верхней части нижнего эпифиза ББК (в баллах); С8 — наличие ячеистой структуры в верхней части нижнег</w:t>
      </w:r>
      <w:r>
        <w:t>о эпифиза ББК (в баллах).</w:t>
      </w:r>
    </w:p>
    <w:p w:rsidR="004B6076" w:rsidRDefault="009E1091">
      <w:pPr>
        <w:ind w:left="-5" w:right="22"/>
      </w:pPr>
      <w:r>
        <w:t>Коэффициент корреляции для данной модели: r=0,916.</w:t>
      </w:r>
    </w:p>
    <w:p w:rsidR="004B6076" w:rsidRDefault="009E1091">
      <w:pPr>
        <w:ind w:left="-5" w:right="22"/>
      </w:pPr>
      <w:r>
        <w:t>Стандартная ошибка: 9,57.</w:t>
      </w:r>
    </w:p>
    <w:p w:rsidR="004B6076" w:rsidRDefault="009E1091">
      <w:pPr>
        <w:ind w:left="-5" w:right="22"/>
      </w:pPr>
      <w:r>
        <w:t>Значимость: р=0,001.</w:t>
      </w:r>
    </w:p>
    <w:p w:rsidR="004B6076" w:rsidRDefault="009E1091">
      <w:pPr>
        <w:ind w:left="-5" w:right="22"/>
      </w:pPr>
      <w:r>
        <w:t>Данная модель № 2 позволяет определить возраст исследуемого индивида с точностью до 10 лет на основании предварительного исследовани</w:t>
      </w:r>
      <w:r>
        <w:t>я нижнего эпифиза ББК.</w:t>
      </w:r>
    </w:p>
    <w:p w:rsidR="004B6076" w:rsidRDefault="009E1091">
      <w:pPr>
        <w:ind w:left="-5" w:right="22"/>
      </w:pPr>
      <w:r>
        <w:t>Представленные выше модели могут быть использованы экспертами на начальном этапе идентификационных работ по установлению возраста индивида. В последующем необходимо использовать уточняющие модели, для каждого возрастного интервала ра</w:t>
      </w:r>
      <w:r>
        <w:t>зные. Следует отметить, что преимущество данных моделей заключается еще и в том, что используемые в ней параметры позволяют произвести предварительную оценку возрастного интервала при помощи обычного микроскопа и не требуют специальной подготовки эксперта.</w:t>
      </w:r>
    </w:p>
    <w:p w:rsidR="004B6076" w:rsidRDefault="009E1091">
      <w:pPr>
        <w:ind w:left="-5" w:right="22"/>
      </w:pPr>
      <w:r>
        <w:t>Нами были разработаны различные регрессионные модели как для всего возрастного диапазона, так и для каждой возрастной группы отдельно. В ходе работы нами было получено значительное количество регрессионных моделей с использованием различных комбинаций при</w:t>
      </w:r>
      <w:r>
        <w:t>знаков.</w:t>
      </w:r>
    </w:p>
    <w:p w:rsidR="004B6076" w:rsidRDefault="009E1091">
      <w:pPr>
        <w:spacing w:after="163" w:line="265" w:lineRule="auto"/>
        <w:ind w:left="-5"/>
      </w:pPr>
      <w:r>
        <w:rPr>
          <w:b/>
          <w:i/>
        </w:rPr>
        <w:t>По всему диапазону</w:t>
      </w:r>
    </w:p>
    <w:p w:rsidR="004B6076" w:rsidRDefault="009E1091">
      <w:pPr>
        <w:ind w:left="-5" w:right="22"/>
      </w:pPr>
      <w:r>
        <w:t>Коэффициент корреляции: r=0,918.</w:t>
      </w:r>
    </w:p>
    <w:p w:rsidR="004B6076" w:rsidRDefault="009E1091">
      <w:pPr>
        <w:ind w:left="-5" w:right="22"/>
      </w:pPr>
      <w:r>
        <w:t>Стандартная ошибка: 6,799.</w:t>
      </w:r>
    </w:p>
    <w:p w:rsidR="004B6076" w:rsidRDefault="009E1091">
      <w:pPr>
        <w:ind w:left="-5" w:right="22"/>
      </w:pPr>
      <w:r>
        <w:t>Значимость: p=0,000.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=8,165–0,394×В10–0,677×Y11+2,178×В12+0,653×В15+3,665×В18+0,534×В21–0,112×В23+0,165×В24,</w:t>
      </w:r>
    </w:p>
    <w:p w:rsidR="004B6076" w:rsidRDefault="009E1091">
      <w:pPr>
        <w:ind w:left="-5" w:right="22"/>
      </w:pPr>
      <w:r>
        <w:t xml:space="preserve">где AGE — возраст; В10 — толщина слоя наружных генеральных пластинок диафиза ББК, мкм; В11 — толщина слоя остеонов диафиза ББК, мкм; В12 — толщина слоя внутренних генеральных пластинок диафиза ББК, мкм; В15 — среднее количество остеонов в диафизе ББК; В18 </w:t>
      </w:r>
      <w:r>
        <w:t>— среднее количество остеонов с перестроенным центральным отделом в диафизе ББК; В21 — средний диаметр гаверсова канала в диафизе ББК, мкм; В23 — среднее количество остеонов по внутренней поверхности диафиза ББК; В24 — среднее количество остеонов по наружн</w:t>
      </w:r>
      <w:r>
        <w:t>ой поверхности диафиза ББК.</w:t>
      </w:r>
    </w:p>
    <w:p w:rsidR="004B6076" w:rsidRDefault="009E1091">
      <w:pPr>
        <w:ind w:left="-5" w:right="22"/>
      </w:pPr>
      <w:r>
        <w:t>После отнесения индивида к какой-либо определенной возрастной группе следует применить уточняющее уравнение регрессии, соответствующее определенной возрастной группе.</w:t>
      </w:r>
    </w:p>
    <w:p w:rsidR="004B6076" w:rsidRDefault="009E1091">
      <w:pPr>
        <w:spacing w:after="163" w:line="265" w:lineRule="auto"/>
        <w:ind w:left="-5"/>
      </w:pPr>
      <w:r>
        <w:rPr>
          <w:b/>
          <w:i/>
        </w:rPr>
        <w:t>До 18 лет</w:t>
      </w:r>
    </w:p>
    <w:p w:rsidR="004B6076" w:rsidRDefault="009E1091">
      <w:pPr>
        <w:ind w:left="-5" w:right="22"/>
      </w:pPr>
      <w:r>
        <w:t>Коэффициент корреляции: r=0,951.</w:t>
      </w:r>
    </w:p>
    <w:p w:rsidR="004B6076" w:rsidRDefault="009E1091">
      <w:pPr>
        <w:ind w:left="-5" w:right="22"/>
      </w:pPr>
      <w:r>
        <w:t>Стандартная ошибка</w:t>
      </w:r>
      <w:r>
        <w:t>: 0,675.</w:t>
      </w:r>
    </w:p>
    <w:p w:rsidR="004B6076" w:rsidRDefault="009E1091">
      <w:pPr>
        <w:ind w:left="-5" w:right="22"/>
      </w:pPr>
      <w:r>
        <w:t>Значимость: p=0,294.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=8,856+0,182×В8+1,754×В10+2,852×В12–0,205×В15+0,334×В16–1,875×В17+1,776×В18,</w:t>
      </w:r>
    </w:p>
    <w:p w:rsidR="004B6076" w:rsidRDefault="009E1091">
      <w:pPr>
        <w:ind w:left="-5" w:right="22"/>
      </w:pPr>
      <w:r>
        <w:t>где AGE — возраст; В8 — толщина трабекулярной кости в нижнем эпифизе ББК, мкм; В10 — толщина слоя наружных генеральных пластинок диафиза ББК, мкм;</w:t>
      </w:r>
      <w:r>
        <w:t xml:space="preserve"> В12 — толщина слоя внутренних генеральных пластинок диафиза ББК, мкм; В15 — среднее количество остеонов в диафизе ББК; В16 — среднее количество темноокрашенных ализариновым красным S остеонов в диафизе ББК; В17 — доля темноокрашенных ализариновым красным </w:t>
      </w:r>
      <w:r>
        <w:t>S остеонов в диафизе ББК; В18 — среднее количество остеонов с перестроенным центральным отделом в диафизе ББК.</w:t>
      </w:r>
    </w:p>
    <w:p w:rsidR="004B6076" w:rsidRDefault="009E1091">
      <w:pPr>
        <w:spacing w:after="163" w:line="265" w:lineRule="auto"/>
        <w:ind w:left="-5"/>
      </w:pPr>
      <w:r>
        <w:rPr>
          <w:b/>
          <w:i/>
        </w:rPr>
        <w:t>От 18 до 27 лет</w:t>
      </w:r>
    </w:p>
    <w:p w:rsidR="004B6076" w:rsidRDefault="009E1091">
      <w:pPr>
        <w:ind w:left="-5" w:right="22"/>
      </w:pPr>
      <w:r>
        <w:t>Коэффициент корреляции: r=0,861.</w:t>
      </w:r>
    </w:p>
    <w:p w:rsidR="004B6076" w:rsidRDefault="009E1091">
      <w:pPr>
        <w:ind w:left="-5" w:right="22"/>
      </w:pPr>
      <w:r>
        <w:t>Стандартная ошибка: 1,539.</w:t>
      </w:r>
    </w:p>
    <w:p w:rsidR="004B6076" w:rsidRDefault="009E1091">
      <w:pPr>
        <w:ind w:left="-5" w:right="22"/>
      </w:pPr>
      <w:r>
        <w:t>Значимость: p=0,000.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=19,569+0,192×В8–2,195×В10–6,347×В12+1,703×В1</w:t>
      </w:r>
      <w:r>
        <w:t>3–0,121×В16+3,944×В19–0,265×В23,</w:t>
      </w:r>
    </w:p>
    <w:p w:rsidR="004B6076" w:rsidRDefault="009E1091">
      <w:pPr>
        <w:ind w:left="-5" w:right="22"/>
      </w:pPr>
      <w:r>
        <w:t xml:space="preserve">где AGE — возраст; В8 — толщина трабекулярной кости в нижнем эпифизе ББК, мкм; В10 — толщина слоя наружных генеральных пластинок диафиза ББК, мкм; В12 — толщина слоя внутренних генеральных пластинок диафиза ББК, мкм; В16 — </w:t>
      </w:r>
      <w:r>
        <w:t>среднее количество темноокрашенных ализариновым красным S остеонов в диафизе ББК; В19 — доля остеонов с перестроенным центральным отделом в диафизе ББК; В23 — среднее количество остеонов по внутренней поверхности диафиза ББК.</w:t>
      </w:r>
    </w:p>
    <w:p w:rsidR="004B6076" w:rsidRDefault="009E1091">
      <w:pPr>
        <w:spacing w:after="163" w:line="265" w:lineRule="auto"/>
        <w:ind w:left="-5"/>
      </w:pPr>
      <w:r>
        <w:rPr>
          <w:b/>
          <w:i/>
        </w:rPr>
        <w:t>От 27 до 50 лет</w:t>
      </w:r>
    </w:p>
    <w:p w:rsidR="004B6076" w:rsidRDefault="009E1091">
      <w:pPr>
        <w:ind w:left="-5" w:right="22"/>
      </w:pPr>
      <w:r>
        <w:t>Коэффициент ко</w:t>
      </w:r>
      <w:r>
        <w:t>рреляции: r=0,848.</w:t>
      </w:r>
    </w:p>
    <w:p w:rsidR="004B6076" w:rsidRDefault="009E1091">
      <w:pPr>
        <w:ind w:left="-5" w:right="22"/>
      </w:pPr>
      <w:r>
        <w:t>Стандартная ошибка: 4,639.</w:t>
      </w:r>
    </w:p>
    <w:p w:rsidR="004B6076" w:rsidRDefault="009E1091">
      <w:pPr>
        <w:ind w:left="-5" w:right="22"/>
      </w:pPr>
      <w:r>
        <w:t>Значимость: p=0,000.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=30,251–4,285×В1–0,354×В8–3,475×В13–0,153×В14+0,557×В15+6,249×В16+0,436×В18+36,331×В22–0,210×В23–0,129×В24,</w:t>
      </w:r>
    </w:p>
    <w:p w:rsidR="004B6076" w:rsidRDefault="009E1091">
      <w:pPr>
        <w:ind w:left="-5" w:right="22"/>
      </w:pPr>
      <w:r>
        <w:t>где AGE — возраст; В1 — площадь трабекулярной кости в нижнем эпифизе ББК, мкм²</w:t>
      </w:r>
      <w:r>
        <w:t>; В8 — толщина трабекулярной кости в нижнем эпифизе ББК, мкм; В13 — среднее количество остеонов в нижнем эпифизе ББК; В14 — минимальная толщина субхондральной пластинки ББК в нижнем эпифизе ББК, мкм; В15 — среднее количество остеонов в диафизе ББК; В16 — с</w:t>
      </w:r>
      <w:r>
        <w:t>реднее количество темноокрашенных ализариновым красным S остеонов в диафизе ББК; В18 — среднее количество остеонов с перестроенным центральным отделом в диафизе ББК; В22 — отношение среднего диаметра гаверсова канала к среднему диаметру остеона в диафизе Б</w:t>
      </w:r>
      <w:r>
        <w:t>БК; В23 — среднее количество остеонов по внутренней поверхности диафиза ББК; В24 — среднее количество остеонов по наружной поверхности диафиза ББК.</w:t>
      </w:r>
    </w:p>
    <w:p w:rsidR="004B6076" w:rsidRDefault="009E1091">
      <w:pPr>
        <w:spacing w:after="163" w:line="265" w:lineRule="auto"/>
        <w:ind w:left="-5"/>
      </w:pPr>
      <w:r>
        <w:rPr>
          <w:b/>
          <w:i/>
        </w:rPr>
        <w:t>Старше 50 лет</w:t>
      </w:r>
    </w:p>
    <w:p w:rsidR="004B6076" w:rsidRDefault="009E1091">
      <w:pPr>
        <w:ind w:left="-5" w:right="22"/>
      </w:pPr>
      <w:r>
        <w:t>Коэффициент корреляции: r=0,730.</w:t>
      </w:r>
    </w:p>
    <w:p w:rsidR="004B6076" w:rsidRDefault="009E1091">
      <w:pPr>
        <w:ind w:left="-5" w:right="22"/>
      </w:pPr>
      <w:r>
        <w:t>Стандартная ошибка: 4,418.</w:t>
      </w:r>
    </w:p>
    <w:p w:rsidR="004B6076" w:rsidRDefault="009E1091">
      <w:pPr>
        <w:ind w:left="-5" w:right="22"/>
      </w:pPr>
      <w:r>
        <w:t>Значимость: p=0,002.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=72,727+3,689×В11–3,610×В13–0,574×В14–6,306×В16+31,041×В17,</w:t>
      </w:r>
    </w:p>
    <w:p w:rsidR="004B6076" w:rsidRDefault="009E1091">
      <w:pPr>
        <w:ind w:left="-5" w:right="22"/>
      </w:pPr>
      <w:r>
        <w:t>где AGE — возраст; В11 — толщина слоя остеонов диафиза ББК, мкм; В13 — среднее количество остеонов в нижнем эпифизе ББК; В14 — минимальная толщина субхондральной пластинки ББК в нижнем эпифизе ББК, мкм; В16 — среднее количество темноокрашенных ализариновым</w:t>
      </w:r>
      <w:r>
        <w:t xml:space="preserve"> красным S остеонов в диафизе ББК; В17 — доля темноокрашенных ализариновым красным S остеонов в диафизе ББК.</w:t>
      </w:r>
    </w:p>
    <w:p w:rsidR="004B6076" w:rsidRDefault="009E1091">
      <w:pPr>
        <w:spacing w:after="420"/>
        <w:ind w:left="-5" w:right="22"/>
      </w:pPr>
      <w:r>
        <w:t>Представленные выше уравнения позволяют определить возраст у лиц моложе 18 лет с точностью до 0,7 года (r=0,951, p=0,294), на возрастном отрезке от</w:t>
      </w:r>
      <w:r>
        <w:t xml:space="preserve"> 18 до 27 лет — с точностью до 1,5 года (r=0,861, р &lt;0,05), у лиц от 27 до 50 лет — с точностью до 4,6 года (r=0,848, р &lt;0,05), в группе старше 50 лет точность определения возраста составляет 4,4 года (r=0,730, р &lt;0,05). Мы видим, что наибольшая точность о</w:t>
      </w:r>
      <w:r>
        <w:t>пределения возраста получена в возрастной группе от 18 до 27 лет. По-видимому, это связано с тем, что на данном отрезке еще происходят достаточно интенсивные процессы костной перестройки по сравнению с последующей возрастной группой, в которой наступает бо</w:t>
      </w:r>
      <w:r>
        <w:t>лее выраженная стадия стабилизации.</w:t>
      </w:r>
    </w:p>
    <w:p w:rsidR="004B6076" w:rsidRDefault="009E1091">
      <w:pPr>
        <w:spacing w:after="128" w:line="248" w:lineRule="auto"/>
        <w:ind w:left="-5"/>
      </w:pPr>
      <w:r>
        <w:rPr>
          <w:b/>
          <w:sz w:val="29"/>
        </w:rPr>
        <w:t>4.1.2. Расчет биологического возраста на основании результатов гистоморфо​метрического исследования реберного хряща, эпифизов и диафизов большеберцовой кости</w:t>
      </w:r>
    </w:p>
    <w:p w:rsidR="004B6076" w:rsidRDefault="009E1091">
      <w:pPr>
        <w:numPr>
          <w:ilvl w:val="0"/>
          <w:numId w:val="4"/>
        </w:numPr>
        <w:spacing w:after="162" w:line="265" w:lineRule="auto"/>
        <w:ind w:right="22" w:hanging="267"/>
      </w:pPr>
      <w:r>
        <w:rPr>
          <w:i/>
        </w:rPr>
        <w:t>Наличие или отсутствие линии минерализации (линии роста сустав</w:t>
      </w:r>
      <w:r>
        <w:rPr>
          <w:i/>
        </w:rPr>
        <w:t>ного хряща).</w:t>
      </w:r>
    </w:p>
    <w:p w:rsidR="004B6076" w:rsidRDefault="009E1091">
      <w:pPr>
        <w:numPr>
          <w:ilvl w:val="0"/>
          <w:numId w:val="4"/>
        </w:numPr>
        <w:ind w:right="22" w:hanging="267"/>
      </w:pPr>
      <w:r>
        <w:rPr>
          <w:i/>
        </w:rPr>
        <w:t xml:space="preserve">Наличие или отсутствие синостозирования. </w:t>
      </w:r>
      <w:r>
        <w:t>Сочетание состоявшегося синостозирования с наличием линии роста позволяет сделать вывод, что возраст идентифицируемого больше 18.</w:t>
      </w:r>
    </w:p>
    <w:p w:rsidR="004B6076" w:rsidRDefault="009E1091">
      <w:pPr>
        <w:numPr>
          <w:ilvl w:val="0"/>
          <w:numId w:val="4"/>
        </w:numPr>
        <w:spacing w:after="84"/>
        <w:ind w:right="22" w:hanging="267"/>
      </w:pPr>
      <w:r>
        <w:rPr>
          <w:i/>
        </w:rPr>
        <w:t>Наличие или отсутствие отчетливо различимого на малом увеличении микроск</w:t>
      </w:r>
      <w:r>
        <w:rPr>
          <w:i/>
        </w:rPr>
        <w:t xml:space="preserve">опа (×50) четырехслойного строенияреберного хряща. </w:t>
      </w:r>
      <w:r>
        <w:t>Для реберного хряща также характерно четырехслойное строение, но некоторые слои могут редуцироваться и практически перестают различаться на малом увеличении микроскопа, причем почти вся хрящевая ткань прио</w:t>
      </w:r>
      <w:r>
        <w:t>бретает строение покоящейся. В частности, слой кальцинирующегося (фрагментированного) хряща на продольном срезе ребра представлен костно-хрящевыми балками, которые наблюдаются у всех индивидов в возрасте до 20 лет, у некоторых — от 20 до 27 лет и отсутству</w:t>
      </w:r>
      <w:r>
        <w:t>ют у лиц старше 27 лет. Поэтому в каждом случае следует оценивать наличие зон пролиферирующего, созревающего и кальцинирующегося (фрагментированного) хряща.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460"/>
                <wp:effectExtent l="0" t="0" r="0" b="0"/>
                <wp:docPr id="126125" name="Group 126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460"/>
                          <a:chOff x="0" y="0"/>
                          <a:chExt cx="30488" cy="30460"/>
                        </a:xfrm>
                      </wpg:grpSpPr>
                      <wps:wsp>
                        <wps:cNvPr id="5833" name="Shape 5833"/>
                        <wps:cNvSpPr/>
                        <wps:spPr>
                          <a:xfrm>
                            <a:off x="0" y="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6125" style="width:2.40061pt;height:2.39844pt;mso-position-horizontal-relative:char;mso-position-vertical-relative:line" coordsize="304,304">
                <v:shape id="Shape 5833" style="position:absolute;width:304;height:304;left:0;top:0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310" w:right="22"/>
      </w:pPr>
      <w:r>
        <w:t>Наличие достоверно различимых на малом увеличении микроскопа (×50) зон пролиферирующего, созреваю</w:t>
      </w:r>
      <w:r>
        <w:t>щего и кальцинирующегося хряща позволяет отнести идентифицируемого к возрастной группе до 27 лет, а наличие только зоны пролиферации хондроцитов — к группе до 32 лет.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510"/>
                <wp:effectExtent l="0" t="0" r="0" b="0"/>
                <wp:docPr id="126126" name="Group 126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510"/>
                          <a:chOff x="0" y="0"/>
                          <a:chExt cx="30488" cy="30510"/>
                        </a:xfrm>
                      </wpg:grpSpPr>
                      <wps:wsp>
                        <wps:cNvPr id="5837" name="Shape 5837"/>
                        <wps:cNvSpPr/>
                        <wps:spPr>
                          <a:xfrm>
                            <a:off x="0" y="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6126" style="width:2.40061pt;height:2.40234pt;mso-position-horizontal-relative:char;mso-position-vertical-relative:line" coordsize="304,305">
                <v:shape id="Shape 5837" style="position:absolute;width:304;height:305;left:0;top:0;" coordsize="30488,30510" path="m15244,0c23663,0,30488,6846,30488,15230c30488,23664,23663,30510,15244,30510c6825,30510,0,23664,0,15230c0,6846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ind w:left="310" w:right="22"/>
      </w:pPr>
      <w:r>
        <w:t>Отсутствие достоверно различимой на малом увеличении микроскопа (×50) зоны кальцинирующ</w:t>
      </w:r>
      <w:r>
        <w:t>егося хряща позволяет отнести идентифицируемого к возрастной группе более 20 лет, а отсутствие всех трех зон — к группе более 23 лет.</w:t>
      </w:r>
    </w:p>
    <w:p w:rsidR="004B6076" w:rsidRDefault="009E1091">
      <w:pPr>
        <w:numPr>
          <w:ilvl w:val="0"/>
          <w:numId w:val="4"/>
        </w:numPr>
        <w:spacing w:after="84"/>
        <w:ind w:right="22" w:hanging="267"/>
      </w:pPr>
      <w:r>
        <w:rPr>
          <w:i/>
        </w:rPr>
        <w:t>Количественное исследование выраженности этих зон, позволяющее уточнить возраст индивида</w:t>
      </w:r>
      <w:r>
        <w:t>. Выраженные проявления возрастной</w:t>
      </w:r>
      <w:r>
        <w:t xml:space="preserve"> инволюции костной ткани наблюдаются у лиц старше 50 лет. Для отнесения идентифицируемого к возрастной группе до 50 лет или более 50 лет используется комплекс качественных признаков, характеризующих инволюционные процессы.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510"/>
                <wp:effectExtent l="0" t="0" r="0" b="0"/>
                <wp:docPr id="126127" name="Group 126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510"/>
                          <a:chOff x="0" y="0"/>
                          <a:chExt cx="30488" cy="30510"/>
                        </a:xfrm>
                      </wpg:grpSpPr>
                      <wps:wsp>
                        <wps:cNvPr id="5845" name="Shape 5845"/>
                        <wps:cNvSpPr/>
                        <wps:spPr>
                          <a:xfrm>
                            <a:off x="0" y="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6127" style="width:2.40061pt;height:2.40234pt;mso-position-horizontal-relative:char;mso-position-vertical-relative:line" coordsize="304,305">
                <v:shape id="Shape 5845" style="position:absolute;width:304;height:305;left:0;top:0;" coordsize="30488,30510" path="m15244,0c23663,0,30488,6846,30488,15280c30488,23664,23663,30510,15244,30510c6825,30510,0,23664,0,15280c0,6846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spacing w:after="0"/>
        <w:ind w:left="310" w:right="22"/>
      </w:pPr>
      <w:r>
        <w:t xml:space="preserve">Наличие многочисленных толстых </w:t>
      </w:r>
      <w:r>
        <w:t>костных балок и многочисленных эндотрабекулярных остеонов с небольшими гаверсовыми каналами в губчатом веществе эпифиза ББК, толстая субхондральная пластинка, соотношение площади миелоидной и жировой ткани в костномозговых полостях ребра &gt;1 служат критерия</w:t>
      </w:r>
      <w:r>
        <w:t>ми отнесения идентифицируемого к возрастной группе от 18 до 50 лет.</w:t>
      </w:r>
    </w:p>
    <w:p w:rsidR="004B6076" w:rsidRDefault="009E1091">
      <w:pPr>
        <w:spacing w:after="0" w:line="259" w:lineRule="auto"/>
        <w:ind w:left="30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0488" cy="30510"/>
                <wp:effectExtent l="0" t="0" r="0" b="0"/>
                <wp:docPr id="126128" name="Group 126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0510"/>
                          <a:chOff x="0" y="0"/>
                          <a:chExt cx="30488" cy="30510"/>
                        </a:xfrm>
                      </wpg:grpSpPr>
                      <wps:wsp>
                        <wps:cNvPr id="5850" name="Shape 5850"/>
                        <wps:cNvSpPr/>
                        <wps:spPr>
                          <a:xfrm>
                            <a:off x="0" y="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6128" style="width:2.40061pt;height:2.40234pt;mso-position-horizontal-relative:char;mso-position-vertical-relative:line" coordsize="304,305">
                <v:shape id="Shape 5850" style="position:absolute;width:304;height:305;left:0;top:0;" coordsize="30488,30510" path="m15244,0c23663,0,30488,6846,30488,15230c30488,23664,23663,30510,15244,30510c6825,30510,0,23664,0,15230c0,6846,6825,0,15244,0x">
                  <v:stroke weight="0.600151pt" endcap="square" joinstyle="bevel" on="true" color="#000000"/>
                  <v:fill on="true" color="#000000"/>
                </v:shape>
              </v:group>
            </w:pict>
          </mc:Fallback>
        </mc:AlternateContent>
      </w:r>
    </w:p>
    <w:p w:rsidR="004B6076" w:rsidRDefault="009E1091">
      <w:pPr>
        <w:ind w:left="310" w:right="22"/>
      </w:pPr>
      <w:r>
        <w:t>Немногочисленные тонкие костные балки и немногочисленные эндотрабекулярные остеоны с широкими гаверсовыми каналами в губчатом веществе эпифиза ББК, тонкая субхондральная пластинка, соотношение площади миелоидной и жировой ткани в костномозговых полостях ре</w:t>
      </w:r>
      <w:r>
        <w:t>бра =1 или преобладание жировой ткани позволяют отнести идентифицируемого к возрастной группе более 50 лет.</w:t>
      </w:r>
    </w:p>
    <w:p w:rsidR="004B6076" w:rsidRDefault="009E1091">
      <w:pPr>
        <w:spacing w:after="273"/>
        <w:ind w:left="-5" w:right="22"/>
      </w:pPr>
      <w:r>
        <w:t>После отнесения индивида к какой-либо определенной возрастной группе следует применить соответствующее уравнение регрессии. Для этого результаты изм</w:t>
      </w:r>
      <w:r>
        <w:t>ерений вводят в специальные математические формулы-уравнения регрессии, имеющие вид:</w:t>
      </w:r>
    </w:p>
    <w:p w:rsidR="004B6076" w:rsidRDefault="009E1091">
      <w:pPr>
        <w:spacing w:after="13"/>
        <w:ind w:left="-5" w:right="22"/>
      </w:pPr>
      <w:r>
        <w:t>AGE=а +а Q +а Q +…+а Q ±b,</w:t>
      </w:r>
    </w:p>
    <w:p w:rsidR="004B6076" w:rsidRDefault="009E1091">
      <w:pPr>
        <w:numPr>
          <w:ilvl w:val="0"/>
          <w:numId w:val="5"/>
        </w:numPr>
        <w:spacing w:after="302" w:line="265" w:lineRule="auto"/>
        <w:ind w:hanging="324"/>
      </w:pPr>
      <w:r>
        <w:rPr>
          <w:sz w:val="16"/>
        </w:rPr>
        <w:t>1</w:t>
      </w:r>
      <w:r>
        <w:rPr>
          <w:sz w:val="16"/>
        </w:rPr>
        <w:tab/>
        <w:t>1</w:t>
      </w:r>
      <w:r>
        <w:rPr>
          <w:sz w:val="16"/>
        </w:rPr>
        <w:tab/>
        <w:t>2</w:t>
      </w:r>
      <w:r>
        <w:rPr>
          <w:sz w:val="16"/>
        </w:rPr>
        <w:tab/>
        <w:t>2</w:t>
      </w:r>
      <w:r>
        <w:rPr>
          <w:sz w:val="16"/>
        </w:rPr>
        <w:tab/>
        <w:t>n</w:t>
      </w:r>
      <w:r>
        <w:rPr>
          <w:sz w:val="16"/>
        </w:rPr>
        <w:tab/>
        <w:t>n</w:t>
      </w:r>
    </w:p>
    <w:p w:rsidR="004B6076" w:rsidRDefault="009E1091">
      <w:pPr>
        <w:spacing w:after="13"/>
        <w:ind w:left="-5" w:right="22"/>
      </w:pPr>
      <w:r>
        <w:t>где AGE — прогнозируемый возраст в годах; а , а , а , … а — коэффициенты регрессии, вычисленные при обследовании лиц с</w:t>
      </w:r>
    </w:p>
    <w:p w:rsidR="004B6076" w:rsidRDefault="009E1091">
      <w:pPr>
        <w:tabs>
          <w:tab w:val="center" w:pos="4184"/>
          <w:tab w:val="center" w:pos="4472"/>
          <w:tab w:val="center" w:pos="4760"/>
          <w:tab w:val="center" w:pos="5288"/>
        </w:tabs>
        <w:spacing w:after="110" w:line="265" w:lineRule="auto"/>
        <w:ind w:left="0" w:firstLine="0"/>
      </w:pPr>
      <w:r>
        <w:rPr>
          <w:sz w:val="22"/>
        </w:rPr>
        <w:tab/>
      </w:r>
      <w:r>
        <w:rPr>
          <w:sz w:val="16"/>
        </w:rPr>
        <w:t>0</w:t>
      </w:r>
      <w:r>
        <w:rPr>
          <w:sz w:val="16"/>
        </w:rPr>
        <w:tab/>
        <w:t>1</w:t>
      </w:r>
      <w:r>
        <w:rPr>
          <w:sz w:val="16"/>
        </w:rPr>
        <w:tab/>
        <w:t>2</w:t>
      </w:r>
      <w:r>
        <w:rPr>
          <w:sz w:val="16"/>
        </w:rPr>
        <w:tab/>
        <w:t>n</w:t>
      </w:r>
    </w:p>
    <w:p w:rsidR="004B6076" w:rsidRDefault="009E1091">
      <w:pPr>
        <w:spacing w:after="13"/>
        <w:ind w:left="-5" w:right="22"/>
      </w:pPr>
      <w:r>
        <w:t>изве</w:t>
      </w:r>
      <w:r>
        <w:t>стным возрастом; Q , Q , … Q — величины признаков, мкм; b — предел возможного отклонения от вычисленного по</w:t>
      </w:r>
    </w:p>
    <w:p w:rsidR="004B6076" w:rsidRDefault="009E1091">
      <w:pPr>
        <w:numPr>
          <w:ilvl w:val="0"/>
          <w:numId w:val="5"/>
        </w:numPr>
        <w:spacing w:after="0" w:line="265" w:lineRule="auto"/>
        <w:ind w:hanging="324"/>
      </w:pPr>
      <w:r>
        <w:rPr>
          <w:sz w:val="16"/>
        </w:rPr>
        <w:t>2</w:t>
      </w:r>
      <w:r>
        <w:rPr>
          <w:sz w:val="16"/>
        </w:rPr>
        <w:tab/>
        <w:t>n</w:t>
      </w:r>
    </w:p>
    <w:p w:rsidR="004B6076" w:rsidRDefault="009E1091">
      <w:pPr>
        <w:ind w:left="-5" w:right="22"/>
      </w:pPr>
      <w:r>
        <w:t>формуле значения.</w:t>
      </w:r>
    </w:p>
    <w:p w:rsidR="004B6076" w:rsidRDefault="009E1091">
      <w:pPr>
        <w:spacing w:after="0" w:line="430" w:lineRule="auto"/>
        <w:ind w:left="-5" w:right="981"/>
      </w:pPr>
      <w:r>
        <w:rPr>
          <w:b/>
        </w:rPr>
        <w:t xml:space="preserve">Для возрастной группы менее 18 лет (до 17 лет включительно): </w:t>
      </w:r>
      <w:r>
        <w:t>AGE=0,108+0,00067Q13+0,501Q20–0,0965Q7±2,25,</w:t>
      </w:r>
    </w:p>
    <w:p w:rsidR="004B6076" w:rsidRDefault="009E1091">
      <w:pPr>
        <w:spacing w:after="160"/>
        <w:ind w:left="-5" w:right="22"/>
      </w:pPr>
      <w:r>
        <w:t>где AGE — биологичес</w:t>
      </w:r>
      <w:r>
        <w:t>кий возраст в годах; Q7 — средняя толщина кортикального слоя ребра в поле зрения, мкм; Q13 — средняя площадь трабекул в препарате эпифиза ББК в поле зрения, мкм²; Q20 — средняя толщина трабекул в препарате эпифиза ББК в поле зрения, мкм.</w:t>
      </w:r>
    </w:p>
    <w:p w:rsidR="004B6076" w:rsidRDefault="009E1091">
      <w:pPr>
        <w:spacing w:after="0" w:line="265" w:lineRule="auto"/>
        <w:ind w:left="3272"/>
      </w:pPr>
      <w:r>
        <w:rPr>
          <w:sz w:val="16"/>
        </w:rPr>
        <w:t>2</w:t>
      </w:r>
    </w:p>
    <w:p w:rsidR="004B6076" w:rsidRDefault="009E1091">
      <w:pPr>
        <w:ind w:left="-5" w:right="22"/>
      </w:pPr>
      <w:r>
        <w:t>Коэффициент корреляции: r=0,882; r =0,778.</w:t>
      </w:r>
    </w:p>
    <w:p w:rsidR="004B6076" w:rsidRDefault="009E1091">
      <w:pPr>
        <w:spacing w:after="0" w:line="430" w:lineRule="auto"/>
        <w:ind w:left="-5" w:right="156"/>
      </w:pPr>
      <w:r>
        <w:rPr>
          <w:b/>
        </w:rPr>
        <w:t xml:space="preserve">Для возрастной группы от 18 до 30 лет (включая оба предельные значения): </w:t>
      </w:r>
      <w:r>
        <w:t>AGE=31,84–0,112Q34–84,67Q5–0,078Q7±2,048,</w:t>
      </w:r>
    </w:p>
    <w:p w:rsidR="004B6076" w:rsidRDefault="009E1091">
      <w:pPr>
        <w:spacing w:after="160"/>
        <w:ind w:left="-5" w:right="22"/>
      </w:pPr>
      <w:r>
        <w:t>где Q5 — соотношение площадей хрящевой и костной ткани в переходной зоне продольного среза ребра в</w:t>
      </w:r>
      <w:r>
        <w:t xml:space="preserve"> поле зрения; Q7 — средняя толщина кортикального слоя ребра в поле зрения, мкм; Q34 — толщина слоя внутренних генеральных пластинок в декальцинированном препарате диафиза ББК, мкм.</w:t>
      </w:r>
    </w:p>
    <w:p w:rsidR="004B6076" w:rsidRDefault="009E1091">
      <w:pPr>
        <w:spacing w:after="0" w:line="265" w:lineRule="auto"/>
        <w:ind w:left="3272"/>
      </w:pPr>
      <w:r>
        <w:rPr>
          <w:sz w:val="16"/>
        </w:rPr>
        <w:t>2</w:t>
      </w:r>
    </w:p>
    <w:p w:rsidR="004B6076" w:rsidRDefault="009E1091">
      <w:pPr>
        <w:ind w:left="-5" w:right="22"/>
      </w:pPr>
      <w:r>
        <w:t>Коэффициент корреляции: r=0,814; r =0,663.</w:t>
      </w:r>
    </w:p>
    <w:p w:rsidR="004B6076" w:rsidRDefault="009E1091">
      <w:pPr>
        <w:spacing w:after="96" w:line="332" w:lineRule="auto"/>
        <w:ind w:left="-5" w:right="156"/>
      </w:pPr>
      <w:r>
        <w:rPr>
          <w:b/>
        </w:rPr>
        <w:t>Для возрастной группы от 18 до</w:t>
      </w:r>
      <w:r>
        <w:rPr>
          <w:b/>
        </w:rPr>
        <w:t xml:space="preserve"> 32 лет (включая оба предельные значения) уравнение используется, если невозможно точно определить верхний предел возраста данного индивида: </w:t>
      </w:r>
      <w:r>
        <w:t>AGE=17,301+0,158Q29–0,022Q7±2,11,</w:t>
      </w:r>
    </w:p>
    <w:p w:rsidR="004B6076" w:rsidRDefault="009E1091">
      <w:pPr>
        <w:spacing w:after="160"/>
        <w:ind w:left="-5" w:right="22"/>
      </w:pPr>
      <w:r>
        <w:t>где Q7 — средняя толщина кортикального слоя ребра в поле зрения, мкм; Q29 — средн</w:t>
      </w:r>
      <w:r>
        <w:t>ий диаметр остеона в компактном веществе задней поверхности диафиза ББК, мкм.</w:t>
      </w:r>
    </w:p>
    <w:p w:rsidR="004B6076" w:rsidRDefault="009E1091">
      <w:pPr>
        <w:spacing w:after="0" w:line="265" w:lineRule="auto"/>
        <w:ind w:left="3272"/>
      </w:pPr>
      <w:r>
        <w:rPr>
          <w:sz w:val="16"/>
        </w:rPr>
        <w:t>2</w:t>
      </w:r>
    </w:p>
    <w:p w:rsidR="004B6076" w:rsidRDefault="009E1091">
      <w:pPr>
        <w:ind w:left="-5" w:right="22"/>
      </w:pPr>
      <w:r>
        <w:t>Коэффициент корреляции: r=0,805; r =0,648.</w:t>
      </w:r>
    </w:p>
    <w:p w:rsidR="004B6076" w:rsidRDefault="009E1091">
      <w:pPr>
        <w:spacing w:after="0" w:line="430" w:lineRule="auto"/>
        <w:ind w:left="-5" w:right="156"/>
      </w:pPr>
      <w:r>
        <w:rPr>
          <w:b/>
        </w:rPr>
        <w:t xml:space="preserve">Для возрастной группы от 27 до 50 лет (включая оба предельные значения): </w:t>
      </w:r>
      <w:r>
        <w:t>AGE=59,33–0,814Q20–0,78Q32–0,271Q34±2,9,</w:t>
      </w:r>
    </w:p>
    <w:p w:rsidR="004B6076" w:rsidRDefault="009E1091">
      <w:pPr>
        <w:spacing w:after="13"/>
        <w:ind w:left="-5" w:right="22"/>
      </w:pPr>
      <w:r>
        <w:t>где Q20 — средняя толщина трабекул в препарате эпифиза ББК в поле зрения, мкм; Q32 — толщина слоя наружных</w:t>
      </w:r>
    </w:p>
    <w:p w:rsidR="004B6076" w:rsidRDefault="009E1091">
      <w:pPr>
        <w:spacing w:after="160"/>
        <w:ind w:left="-5" w:right="22"/>
      </w:pPr>
      <w:r>
        <w:t>генеральных пластинок в декальцинированном препарате диафиза ББК, мкм; Q34 — толщина слоя внутренних генеральных пластинок в декальцинированном препа</w:t>
      </w:r>
      <w:r>
        <w:t>рате диафиза ББК, мкм.</w:t>
      </w:r>
    </w:p>
    <w:p w:rsidR="004B6076" w:rsidRDefault="009E1091">
      <w:pPr>
        <w:spacing w:after="206"/>
        <w:ind w:left="-15" w:right="7109" w:firstLine="3277"/>
      </w:pPr>
      <w:r>
        <w:rPr>
          <w:sz w:val="16"/>
        </w:rPr>
        <w:t xml:space="preserve">2 </w:t>
      </w:r>
      <w:r>
        <w:t>Коэффициент корреляции: r=0,935; r =0,875.</w:t>
      </w:r>
    </w:p>
    <w:p w:rsidR="004B6076" w:rsidRDefault="009E1091">
      <w:pPr>
        <w:spacing w:after="158" w:line="270" w:lineRule="auto"/>
        <w:ind w:left="-5" w:right="156"/>
      </w:pPr>
      <w:r>
        <w:rPr>
          <w:b/>
        </w:rPr>
        <w:t>Для возрастной группы более 50 лет:</w:t>
      </w:r>
    </w:p>
    <w:p w:rsidR="004B6076" w:rsidRDefault="009E1091">
      <w:pPr>
        <w:ind w:left="-5" w:right="22"/>
      </w:pPr>
      <w:r>
        <w:t>AGE=–59,793–1,72Q10–0,0078Q13+5,057Q7+8,702Q29±3,55,</w:t>
      </w:r>
    </w:p>
    <w:p w:rsidR="004B6076" w:rsidRDefault="009E1091">
      <w:pPr>
        <w:spacing w:after="160"/>
        <w:ind w:left="-5" w:right="22"/>
      </w:pPr>
      <w:r>
        <w:t>где Q7 — средняя толщина кортикального слоя ребра в поле зрения, мкм; Q10 — средняя плотность клето</w:t>
      </w:r>
      <w:r>
        <w:t>к на поперечном срезе ребра (их количество на площади среза 0,01 мм²); Q13 — средняя площадь трабекул в препарате эпифиза ББК в поле зрения, мкм; Q29 — средний диаметр остеона в компактном веществе задней поверхности диафиза ББК, мкм.</w:t>
      </w:r>
    </w:p>
    <w:p w:rsidR="004B6076" w:rsidRDefault="009E1091">
      <w:pPr>
        <w:spacing w:after="206"/>
        <w:ind w:left="-15" w:right="7109" w:firstLine="3277"/>
      </w:pPr>
      <w:r>
        <w:rPr>
          <w:sz w:val="16"/>
        </w:rPr>
        <w:t xml:space="preserve">2 </w:t>
      </w:r>
      <w:r>
        <w:t>Коэффициент корреляции: r=0,956; r =0,915.</w:t>
      </w:r>
    </w:p>
    <w:p w:rsidR="004B6076" w:rsidRDefault="009E1091">
      <w:pPr>
        <w:spacing w:after="158" w:line="270" w:lineRule="auto"/>
        <w:ind w:left="-5" w:right="156"/>
      </w:pPr>
      <w:r>
        <w:rPr>
          <w:b/>
        </w:rPr>
        <w:t>Для возрастной группы более 30 лет:</w:t>
      </w:r>
    </w:p>
    <w:p w:rsidR="004B6076" w:rsidRDefault="009E1091">
      <w:pPr>
        <w:ind w:left="-5" w:right="22"/>
      </w:pPr>
      <w:r>
        <w:t>Уравнения используются, если невозможно более точно определить верхний предел возраста данного индивида. Для повышения точности рекомендуется использовать обе формулы с последую</w:t>
      </w:r>
      <w:r>
        <w:t>щим вычислением арифметического среднего, которое и будет соответствовать биологическому возрасту данного индивида.</w:t>
      </w:r>
    </w:p>
    <w:p w:rsidR="004B6076" w:rsidRDefault="009E1091">
      <w:pPr>
        <w:ind w:left="-5" w:right="22"/>
      </w:pPr>
      <w:r>
        <w:t>Уравнение 1:</w:t>
      </w:r>
    </w:p>
    <w:p w:rsidR="004B6076" w:rsidRDefault="009E1091">
      <w:pPr>
        <w:ind w:left="-5" w:right="22"/>
      </w:pPr>
      <w:r>
        <w:t>AGE=116,966–4,42×Q4–0,69×Q10–2,702×Q11–0,00232×Q13±11,6,</w:t>
      </w:r>
    </w:p>
    <w:p w:rsidR="004B6076" w:rsidRDefault="009E1091">
      <w:pPr>
        <w:ind w:left="-5" w:right="195"/>
      </w:pPr>
      <w:r>
        <w:t>где Q4 — среднее соотношение площадей кроветворной и жировой ткани в к</w:t>
      </w:r>
      <w:r>
        <w:t xml:space="preserve">остномозговых полостях ребра в поле зрения; Q10 — средняя плотность клеток на поперечном срезе ребра (их количество на площади среза 0,01 мм²); Q11 — максимальная плотность сосудов на поперечном срезе ребра (их количество на площади среза 0,01 мм²); Q13 — </w:t>
      </w:r>
      <w:r>
        <w:t>средняя площадь трабекул в препарате эпифиза ББК в поле зрения, мкм.</w:t>
      </w:r>
    </w:p>
    <w:p w:rsidR="004B6076" w:rsidRDefault="009E1091">
      <w:pPr>
        <w:ind w:left="-5" w:right="22"/>
      </w:pPr>
      <w:r>
        <w:t>Уравнение 2:</w:t>
      </w:r>
    </w:p>
    <w:p w:rsidR="004B6076" w:rsidRDefault="009E1091">
      <w:pPr>
        <w:ind w:left="-5" w:right="22"/>
      </w:pPr>
      <w:r>
        <w:t>AGE=117,558–1,444×Q10–2,088×Q23±6,25,</w:t>
      </w:r>
    </w:p>
    <w:p w:rsidR="004B6076" w:rsidRDefault="009E1091">
      <w:pPr>
        <w:spacing w:after="304"/>
        <w:ind w:left="-5" w:right="22"/>
      </w:pPr>
      <w:r>
        <w:t>где Q10 — средняя плотность клеток на поперечном срезе ребра (их количество на площади среза 0,01 мм²); Q23 — средний диаметр остеона ко</w:t>
      </w:r>
      <w:r>
        <w:t>мпактного вещества диафиза ББК (при исследовании всех поверхностей), мкм.</w:t>
      </w:r>
    </w:p>
    <w:p w:rsidR="004B6076" w:rsidRDefault="009E1091">
      <w:pPr>
        <w:pStyle w:val="Heading2"/>
        <w:ind w:left="-5" w:right="800"/>
      </w:pPr>
      <w:r>
        <w:t>4.2. Экспертная модель определения биологического возраста индивида на основании исследования щитовидного хряща</w:t>
      </w:r>
    </w:p>
    <w:p w:rsidR="004B6076" w:rsidRDefault="009E1091">
      <w:pPr>
        <w:ind w:left="-5" w:right="22"/>
      </w:pPr>
      <w:r>
        <w:t>При анализе совместного распределения доли костной ткани на рентгеногр</w:t>
      </w:r>
      <w:r>
        <w:t>амме с возрастом было получено, что между ними имеется прямая связь, близкая к линейной, коэффициент корреляции r=0,8.</w:t>
      </w:r>
    </w:p>
    <w:p w:rsidR="004B6076" w:rsidRDefault="009E1091">
      <w:pPr>
        <w:spacing w:after="97" w:line="332" w:lineRule="auto"/>
        <w:ind w:left="-5" w:right="901"/>
      </w:pPr>
      <w:r>
        <w:t>При построении прогноза ожидаемой величины возраста по доле костной ткани на рентгенограмме по методу линейной регрессии было получено сл</w:t>
      </w:r>
      <w:r>
        <w:t xml:space="preserve">едующее выражение: </w:t>
      </w:r>
      <w:r>
        <w:rPr>
          <w:b/>
        </w:rPr>
        <w:t>AGE</w:t>
      </w:r>
      <w:r>
        <w:t>=17,594+0,705×процент костной ткани,</w:t>
      </w:r>
    </w:p>
    <w:p w:rsidR="004B6076" w:rsidRDefault="009E1091">
      <w:pPr>
        <w:ind w:left="-5" w:right="335"/>
      </w:pPr>
      <w:r>
        <w:t>где AGE — предполагаемый возраст трупа. Среднеквадратичная величина ошибки прогнозирования по данному методу равна ±8,4 года, максимальная величина ошибки прогнозирования — 26 лет.</w:t>
      </w:r>
    </w:p>
    <w:p w:rsidR="004B6076" w:rsidRDefault="009E1091">
      <w:pPr>
        <w:ind w:left="-5" w:right="22"/>
      </w:pPr>
      <w:r>
        <w:t>При статистическ</w:t>
      </w:r>
      <w:r>
        <w:t>ой обработке результатов морфометрического исследования при прогнозировании возраста по методу линейной регрессии были отобраны нижеперечисленные признаки и получена таблица регрессионной модели (табл. 4.2.1).</w:t>
      </w:r>
    </w:p>
    <w:p w:rsidR="004B6076" w:rsidRDefault="009E1091">
      <w:pPr>
        <w:spacing w:after="20"/>
        <w:ind w:left="-5" w:right="22"/>
      </w:pPr>
      <w:r>
        <w:rPr>
          <w:b/>
        </w:rPr>
        <w:t xml:space="preserve">Таблица 4.2.1. </w:t>
      </w:r>
      <w:r>
        <w:t>Коэффициенты регрессионной моде</w:t>
      </w:r>
      <w:r>
        <w:t>ли определения возраста по морфометрическим признакам</w:t>
      </w:r>
    </w:p>
    <w:tbl>
      <w:tblPr>
        <w:tblStyle w:val="TableGrid"/>
        <w:tblW w:w="8354" w:type="dxa"/>
        <w:tblInd w:w="24" w:type="dxa"/>
        <w:tblCellMar>
          <w:top w:w="112" w:type="dxa"/>
          <w:left w:w="36" w:type="dxa"/>
          <w:bottom w:w="0" w:type="dxa"/>
          <w:right w:w="37" w:type="dxa"/>
        </w:tblCellMar>
        <w:tblLook w:val="04A0" w:firstRow="1" w:lastRow="0" w:firstColumn="1" w:lastColumn="0" w:noHBand="0" w:noVBand="1"/>
      </w:tblPr>
      <w:tblGrid>
        <w:gridCol w:w="4873"/>
        <w:gridCol w:w="660"/>
        <w:gridCol w:w="948"/>
        <w:gridCol w:w="660"/>
        <w:gridCol w:w="660"/>
        <w:gridCol w:w="552"/>
      </w:tblGrid>
      <w:tr w:rsidR="004B6076">
        <w:trPr>
          <w:trHeight w:val="528"/>
        </w:trPr>
        <w:tc>
          <w:tcPr>
            <w:tcW w:w="48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Признак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B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Std.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Errоr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Beta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t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p</w:t>
            </w:r>
          </w:p>
        </w:tc>
      </w:tr>
      <w:tr w:rsidR="004B6076">
        <w:trPr>
          <w:trHeight w:val="300"/>
        </w:trPr>
        <w:tc>
          <w:tcPr>
            <w:tcW w:w="48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Коэффициент регрессии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38,837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4,338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8,954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0,000</w:t>
            </w:r>
          </w:p>
        </w:tc>
      </w:tr>
      <w:tr w:rsidR="004B6076">
        <w:trPr>
          <w:trHeight w:val="300"/>
        </w:trPr>
        <w:tc>
          <w:tcPr>
            <w:tcW w:w="48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Ранг «средняя площадь жировой ткани» (А)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0,106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0,044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0,187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2,384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0,019</w:t>
            </w:r>
          </w:p>
        </w:tc>
      </w:tr>
      <w:tr w:rsidR="004B6076">
        <w:trPr>
          <w:trHeight w:val="348"/>
        </w:trPr>
        <w:tc>
          <w:tcPr>
            <w:tcW w:w="48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1695" w:firstLine="0"/>
              <w:jc w:val="center"/>
            </w:pPr>
            <w:r>
              <w:rPr>
                <w:sz w:val="16"/>
              </w:rPr>
              <w:t xml:space="preserve">2 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Ранг «площадь костной ткани» в мм (В)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0,143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0,049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0,253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2,910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0,004</w:t>
            </w:r>
          </w:p>
        </w:tc>
      </w:tr>
      <w:tr w:rsidR="004B6076">
        <w:trPr>
          <w:trHeight w:val="300"/>
        </w:trPr>
        <w:tc>
          <w:tcPr>
            <w:tcW w:w="48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Площадь хрящевой ткани, % (E)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–0,095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0,037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–0,141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–2,533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0,013</w:t>
            </w:r>
          </w:p>
        </w:tc>
      </w:tr>
      <w:tr w:rsidR="004B6076">
        <w:trPr>
          <w:trHeight w:val="300"/>
        </w:trPr>
        <w:tc>
          <w:tcPr>
            <w:tcW w:w="48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Ранг «толщина кортикальной пластинки» (C)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0,101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0,029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0,179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3,492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0,001</w:t>
            </w:r>
          </w:p>
        </w:tc>
      </w:tr>
      <w:tr w:rsidR="004B6076">
        <w:trPr>
          <w:trHeight w:val="336"/>
        </w:trPr>
        <w:tc>
          <w:tcPr>
            <w:tcW w:w="48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Ранг «максимальная длина трабекул» (D)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0,054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0,027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0,096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2,038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0,044</w:t>
            </w:r>
          </w:p>
        </w:tc>
      </w:tr>
      <w:tr w:rsidR="004B6076">
        <w:trPr>
          <w:trHeight w:val="528"/>
        </w:trPr>
        <w:tc>
          <w:tcPr>
            <w:tcW w:w="48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Ранг «среднее количество молодых хондроцитов»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(F)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–0,118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0,026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–0,209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–4,530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0,000</w:t>
            </w:r>
          </w:p>
        </w:tc>
      </w:tr>
    </w:tbl>
    <w:p w:rsidR="004B6076" w:rsidRDefault="009E1091">
      <w:pPr>
        <w:ind w:left="-5" w:right="22"/>
      </w:pPr>
      <w:r>
        <w:t>В соответствии с табл. 4.2.1 ожидаемая величина возраста определяется как: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=38,837+0,106×ранг A+0,143×ранг B+0,101×С+0,054×ранг D–0,095×E–0,118×ранг F,</w:t>
      </w:r>
    </w:p>
    <w:p w:rsidR="004B6076" w:rsidRDefault="009E1091">
      <w:pPr>
        <w:ind w:left="-5" w:right="22"/>
      </w:pPr>
      <w:r>
        <w:t>где AGE — предполагаемый возраст трупа; A — средняя площадь жировой ткани, мкм²; B — средняя площадь костной ткани, мкм²; С — средняя толщина кортикальной пластинки, мкм; D — максимальная длина трабекул, мкм; E — площадь хрящевой ткани, %; F — среднее коли</w:t>
      </w:r>
      <w:r>
        <w:t>чество молодых хондроцитов.</w:t>
      </w:r>
    </w:p>
    <w:p w:rsidR="004B6076" w:rsidRDefault="009E1091">
      <w:pPr>
        <w:ind w:left="-5" w:right="22"/>
      </w:pPr>
      <w:r>
        <w:t>Для повышения точности прогноза при статистических расчетах пришлось использовать не только исходные величины, но и их ранги. Поэтому были составлены таблицы для пересчета исходной величины в их ранг. Значения средней площади жи</w:t>
      </w:r>
      <w:r>
        <w:t>ровой ткани, средней площади костной ткани, среднее количество молодых хондроцитов и максимальную длину трабекул переводят в ранговые значения по разработанным таблицам (приложения А–Г).</w:t>
      </w:r>
    </w:p>
    <w:p w:rsidR="004B6076" w:rsidRDefault="009E1091">
      <w:pPr>
        <w:ind w:left="-5" w:right="22"/>
      </w:pPr>
      <w:r>
        <w:t>При сравнении величины прогноза возраста с фактической величиной возр</w:t>
      </w:r>
      <w:r>
        <w:t>аста было получено, что среднеквадратичная величина ошибки прогнозирования равна ±7,09 года с диапазоном максимальной ошибки от –15,8 до 21,3.</w:t>
      </w:r>
    </w:p>
    <w:p w:rsidR="004B6076" w:rsidRDefault="009E1091">
      <w:pPr>
        <w:ind w:left="-5" w:right="22"/>
      </w:pPr>
      <w:r>
        <w:t>При комплексном анализе результатов рентгенологического и морфометрического исследований для разработки модели пр</w:t>
      </w:r>
      <w:r>
        <w:t>огнозирования возраста по методу линейной регрессии была получена табл. 4.2.2.</w:t>
      </w:r>
    </w:p>
    <w:p w:rsidR="004B6076" w:rsidRDefault="009E1091">
      <w:pPr>
        <w:spacing w:after="20"/>
        <w:ind w:left="-5" w:right="22"/>
      </w:pPr>
      <w:r>
        <w:rPr>
          <w:b/>
        </w:rPr>
        <w:t xml:space="preserve">Таблица 4.2.2. </w:t>
      </w:r>
      <w:r>
        <w:t>Коэффициенты комплексной прогностической модели, построенной по методу линейной регрессии</w:t>
      </w:r>
    </w:p>
    <w:tbl>
      <w:tblPr>
        <w:tblStyle w:val="TableGrid"/>
        <w:tblW w:w="7886" w:type="dxa"/>
        <w:tblInd w:w="24" w:type="dxa"/>
        <w:tblCellMar>
          <w:top w:w="124" w:type="dxa"/>
          <w:left w:w="36" w:type="dxa"/>
          <w:bottom w:w="0" w:type="dxa"/>
          <w:right w:w="17" w:type="dxa"/>
        </w:tblCellMar>
        <w:tblLook w:val="04A0" w:firstRow="1" w:lastRow="0" w:firstColumn="1" w:lastColumn="0" w:noHBand="0" w:noVBand="1"/>
      </w:tblPr>
      <w:tblGrid>
        <w:gridCol w:w="3973"/>
        <w:gridCol w:w="768"/>
        <w:gridCol w:w="948"/>
        <w:gridCol w:w="768"/>
        <w:gridCol w:w="768"/>
        <w:gridCol w:w="660"/>
      </w:tblGrid>
      <w:tr w:rsidR="004B6076">
        <w:trPr>
          <w:trHeight w:val="528"/>
        </w:trPr>
        <w:tc>
          <w:tcPr>
            <w:tcW w:w="39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Признак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B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Std.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Errоr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Beta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t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Sig.</w:t>
            </w:r>
          </w:p>
        </w:tc>
      </w:tr>
      <w:tr w:rsidR="004B6076">
        <w:trPr>
          <w:trHeight w:val="300"/>
        </w:trPr>
        <w:tc>
          <w:tcPr>
            <w:tcW w:w="39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Коэффициент регрессии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19,5725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1,5210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0,0000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12,8680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0,0000</w:t>
            </w:r>
          </w:p>
        </w:tc>
      </w:tr>
      <w:tr w:rsidR="004B6076">
        <w:trPr>
          <w:trHeight w:val="300"/>
        </w:trPr>
        <w:tc>
          <w:tcPr>
            <w:tcW w:w="39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С29 Доля костной ткани на рентгенограмме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0,1413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0,0481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0,1752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2,9383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0,0046</w:t>
            </w:r>
          </w:p>
        </w:tc>
      </w:tr>
      <w:tr w:rsidR="004B6076">
        <w:trPr>
          <w:trHeight w:val="300"/>
        </w:trPr>
        <w:tc>
          <w:tcPr>
            <w:tcW w:w="39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С14 Средняя площадь жировой ткани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0,3754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0,0834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0,2141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4,5034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0,0000</w:t>
            </w:r>
          </w:p>
        </w:tc>
      </w:tr>
      <w:tr w:rsidR="004B6076">
        <w:trPr>
          <w:trHeight w:val="300"/>
        </w:trPr>
        <w:tc>
          <w:tcPr>
            <w:tcW w:w="39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С8 Максимальная длина трабекул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2,9310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1,6159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0,0765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1,8138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0,0744</w:t>
            </w:r>
          </w:p>
        </w:tc>
      </w:tr>
      <w:tr w:rsidR="004B6076">
        <w:trPr>
          <w:trHeight w:val="300"/>
        </w:trPr>
        <w:tc>
          <w:tcPr>
            <w:tcW w:w="39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С13 Толщина кортикальной пластинки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20,2771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11,9145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0,0876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1,7019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0,0936</w:t>
            </w:r>
          </w:p>
        </w:tc>
      </w:tr>
      <w:tr w:rsidR="004B6076">
        <w:trPr>
          <w:trHeight w:val="300"/>
        </w:trPr>
        <w:tc>
          <w:tcPr>
            <w:tcW w:w="39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С1 Площадь костной ткани (%) в препарате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0,2194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0,0316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0,3659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6,9495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0,0000</w:t>
            </w:r>
          </w:p>
        </w:tc>
      </w:tr>
      <w:tr w:rsidR="004B6076">
        <w:trPr>
          <w:trHeight w:val="300"/>
        </w:trPr>
        <w:tc>
          <w:tcPr>
            <w:tcW w:w="39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С21 Количество молодых хондроцитов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–0,0200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0,0040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–0,1678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–5,0074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0,0000</w:t>
            </w:r>
          </w:p>
        </w:tc>
      </w:tr>
      <w:tr w:rsidR="004B6076">
        <w:trPr>
          <w:trHeight w:val="300"/>
        </w:trPr>
        <w:tc>
          <w:tcPr>
            <w:tcW w:w="397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С24 Ширина зоны зрелого хряща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11,1407</w:t>
            </w:r>
          </w:p>
        </w:tc>
        <w:tc>
          <w:tcPr>
            <w:tcW w:w="94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2,8861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0,1415</w:t>
            </w:r>
          </w:p>
        </w:tc>
        <w:tc>
          <w:tcPr>
            <w:tcW w:w="76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3,8601</w:t>
            </w:r>
          </w:p>
        </w:tc>
        <w:tc>
          <w:tcPr>
            <w:tcW w:w="66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0,0003</w:t>
            </w:r>
          </w:p>
        </w:tc>
      </w:tr>
    </w:tbl>
    <w:p w:rsidR="004B6076" w:rsidRDefault="009E1091">
      <w:pPr>
        <w:spacing w:after="97" w:line="332" w:lineRule="auto"/>
        <w:ind w:left="-5" w:right="22"/>
      </w:pPr>
      <w:r>
        <w:t xml:space="preserve">Проведенный анализ результатов позволил разработать экспертную модель диагностики возраста человека по комплексному исследованию ЩХ, представленную уравнением линейной регрессии, имеющим вид: </w:t>
      </w:r>
      <w:r>
        <w:rPr>
          <w:b/>
        </w:rPr>
        <w:t>AGE</w:t>
      </w:r>
      <w:r>
        <w:t>=19,57+0,141×%P29+0,375×P14+2,93×P8+20,27×P13+0,219×P1–0,02×P21+11,14×P24,</w:t>
      </w:r>
    </w:p>
    <w:p w:rsidR="004B6076" w:rsidRDefault="009E1091">
      <w:pPr>
        <w:spacing w:after="304"/>
        <w:ind w:left="-5" w:right="22"/>
      </w:pPr>
      <w:r>
        <w:t>где AGE — предполагаемый возраст трупа; С29 — процент костной ткани на рентгенограмме ЩХ; С14 — средняя площадь жировой ткани, мкм²; С8 — максимальная длина трабекул, мкм; С13 — сре</w:t>
      </w:r>
      <w:r>
        <w:t>дняя толщина кортикальной пластинки, мкм; С1 — средняя площадь костной ткани в препарате, %; С21 — среднее количество молодых хондроцитов; С24 — ширина зоны зрелого хряща, мкм.</w:t>
      </w:r>
    </w:p>
    <w:p w:rsidR="004B6076" w:rsidRDefault="009E1091">
      <w:pPr>
        <w:pStyle w:val="Heading2"/>
        <w:ind w:left="-5"/>
      </w:pPr>
      <w:r>
        <w:t>4.3. Экспертные модели определения возраста по планиграфическим признакам старе</w:t>
      </w:r>
      <w:r>
        <w:t>ния костей кисти</w:t>
      </w:r>
    </w:p>
    <w:p w:rsidR="004B6076" w:rsidRDefault="009E1091">
      <w:pPr>
        <w:ind w:left="-5" w:right="22"/>
      </w:pPr>
      <w:r>
        <w:t>Для более точной оценки возраста вся изученная совокупность индивидов была разделена на возрастные интервалы:</w:t>
      </w:r>
    </w:p>
    <w:p w:rsidR="004B6076" w:rsidRDefault="009E1091">
      <w:pPr>
        <w:ind w:left="310" w:right="800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-2331</wp:posOffset>
                </wp:positionV>
                <wp:extent cx="30488" cy="320129"/>
                <wp:effectExtent l="0" t="0" r="0" b="0"/>
                <wp:wrapSquare wrapText="bothSides"/>
                <wp:docPr id="140978" name="Group 1409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320129"/>
                          <a:chOff x="0" y="0"/>
                          <a:chExt cx="30488" cy="320129"/>
                        </a:xfrm>
                      </wpg:grpSpPr>
                      <wps:wsp>
                        <wps:cNvPr id="6630" name="Shape 6630"/>
                        <wps:cNvSpPr/>
                        <wps:spPr>
                          <a:xfrm>
                            <a:off x="0" y="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32" name="Shape 6632"/>
                        <wps:cNvSpPr/>
                        <wps:spPr>
                          <a:xfrm>
                            <a:off x="0" y="14481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34" name="Shape 6634"/>
                        <wps:cNvSpPr/>
                        <wps:spPr>
                          <a:xfrm>
                            <a:off x="0" y="289620"/>
                            <a:ext cx="30488" cy="30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1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30"/>
                                </a:cubicBezTo>
                                <a:cubicBezTo>
                                  <a:pt x="30488" y="23664"/>
                                  <a:pt x="23663" y="30510"/>
                                  <a:pt x="15244" y="30510"/>
                                </a:cubicBezTo>
                                <a:cubicBezTo>
                                  <a:pt x="6825" y="30510"/>
                                  <a:pt x="0" y="23664"/>
                                  <a:pt x="0" y="1523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40978" style="width:2.40061pt;height:25.207pt;position:absolute;mso-position-horizontal-relative:text;mso-position-horizontal:absolute;margin-left:15.0038pt;mso-position-vertical-relative:text;margin-top:-0.183594pt;" coordsize="304,3201">
                <v:shape id="Shape 6630" style="position:absolute;width:304;height:304;left:0;top:0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  <v:shape id="Shape 6632" style="position:absolute;width:304;height:304;left:0;top:1448;" coordsize="30488,30460" path="m15244,0c23663,0,30488,6846,30488,15230c30488,23614,23663,30460,15244,30460c6825,30460,0,23614,0,15230c0,6846,6825,0,15244,0x">
                  <v:stroke weight="0.600151pt" endcap="square" joinstyle="bevel" on="true" color="#000000"/>
                  <v:fill on="true" color="#000000"/>
                </v:shape>
                <v:shape id="Shape 6634" style="position:absolute;width:304;height:305;left:0;top:2896;" coordsize="30488,30510" path="m15244,0c23663,0,30488,6846,30488,15230c30488,23664,23663,30510,15244,30510c6825,30510,0,23664,0,1523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t>индивиды от 18 до 30 лет; индивиды от 30 до 50 лет; индивиды старше 50 лет.</w:t>
      </w:r>
    </w:p>
    <w:p w:rsidR="004B6076" w:rsidRDefault="009E1091">
      <w:pPr>
        <w:ind w:left="-5" w:right="22"/>
      </w:pPr>
      <w:r>
        <w:t>При рассмотрении всей совокупности индивидов независимо от возрастного интервала признаки старения обнаруживают тесную связь с возрастом (табл. 4.3.1 и 4.3.2).</w:t>
      </w:r>
    </w:p>
    <w:p w:rsidR="004B6076" w:rsidRDefault="009E1091">
      <w:pPr>
        <w:spacing w:after="20"/>
        <w:ind w:left="-5" w:right="22"/>
      </w:pPr>
      <w:r>
        <w:rPr>
          <w:b/>
        </w:rPr>
        <w:t>Таблица 4.3.1.</w:t>
      </w:r>
      <w:r>
        <w:t xml:space="preserve"> Коэффициенты корреляции суммарных признаков с возрастом. Мужчины</w:t>
      </w:r>
    </w:p>
    <w:tbl>
      <w:tblPr>
        <w:tblStyle w:val="TableGrid"/>
        <w:tblW w:w="10611" w:type="dxa"/>
        <w:tblInd w:w="24" w:type="dxa"/>
        <w:tblCellMar>
          <w:top w:w="124" w:type="dxa"/>
          <w:left w:w="36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413"/>
        <w:gridCol w:w="2113"/>
        <w:gridCol w:w="2797"/>
        <w:gridCol w:w="1908"/>
        <w:gridCol w:w="1380"/>
      </w:tblGrid>
      <w:tr w:rsidR="004B6076">
        <w:trPr>
          <w:trHeight w:val="528"/>
        </w:trPr>
        <w:tc>
          <w:tcPr>
            <w:tcW w:w="241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Дистальные фалан</w:t>
            </w:r>
            <w:r>
              <w:rPr>
                <w:b/>
              </w:rPr>
              <w:t>ги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Sd</w:t>
            </w:r>
          </w:p>
        </w:tc>
        <w:tc>
          <w:tcPr>
            <w:tcW w:w="211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Средние фаланги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Sm</w:t>
            </w:r>
          </w:p>
        </w:tc>
        <w:tc>
          <w:tcPr>
            <w:tcW w:w="279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Проксимальные фаланги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Sp</w:t>
            </w:r>
          </w:p>
        </w:tc>
        <w:tc>
          <w:tcPr>
            <w:tcW w:w="19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Остеопороз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Porball</w:t>
            </w:r>
          </w:p>
        </w:tc>
        <w:tc>
          <w:tcPr>
            <w:tcW w:w="138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Сумма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Totball</w:t>
            </w:r>
          </w:p>
        </w:tc>
      </w:tr>
      <w:tr w:rsidR="004B6076">
        <w:trPr>
          <w:trHeight w:val="300"/>
        </w:trPr>
        <w:tc>
          <w:tcPr>
            <w:tcW w:w="241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0,795</w:t>
            </w:r>
          </w:p>
        </w:tc>
        <w:tc>
          <w:tcPr>
            <w:tcW w:w="211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0,784</w:t>
            </w:r>
          </w:p>
        </w:tc>
        <w:tc>
          <w:tcPr>
            <w:tcW w:w="279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0,793</w:t>
            </w:r>
          </w:p>
        </w:tc>
        <w:tc>
          <w:tcPr>
            <w:tcW w:w="19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0,635</w:t>
            </w:r>
          </w:p>
        </w:tc>
        <w:tc>
          <w:tcPr>
            <w:tcW w:w="138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0,846</w:t>
            </w:r>
          </w:p>
        </w:tc>
      </w:tr>
    </w:tbl>
    <w:p w:rsidR="004B6076" w:rsidRDefault="009E1091">
      <w:pPr>
        <w:spacing w:after="20"/>
        <w:ind w:left="-5" w:right="22"/>
      </w:pPr>
      <w:r>
        <w:rPr>
          <w:b/>
        </w:rPr>
        <w:t>Таблица 4.3.2.</w:t>
      </w:r>
      <w:r>
        <w:t xml:space="preserve"> Коэффициенты корреляции суммарных признаков с возрастом. Женщины</w:t>
      </w:r>
    </w:p>
    <w:tbl>
      <w:tblPr>
        <w:tblStyle w:val="TableGrid"/>
        <w:tblW w:w="10503" w:type="dxa"/>
        <w:tblInd w:w="24" w:type="dxa"/>
        <w:tblCellMar>
          <w:top w:w="124" w:type="dxa"/>
          <w:left w:w="36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413"/>
        <w:gridCol w:w="2005"/>
        <w:gridCol w:w="2797"/>
        <w:gridCol w:w="1908"/>
        <w:gridCol w:w="1380"/>
      </w:tblGrid>
      <w:tr w:rsidR="004B6076">
        <w:trPr>
          <w:trHeight w:val="528"/>
        </w:trPr>
        <w:tc>
          <w:tcPr>
            <w:tcW w:w="241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Дистальные фаланги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Sd</w:t>
            </w:r>
          </w:p>
        </w:tc>
        <w:tc>
          <w:tcPr>
            <w:tcW w:w="2005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Средние фланги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Sm</w:t>
            </w:r>
          </w:p>
        </w:tc>
        <w:tc>
          <w:tcPr>
            <w:tcW w:w="279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Проксимальные фаланги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Sp</w:t>
            </w:r>
          </w:p>
        </w:tc>
        <w:tc>
          <w:tcPr>
            <w:tcW w:w="19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Остеопороз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Porball</w:t>
            </w:r>
          </w:p>
        </w:tc>
        <w:tc>
          <w:tcPr>
            <w:tcW w:w="138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Сумма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Totball</w:t>
            </w:r>
          </w:p>
        </w:tc>
      </w:tr>
      <w:tr w:rsidR="004B6076">
        <w:trPr>
          <w:trHeight w:val="300"/>
        </w:trPr>
        <w:tc>
          <w:tcPr>
            <w:tcW w:w="241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0,863</w:t>
            </w:r>
          </w:p>
        </w:tc>
        <w:tc>
          <w:tcPr>
            <w:tcW w:w="2005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0,795</w:t>
            </w:r>
          </w:p>
        </w:tc>
        <w:tc>
          <w:tcPr>
            <w:tcW w:w="279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0,817</w:t>
            </w:r>
          </w:p>
        </w:tc>
        <w:tc>
          <w:tcPr>
            <w:tcW w:w="19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0,709</w:t>
            </w:r>
          </w:p>
        </w:tc>
        <w:tc>
          <w:tcPr>
            <w:tcW w:w="138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0,884</w:t>
            </w:r>
          </w:p>
        </w:tc>
      </w:tr>
    </w:tbl>
    <w:p w:rsidR="004B6076" w:rsidRDefault="009E1091">
      <w:pPr>
        <w:ind w:left="-5" w:right="22"/>
      </w:pPr>
      <w:r>
        <w:t>При составлении регрессионных уравнений были использованы следующие обозначения:</w:t>
      </w:r>
    </w:p>
    <w:p w:rsidR="004B6076" w:rsidRDefault="009E1091">
      <w:pPr>
        <w:ind w:left="-5" w:right="22"/>
      </w:pPr>
      <w:r>
        <w:t>Age — возраст;</w:t>
      </w:r>
    </w:p>
    <w:p w:rsidR="004B6076" w:rsidRDefault="009E1091">
      <w:pPr>
        <w:ind w:left="-5" w:right="22"/>
      </w:pPr>
      <w:r>
        <w:t>Por — остеопороз;</w:t>
      </w:r>
    </w:p>
    <w:p w:rsidR="004B6076" w:rsidRDefault="009E1091">
      <w:pPr>
        <w:ind w:left="-5" w:right="22"/>
      </w:pPr>
      <w:r>
        <w:t>Ek — экзостозы;</w:t>
      </w:r>
    </w:p>
    <w:p w:rsidR="004B6076" w:rsidRDefault="009E1091">
      <w:pPr>
        <w:ind w:left="-5" w:right="22"/>
      </w:pPr>
      <w:r>
        <w:t>Ap — апиостозы;</w:t>
      </w:r>
    </w:p>
    <w:p w:rsidR="004B6076" w:rsidRDefault="009E1091">
      <w:pPr>
        <w:ind w:left="-5" w:right="22"/>
      </w:pPr>
      <w:r>
        <w:t>Uz — узлы;</w:t>
      </w:r>
    </w:p>
    <w:p w:rsidR="004B6076" w:rsidRDefault="009E1091">
      <w:pPr>
        <w:ind w:left="-5" w:right="22"/>
      </w:pPr>
      <w:r>
        <w:t>Porball — остеопороз суммарный;</w:t>
      </w:r>
    </w:p>
    <w:p w:rsidR="004B6076" w:rsidRDefault="009E1091">
      <w:pPr>
        <w:ind w:left="-5" w:right="22"/>
      </w:pPr>
      <w:r>
        <w:t>Sklball — склероз суммарный;</w:t>
      </w:r>
    </w:p>
    <w:p w:rsidR="004B6076" w:rsidRDefault="009E1091">
      <w:pPr>
        <w:ind w:left="-5" w:right="22"/>
      </w:pPr>
      <w:r>
        <w:t>Defball — общий балл сужения суставных щелей;</w:t>
      </w:r>
    </w:p>
    <w:p w:rsidR="004B6076" w:rsidRDefault="009E1091">
      <w:pPr>
        <w:ind w:left="-5" w:right="22"/>
      </w:pPr>
      <w:r>
        <w:t>Totball — суммарный балл по всей кисти;</w:t>
      </w:r>
    </w:p>
    <w:p w:rsidR="004B6076" w:rsidRDefault="009E1091">
      <w:pPr>
        <w:ind w:left="-5" w:right="22"/>
      </w:pPr>
      <w:r>
        <w:t>R30–33 — ширины суставной щели между средней и дистальной фалангами II–V пальцев соответственно;</w:t>
      </w:r>
    </w:p>
    <w:p w:rsidR="004B6076" w:rsidRDefault="009E1091">
      <w:pPr>
        <w:ind w:left="-5" w:right="22"/>
      </w:pPr>
      <w:r>
        <w:t>Sd, Sm, Sp — сумма баллов по дистальным, средним и проксимальным фалангам соответственно;</w:t>
      </w:r>
    </w:p>
    <w:p w:rsidR="004B6076" w:rsidRDefault="009E1091">
      <w:pPr>
        <w:ind w:left="-5" w:right="22"/>
      </w:pPr>
      <w:r>
        <w:t>Indcomp — индекс компактизации (по Павловскому);</w:t>
      </w:r>
    </w:p>
    <w:p w:rsidR="004B6076" w:rsidRDefault="009E1091">
      <w:pPr>
        <w:spacing w:after="13"/>
        <w:ind w:left="310" w:right="2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190548</wp:posOffset>
                </wp:positionH>
                <wp:positionV relativeFrom="paragraph">
                  <wp:posOffset>-2182</wp:posOffset>
                </wp:positionV>
                <wp:extent cx="30488" cy="464939"/>
                <wp:effectExtent l="0" t="0" r="0" b="0"/>
                <wp:wrapSquare wrapText="bothSides"/>
                <wp:docPr id="130251" name="Group 130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8" cy="464939"/>
                          <a:chOff x="0" y="0"/>
                          <a:chExt cx="30488" cy="464939"/>
                        </a:xfrm>
                      </wpg:grpSpPr>
                      <wps:wsp>
                        <wps:cNvPr id="6692" name="Shape 6692"/>
                        <wps:cNvSpPr/>
                        <wps:spPr>
                          <a:xfrm>
                            <a:off x="0" y="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18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1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94" name="Shape 6694"/>
                        <wps:cNvSpPr/>
                        <wps:spPr>
                          <a:xfrm>
                            <a:off x="0" y="14476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96" name="Shape 6696"/>
                        <wps:cNvSpPr/>
                        <wps:spPr>
                          <a:xfrm>
                            <a:off x="0" y="289620"/>
                            <a:ext cx="30488" cy="30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460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180"/>
                                </a:cubicBezTo>
                                <a:cubicBezTo>
                                  <a:pt x="30488" y="23614"/>
                                  <a:pt x="23663" y="30460"/>
                                  <a:pt x="15244" y="30460"/>
                                </a:cubicBezTo>
                                <a:cubicBezTo>
                                  <a:pt x="6825" y="30460"/>
                                  <a:pt x="0" y="23614"/>
                                  <a:pt x="0" y="151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98" name="Shape 6698"/>
                        <wps:cNvSpPr/>
                        <wps:spPr>
                          <a:xfrm>
                            <a:off x="0" y="434380"/>
                            <a:ext cx="30488" cy="30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8" h="30559">
                                <a:moveTo>
                                  <a:pt x="15244" y="0"/>
                                </a:moveTo>
                                <a:cubicBezTo>
                                  <a:pt x="23663" y="0"/>
                                  <a:pt x="30488" y="6846"/>
                                  <a:pt x="30488" y="15280"/>
                                </a:cubicBezTo>
                                <a:cubicBezTo>
                                  <a:pt x="30488" y="23713"/>
                                  <a:pt x="23663" y="30559"/>
                                  <a:pt x="15244" y="30559"/>
                                </a:cubicBezTo>
                                <a:cubicBezTo>
                                  <a:pt x="6825" y="30559"/>
                                  <a:pt x="0" y="23713"/>
                                  <a:pt x="0" y="15280"/>
                                </a:cubicBezTo>
                                <a:cubicBezTo>
                                  <a:pt x="0" y="6846"/>
                                  <a:pt x="6825" y="0"/>
                                  <a:pt x="15244" y="0"/>
                                </a:cubicBezTo>
                                <a:close/>
                              </a:path>
                            </a:pathLst>
                          </a:custGeom>
                          <a:ln w="7622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30251" style="width:2.40061pt;height:36.6094pt;position:absolute;mso-position-horizontal-relative:text;mso-position-horizontal:absolute;margin-left:15.0038pt;mso-position-vertical-relative:text;margin-top:-0.171875pt;" coordsize="304,4649">
                <v:shape id="Shape 6692" style="position:absolute;width:304;height:304;left:0;top:0;" coordsize="30488,30460" path="m15244,0c23663,0,30488,6846,30488,15180c30488,23614,23663,30460,15244,30460c6825,30460,0,23614,0,15180c0,6846,6825,0,15244,0x">
                  <v:stroke weight="0.600151pt" endcap="square" joinstyle="bevel" on="true" color="#000000"/>
                  <v:fill on="true" color="#000000"/>
                </v:shape>
                <v:shape id="Shape 6694" style="position:absolute;width:304;height:304;left:0;top:1447;" coordsize="30488,30460" path="m15244,0c23663,0,30488,6846,30488,15280c30488,23614,23663,30460,15244,30460c6825,30460,0,23614,0,15280c0,6846,6825,0,15244,0x">
                  <v:stroke weight="0.600151pt" endcap="square" joinstyle="bevel" on="true" color="#000000"/>
                  <v:fill on="true" color="#000000"/>
                </v:shape>
                <v:shape id="Shape 6696" style="position:absolute;width:304;height:304;left:0;top:2896;" coordsize="30488,30460" path="m15244,0c23663,0,30488,6846,30488,15180c30488,23614,23663,30460,15244,30460c6825,30460,0,23614,0,15180c0,6846,6825,0,15244,0x">
                  <v:stroke weight="0.600151pt" endcap="square" joinstyle="bevel" on="true" color="#000000"/>
                  <v:fill on="true" color="#000000"/>
                </v:shape>
                <v:shape id="Shape 6698" style="position:absolute;width:304;height:305;left:0;top:4343;" coordsize="30488,30559" path="m15244,0c23663,0,30488,6846,30488,15280c30488,23713,23663,30559,15244,30559c6825,30559,0,23713,0,15280c0,6846,6825,0,15244,0x">
                  <v:stroke weight="0.600151pt" endcap="square" joinstyle="bevel" on="true" color="#000000"/>
                  <v:fill on="true" color="#000000"/>
                </v:shape>
                <w10:wrap type="square"/>
              </v:group>
            </w:pict>
          </mc:Fallback>
        </mc:AlternateContent>
      </w:r>
      <w:r>
        <w:t>D — дистальные фаланги;</w:t>
      </w:r>
    </w:p>
    <w:p w:rsidR="004B6076" w:rsidRDefault="009E1091">
      <w:pPr>
        <w:spacing w:after="13"/>
        <w:ind w:left="310" w:right="22"/>
      </w:pPr>
      <w:r>
        <w:t>M — средние фаланги;</w:t>
      </w:r>
    </w:p>
    <w:p w:rsidR="004B6076" w:rsidRDefault="009E1091">
      <w:pPr>
        <w:spacing w:after="13"/>
        <w:ind w:left="310" w:right="22"/>
      </w:pPr>
      <w:r>
        <w:t>P — проксимальные фаланги;</w:t>
      </w:r>
    </w:p>
    <w:p w:rsidR="004B6076" w:rsidRDefault="009E1091">
      <w:pPr>
        <w:spacing w:after="0" w:line="430" w:lineRule="auto"/>
        <w:ind w:left="-15" w:firstLine="132"/>
      </w:pPr>
      <w:r>
        <w:t xml:space="preserve">II, III, IV, V — соответствующие пальцы. </w:t>
      </w:r>
      <w:r>
        <w:rPr>
          <w:b/>
          <w:i/>
        </w:rPr>
        <w:t>Для всего возрастного диапазона 1. Мужчины:</w:t>
      </w:r>
    </w:p>
    <w:p w:rsidR="004B6076" w:rsidRDefault="009E1091">
      <w:pPr>
        <w:spacing w:after="0" w:line="265" w:lineRule="auto"/>
        <w:ind w:left="4571"/>
      </w:pPr>
      <w:r>
        <w:rPr>
          <w:sz w:val="16"/>
        </w:rPr>
        <w:t>2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=31,4+0,422×Totball+1,169×Porball; R=0,875, R =0,765, Std. Err.=7,210.</w:t>
      </w:r>
    </w:p>
    <w:p w:rsidR="004B6076" w:rsidRDefault="009E1091">
      <w:pPr>
        <w:spacing w:after="163" w:line="265" w:lineRule="auto"/>
        <w:ind w:left="-5"/>
      </w:pPr>
      <w:r>
        <w:rPr>
          <w:b/>
          <w:i/>
        </w:rPr>
        <w:t>2. Женщины:</w:t>
      </w:r>
    </w:p>
    <w:p w:rsidR="004B6076" w:rsidRDefault="009E1091">
      <w:pPr>
        <w:ind w:left="-15" w:right="276" w:firstLine="10383"/>
      </w:pPr>
      <w:r>
        <w:rPr>
          <w:sz w:val="16"/>
        </w:rPr>
        <w:t xml:space="preserve">2 </w:t>
      </w:r>
      <w:r>
        <w:rPr>
          <w:b/>
        </w:rPr>
        <w:t>AGE</w:t>
      </w:r>
      <w:r>
        <w:t>=30,68+0,627×Totball+1,783×PorD–1,664×UzP4–3,544×EkM4–0,951×UzM2–1,174×EkP3+1,229×EkP5; R=0,912, R =0,831, Std. Err.=6,</w:t>
      </w:r>
      <w:r>
        <w:t>850.</w:t>
      </w:r>
    </w:p>
    <w:p w:rsidR="004B6076" w:rsidRDefault="009E1091">
      <w:pPr>
        <w:spacing w:after="13"/>
        <w:ind w:left="-5" w:right="22"/>
      </w:pPr>
      <w:r>
        <w:t>В интервале 18–30 лет возрастные изменения костей кисти связаны с изменением размерных характеристик костей [29, 124,</w:t>
      </w:r>
    </w:p>
    <w:p w:rsidR="004B6076" w:rsidRDefault="009E1091">
      <w:pPr>
        <w:ind w:left="-5" w:right="22"/>
      </w:pPr>
      <w:r>
        <w:t>185]. Поэтому регрессионный анализ с использованием только возрастных маркеров дает неприменимый на практике результат. Анализ коррел</w:t>
      </w:r>
      <w:r>
        <w:t>яционных матриц показал, что коэффициенты корреляции признаков с возрастом в этом возрастном интервале незначительны.</w:t>
      </w:r>
    </w:p>
    <w:p w:rsidR="004B6076" w:rsidRDefault="009E1091">
      <w:pPr>
        <w:ind w:left="-5" w:right="22"/>
      </w:pPr>
      <w:r>
        <w:t>Ситуация меняется в следующем возрастном интервале — от 30 лет. Как уже говорилось выше, после 30 лет начинается отчетливо выраженное нако</w:t>
      </w:r>
      <w:r>
        <w:t>пление количества возрастных маркеров, особенно у мужчин. Однако построение практически применимого регрессионного уравнения для широкого интервала от 30 до 50 лет невозможно, так как даже значимые коэффициенты корреляции невелики.</w:t>
      </w:r>
    </w:p>
    <w:p w:rsidR="004B6076" w:rsidRDefault="009E1091">
      <w:pPr>
        <w:ind w:left="-5" w:right="22"/>
      </w:pPr>
      <w:r>
        <w:t>По-видимому, это связано</w:t>
      </w:r>
      <w:r>
        <w:t xml:space="preserve"> с неравномерным накоплением различных признаков на разных этапах большого возрастного интервала, а также с наличием в любой группе индивидов с разным темпом старения. Точность уравнения для 20-летнего возрастного интервала не позволяет использовать его в </w:t>
      </w:r>
      <w:r>
        <w:t>практике эксперта. Для получения практически значимых уравнений вся совокупность индивидов была разбита на более узкие возрастные интервалы. Это позволило сузить размах случайных колебаний балльных оценок и выработать уравнения регрессии довольно высокой т</w:t>
      </w:r>
      <w:r>
        <w:t>очности.</w:t>
      </w:r>
    </w:p>
    <w:p w:rsidR="004B6076" w:rsidRDefault="009E1091">
      <w:pPr>
        <w:numPr>
          <w:ilvl w:val="0"/>
          <w:numId w:val="6"/>
        </w:numPr>
        <w:spacing w:after="163" w:line="265" w:lineRule="auto"/>
        <w:ind w:hanging="213"/>
      </w:pPr>
      <w:r>
        <w:rPr>
          <w:b/>
          <w:i/>
        </w:rPr>
        <w:t>Мужчины. Возраст — от 30 до 45 лет:</w:t>
      </w:r>
    </w:p>
    <w:p w:rsidR="004B6076" w:rsidRDefault="009E1091">
      <w:pPr>
        <w:spacing w:after="13"/>
        <w:ind w:left="-5" w:right="22"/>
      </w:pPr>
      <w:r>
        <w:rPr>
          <w:b/>
        </w:rPr>
        <w:t>AGE</w:t>
      </w:r>
      <w:r>
        <w:t>=33,66+2,54×Defball+13,95×R30+25,89×Ap3+4,39×PorP+10,98×EkM4–10,03×EkM5–</w:t>
      </w:r>
    </w:p>
    <w:p w:rsidR="004B6076" w:rsidRDefault="009E1091">
      <w:pPr>
        <w:spacing w:after="0" w:line="259" w:lineRule="auto"/>
        <w:ind w:left="6060"/>
        <w:jc w:val="center"/>
      </w:pPr>
      <w:r>
        <w:rPr>
          <w:sz w:val="16"/>
        </w:rPr>
        <w:t>2</w:t>
      </w:r>
    </w:p>
    <w:p w:rsidR="004B6076" w:rsidRDefault="009E1091">
      <w:pPr>
        <w:ind w:left="-5" w:right="22"/>
      </w:pPr>
      <w:r>
        <w:t>24,93×Ap+1,21×Ek+2,08×UzM5+25,70×Ap5+25,14×Ap2+23,40×Ap4–11,27×R33–1,58×Sp; R=0,820, R =0,673, Std. Err.=2,57.</w:t>
      </w:r>
    </w:p>
    <w:p w:rsidR="004B6076" w:rsidRDefault="009E1091">
      <w:pPr>
        <w:numPr>
          <w:ilvl w:val="0"/>
          <w:numId w:val="6"/>
        </w:numPr>
        <w:spacing w:after="163" w:line="265" w:lineRule="auto"/>
        <w:ind w:hanging="213"/>
      </w:pPr>
      <w:r>
        <w:rPr>
          <w:b/>
          <w:i/>
        </w:rPr>
        <w:t xml:space="preserve">Мужчины. Возраст — от </w:t>
      </w:r>
      <w:r>
        <w:rPr>
          <w:b/>
          <w:i/>
        </w:rPr>
        <w:t>45 до 60 лет:</w:t>
      </w:r>
    </w:p>
    <w:p w:rsidR="004B6076" w:rsidRDefault="009E1091">
      <w:pPr>
        <w:spacing w:after="0" w:line="259" w:lineRule="auto"/>
        <w:ind w:left="3947"/>
        <w:jc w:val="center"/>
      </w:pPr>
      <w:r>
        <w:rPr>
          <w:sz w:val="16"/>
        </w:rPr>
        <w:t>2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=48,77+0,767×UzD5+2,022×UzM5+1,609×UzP5+2,67R33–0,649×Defball; R=0,831, R =0,693, Std. Err.=3,06.</w:t>
      </w:r>
    </w:p>
    <w:p w:rsidR="004B6076" w:rsidRDefault="009E1091">
      <w:pPr>
        <w:numPr>
          <w:ilvl w:val="0"/>
          <w:numId w:val="6"/>
        </w:numPr>
        <w:spacing w:after="163" w:line="265" w:lineRule="auto"/>
        <w:ind w:hanging="213"/>
      </w:pPr>
      <w:r>
        <w:rPr>
          <w:b/>
          <w:i/>
        </w:rPr>
        <w:t>Мужчины. Возраст — от 60 лет:</w:t>
      </w:r>
    </w:p>
    <w:p w:rsidR="004B6076" w:rsidRDefault="009E1091">
      <w:pPr>
        <w:spacing w:after="13"/>
        <w:ind w:left="-5" w:right="22"/>
      </w:pPr>
      <w:r>
        <w:rPr>
          <w:b/>
        </w:rPr>
        <w:t>AGE</w:t>
      </w:r>
      <w:r>
        <w:t>=55,54+1,63×PorM–6,91×EkP3–7,46×Ap3+2,99×UzM2+0,83×UzP2+8,24×R32–1,55×Sm+1,86×TotballN–1,62Uz; R=0,966,</w:t>
      </w:r>
    </w:p>
    <w:p w:rsidR="004B6076" w:rsidRDefault="009E1091">
      <w:pPr>
        <w:spacing w:after="0" w:line="265" w:lineRule="auto"/>
        <w:ind w:left="154"/>
      </w:pPr>
      <w:r>
        <w:rPr>
          <w:sz w:val="16"/>
        </w:rPr>
        <w:t>2</w:t>
      </w:r>
    </w:p>
    <w:p w:rsidR="004B6076" w:rsidRDefault="009E1091">
      <w:pPr>
        <w:ind w:left="-5" w:right="22"/>
      </w:pPr>
      <w:r>
        <w:t>R =0,932, Std. Err.=2,28.</w:t>
      </w:r>
    </w:p>
    <w:p w:rsidR="004B6076" w:rsidRDefault="009E1091">
      <w:pPr>
        <w:ind w:left="-5" w:right="22"/>
      </w:pPr>
      <w:r>
        <w:t>Таким образом, ведущими в определении возраста у мужчин молодого возраста являются признаки, связанные с абсолютными размерами суставной щели (особенно на II, а затем на V пальце) и с балловой оценкой количества суженных суставных</w:t>
      </w:r>
      <w:r>
        <w:t xml:space="preserve"> щелей на всей кисти. Важную роль играет оценка развития экзостозов на средних фалангах и апиостозов на II и V пальцах. В более зрелом возрасте (от 45 до 60 лет) на первое место выходят признаки возрастных изменений на пятом луче кисти: почти все признаки,</w:t>
      </w:r>
      <w:r>
        <w:t xml:space="preserve"> вошедшие в уравнение регрессии для этого возрастного интервала, определяются на мизинце. Наконец, для пожилого возраста большее значение имеют признаки, определяемые на втором и третьем лучах, а также проявления остеопороза и суммарные характеристики по в</w:t>
      </w:r>
      <w:r>
        <w:t>сей кисти. Так как выборка пожилых мужчин невелика, мы построили еще одно регрессионное уравнение для пожилого возраста, расширив возрастные рамки, увеличили численность выборки.</w:t>
      </w:r>
    </w:p>
    <w:p w:rsidR="004B6076" w:rsidRDefault="009E1091">
      <w:pPr>
        <w:spacing w:after="163" w:line="265" w:lineRule="auto"/>
        <w:ind w:left="-5"/>
      </w:pPr>
      <w:r>
        <w:rPr>
          <w:b/>
          <w:i/>
        </w:rPr>
        <w:t>Для подгруппы мужчин старше 50 лет:</w:t>
      </w:r>
    </w:p>
    <w:p w:rsidR="004B6076" w:rsidRDefault="009E1091">
      <w:pPr>
        <w:spacing w:after="0" w:line="259" w:lineRule="auto"/>
        <w:ind w:left="5484"/>
        <w:jc w:val="center"/>
      </w:pPr>
      <w:r>
        <w:rPr>
          <w:sz w:val="16"/>
        </w:rPr>
        <w:t>2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=51,799+0,583×Por–1,608×EkP3+2,998×E</w:t>
      </w:r>
      <w:r>
        <w:t>kP5–12,59×R30+0,557Sd+10,028×R33; R=0,868, R =0,753, Std. Err.=5,36.</w:t>
      </w:r>
    </w:p>
    <w:p w:rsidR="004B6076" w:rsidRDefault="009E1091">
      <w:pPr>
        <w:spacing w:after="13"/>
        <w:ind w:left="-5" w:right="22"/>
      </w:pPr>
      <w:r>
        <w:t>Отметим, что наиболее достоверны уравнения именно для пожилого возраста. Разработанная методика позволяет определять возраст человека по изменениям костей кисти с большой точностью и прак</w:t>
      </w:r>
      <w:r>
        <w:t>тически 95% достоверностью (вероятность точного</w:t>
      </w:r>
    </w:p>
    <w:p w:rsidR="004B6076" w:rsidRDefault="009E1091">
      <w:pPr>
        <w:spacing w:after="0" w:line="265" w:lineRule="auto"/>
        <w:ind w:left="3272"/>
      </w:pPr>
      <w:r>
        <w:rPr>
          <w:sz w:val="16"/>
        </w:rPr>
        <w:t>2</w:t>
      </w:r>
    </w:p>
    <w:p w:rsidR="004B6076" w:rsidRDefault="009E1091">
      <w:pPr>
        <w:ind w:left="-5" w:right="22"/>
      </w:pPr>
      <w:r>
        <w:t>определения возраста описывает R , то есть чем выше данный показатель, тем выше вероятность того, что экспертный случай попадет в рамки стандартной ошибки регрессионного уравнения).</w:t>
      </w:r>
    </w:p>
    <w:p w:rsidR="004B6076" w:rsidRDefault="009E1091">
      <w:pPr>
        <w:ind w:left="-5" w:right="22"/>
      </w:pPr>
      <w:r>
        <w:rPr>
          <w:b/>
          <w:i/>
        </w:rPr>
        <w:t>Для женской подгруппы</w:t>
      </w:r>
      <w:r>
        <w:t xml:space="preserve"> по</w:t>
      </w:r>
      <w:r>
        <w:t>строение применимых на практике регрессионных уравнений возможно лишь с 45 лет, что связано с постепенным, менее скачкообразным накоплением возрастных маркеров, о чем говорилось выше.</w:t>
      </w:r>
    </w:p>
    <w:p w:rsidR="004B6076" w:rsidRDefault="009E1091">
      <w:pPr>
        <w:numPr>
          <w:ilvl w:val="0"/>
          <w:numId w:val="7"/>
        </w:numPr>
        <w:spacing w:after="163" w:line="265" w:lineRule="auto"/>
        <w:ind w:hanging="213"/>
      </w:pPr>
      <w:r>
        <w:rPr>
          <w:b/>
          <w:i/>
        </w:rPr>
        <w:t>Женщины. Возраст — от 45 до 60 лет:</w:t>
      </w:r>
    </w:p>
    <w:p w:rsidR="004B6076" w:rsidRDefault="009E1091">
      <w:pPr>
        <w:spacing w:after="0" w:line="259" w:lineRule="auto"/>
        <w:ind w:left="3947" w:right="3961"/>
        <w:jc w:val="center"/>
      </w:pPr>
      <w:r>
        <w:rPr>
          <w:sz w:val="16"/>
        </w:rPr>
        <w:t>2</w:t>
      </w:r>
    </w:p>
    <w:p w:rsidR="004B6076" w:rsidRDefault="009E1091">
      <w:pPr>
        <w:ind w:left="-5" w:right="22"/>
      </w:pPr>
      <w:r>
        <w:rPr>
          <w:b/>
        </w:rPr>
        <w:t>AGE</w:t>
      </w:r>
      <w:r>
        <w:t>=49,925+0,330×UzN+ 4,636×R32–8,869×Indcomp; R=0,838, R =0,700, Std. Err.=2,93.</w:t>
      </w:r>
    </w:p>
    <w:p w:rsidR="004B6076" w:rsidRDefault="009E1091">
      <w:pPr>
        <w:numPr>
          <w:ilvl w:val="0"/>
          <w:numId w:val="7"/>
        </w:numPr>
        <w:spacing w:after="163" w:line="265" w:lineRule="auto"/>
        <w:ind w:hanging="213"/>
      </w:pPr>
      <w:r>
        <w:rPr>
          <w:b/>
          <w:i/>
        </w:rPr>
        <w:t>Женщины. Возраст — от 50 лет:</w:t>
      </w:r>
    </w:p>
    <w:p w:rsidR="004B6076" w:rsidRDefault="009E1091">
      <w:pPr>
        <w:spacing w:after="0" w:line="259" w:lineRule="auto"/>
        <w:ind w:right="1605"/>
        <w:jc w:val="right"/>
      </w:pPr>
      <w:r>
        <w:rPr>
          <w:sz w:val="16"/>
        </w:rPr>
        <w:t>2</w:t>
      </w:r>
    </w:p>
    <w:p w:rsidR="004B6076" w:rsidRDefault="009E1091">
      <w:pPr>
        <w:spacing w:after="13"/>
        <w:ind w:left="-5" w:right="22"/>
      </w:pPr>
      <w:r>
        <w:rPr>
          <w:b/>
        </w:rPr>
        <w:t>AGE</w:t>
      </w:r>
      <w:r>
        <w:t>=63,128+0,457×PorN+0,131×TotballN+3,236×Sklball–17,825×Indcomp–0,826×UzP4+0,851×Defball; R=0,809, R =0,654, Std.</w:t>
      </w:r>
    </w:p>
    <w:p w:rsidR="004B6076" w:rsidRDefault="009E1091">
      <w:pPr>
        <w:ind w:left="-5" w:right="22"/>
      </w:pPr>
      <w:r>
        <w:t>Err.=5,19.</w:t>
      </w:r>
    </w:p>
    <w:p w:rsidR="004B6076" w:rsidRDefault="009E1091">
      <w:pPr>
        <w:spacing w:after="0"/>
        <w:ind w:left="-5" w:right="22"/>
      </w:pPr>
      <w:r>
        <w:t>В тех случаях, ког</w:t>
      </w:r>
      <w:r>
        <w:t>да построение работающей регрессионной модели невозможно, предлагается использовать таблицы односторонних оценок возрастных интервалов, составленные на основе обработки данных по 594 индивидам — табл. 4.3.3 и</w:t>
      </w:r>
    </w:p>
    <w:p w:rsidR="004B6076" w:rsidRDefault="009E1091">
      <w:pPr>
        <w:ind w:left="-5" w:right="22"/>
      </w:pPr>
      <w:r>
        <w:t>4.3.4. Использование таблиц позволяет оценить в</w:t>
      </w:r>
      <w:r>
        <w:t>озраст с меньшей, но достаточно надежной точностью.</w:t>
      </w:r>
    </w:p>
    <w:tbl>
      <w:tblPr>
        <w:tblStyle w:val="TableGrid"/>
        <w:tblpPr w:vertAnchor="page" w:horzAnchor="page" w:tblpX="120" w:tblpY="12063"/>
        <w:tblOverlap w:val="never"/>
        <w:tblW w:w="3877" w:type="dxa"/>
        <w:tblInd w:w="0" w:type="dxa"/>
        <w:tblCellMar>
          <w:top w:w="124" w:type="dxa"/>
          <w:left w:w="36" w:type="dxa"/>
          <w:bottom w:w="0" w:type="dxa"/>
          <w:right w:w="32" w:type="dxa"/>
        </w:tblCellMar>
        <w:tblLook w:val="04A0" w:firstRow="1" w:lastRow="0" w:firstColumn="1" w:lastColumn="0" w:noHBand="0" w:noVBand="1"/>
      </w:tblPr>
      <w:tblGrid>
        <w:gridCol w:w="864"/>
        <w:gridCol w:w="1740"/>
        <w:gridCol w:w="1272"/>
      </w:tblGrid>
      <w:tr w:rsidR="004B6076">
        <w:trPr>
          <w:trHeight w:val="528"/>
        </w:trPr>
        <w:tc>
          <w:tcPr>
            <w:tcW w:w="86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Признак</w:t>
            </w:r>
          </w:p>
        </w:tc>
        <w:tc>
          <w:tcPr>
            <w:tcW w:w="174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39" w:firstLine="0"/>
            </w:pPr>
            <w:r>
              <w:rPr>
                <w:b/>
              </w:rPr>
              <w:t>Баллы (не менее)</w:t>
            </w:r>
          </w:p>
        </w:tc>
        <w:tc>
          <w:tcPr>
            <w:tcW w:w="127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Возраст, лет</w:t>
            </w:r>
          </w:p>
        </w:tc>
      </w:tr>
      <w:tr w:rsidR="004B6076">
        <w:trPr>
          <w:trHeight w:val="2563"/>
        </w:trPr>
        <w:tc>
          <w:tcPr>
            <w:tcW w:w="864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SDN</w:t>
            </w:r>
          </w:p>
        </w:tc>
        <w:tc>
          <w:tcPr>
            <w:tcW w:w="1740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6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11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22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24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25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28</w:t>
            </w:r>
          </w:p>
        </w:tc>
        <w:tc>
          <w:tcPr>
            <w:tcW w:w="1272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18–44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26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27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31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38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47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57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59</w:t>
            </w:r>
          </w:p>
        </w:tc>
      </w:tr>
      <w:tr w:rsidR="004B6076">
        <w:trPr>
          <w:trHeight w:val="1686"/>
        </w:trPr>
        <w:tc>
          <w:tcPr>
            <w:tcW w:w="3877" w:type="dxa"/>
            <w:gridSpan w:val="3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4B6076" w:rsidRDefault="004B6076">
            <w:pPr>
              <w:spacing w:after="160" w:line="259" w:lineRule="auto"/>
              <w:ind w:left="0" w:firstLine="0"/>
            </w:pPr>
          </w:p>
        </w:tc>
      </w:tr>
    </w:tbl>
    <w:p w:rsidR="004B6076" w:rsidRDefault="009E1091">
      <w:pPr>
        <w:spacing w:after="20"/>
        <w:ind w:left="-5" w:right="22"/>
      </w:pPr>
      <w:r>
        <w:rPr>
          <w:b/>
        </w:rPr>
        <w:t>Таблица 4.3.3.</w:t>
      </w:r>
      <w:r>
        <w:t xml:space="preserve"> Односторонние оценки возрастных интервалов для мужчин</w:t>
      </w:r>
    </w:p>
    <w:tbl>
      <w:tblPr>
        <w:tblStyle w:val="TableGrid"/>
        <w:tblW w:w="3877" w:type="dxa"/>
        <w:tblInd w:w="24" w:type="dxa"/>
        <w:tblCellMar>
          <w:top w:w="124" w:type="dxa"/>
          <w:left w:w="36" w:type="dxa"/>
          <w:bottom w:w="0" w:type="dxa"/>
          <w:right w:w="32" w:type="dxa"/>
        </w:tblCellMar>
        <w:tblLook w:val="04A0" w:firstRow="1" w:lastRow="0" w:firstColumn="1" w:lastColumn="0" w:noHBand="0" w:noVBand="1"/>
      </w:tblPr>
      <w:tblGrid>
        <w:gridCol w:w="864"/>
        <w:gridCol w:w="1740"/>
        <w:gridCol w:w="1272"/>
      </w:tblGrid>
      <w:tr w:rsidR="004B6076">
        <w:trPr>
          <w:trHeight w:val="528"/>
        </w:trPr>
        <w:tc>
          <w:tcPr>
            <w:tcW w:w="86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Признак</w:t>
            </w:r>
          </w:p>
        </w:tc>
        <w:tc>
          <w:tcPr>
            <w:tcW w:w="174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right="39" w:firstLine="0"/>
            </w:pPr>
            <w:r>
              <w:rPr>
                <w:b/>
              </w:rPr>
              <w:t>Баллы (не менее)</w:t>
            </w:r>
          </w:p>
        </w:tc>
        <w:tc>
          <w:tcPr>
            <w:tcW w:w="127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Возраст, лет</w:t>
            </w:r>
          </w:p>
        </w:tc>
      </w:tr>
      <w:tr w:rsidR="004B6076">
        <w:trPr>
          <w:trHeight w:val="1440"/>
        </w:trPr>
        <w:tc>
          <w:tcPr>
            <w:tcW w:w="86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SDN</w:t>
            </w:r>
          </w:p>
        </w:tc>
        <w:tc>
          <w:tcPr>
            <w:tcW w:w="174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15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17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24</w:t>
            </w:r>
          </w:p>
        </w:tc>
        <w:tc>
          <w:tcPr>
            <w:tcW w:w="127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18–44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27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49</w:t>
            </w:r>
          </w:p>
        </w:tc>
      </w:tr>
      <w:tr w:rsidR="004B6076">
        <w:trPr>
          <w:trHeight w:val="1440"/>
        </w:trPr>
        <w:tc>
          <w:tcPr>
            <w:tcW w:w="86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SMN</w:t>
            </w:r>
          </w:p>
        </w:tc>
        <w:tc>
          <w:tcPr>
            <w:tcW w:w="174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6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9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10</w:t>
            </w:r>
          </w:p>
        </w:tc>
        <w:tc>
          <w:tcPr>
            <w:tcW w:w="127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18–53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28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33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49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52</w:t>
            </w:r>
          </w:p>
        </w:tc>
      </w:tr>
      <w:tr w:rsidR="004B6076">
        <w:trPr>
          <w:trHeight w:val="1440"/>
        </w:trPr>
        <w:tc>
          <w:tcPr>
            <w:tcW w:w="86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SPN</w:t>
            </w:r>
          </w:p>
        </w:tc>
        <w:tc>
          <w:tcPr>
            <w:tcW w:w="174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15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17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20</w:t>
            </w:r>
          </w:p>
        </w:tc>
        <w:tc>
          <w:tcPr>
            <w:tcW w:w="127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18–53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26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33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56</w:t>
            </w:r>
          </w:p>
        </w:tc>
      </w:tr>
      <w:tr w:rsidR="004B6076">
        <w:trPr>
          <w:trHeight w:val="1668"/>
        </w:trPr>
        <w:tc>
          <w:tcPr>
            <w:tcW w:w="86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TotBallN</w:t>
            </w:r>
          </w:p>
        </w:tc>
        <w:tc>
          <w:tcPr>
            <w:tcW w:w="174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20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24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35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45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50</w:t>
            </w:r>
          </w:p>
        </w:tc>
        <w:tc>
          <w:tcPr>
            <w:tcW w:w="127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18–36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26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49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56</w:t>
            </w:r>
          </w:p>
        </w:tc>
      </w:tr>
    </w:tbl>
    <w:p w:rsidR="004B6076" w:rsidRDefault="009E1091">
      <w:pPr>
        <w:ind w:left="-5" w:right="22"/>
      </w:pPr>
      <w:r>
        <w:rPr>
          <w:b/>
        </w:rPr>
        <w:t>Таблица 4.3.4.</w:t>
      </w:r>
      <w:r>
        <w:t xml:space="preserve"> Односторонние оценки возрастных интервалов для женщин</w:t>
      </w:r>
    </w:p>
    <w:p w:rsidR="004B6076" w:rsidRDefault="009E1091">
      <w:pPr>
        <w:ind w:left="-5" w:right="22"/>
      </w:pPr>
      <w:r>
        <w:t>Изложенную в данной главе методику можно применять при установлении возраста трупов, а также живых лиц.</w:t>
      </w:r>
    </w:p>
    <w:p w:rsidR="004B6076" w:rsidRDefault="009E1091">
      <w:pPr>
        <w:spacing w:after="400"/>
        <w:ind w:left="-5" w:right="9810"/>
      </w:pPr>
      <w:r>
        <w:t>tab not found: 0009 tab not found: 0010 tab not found: 0011</w:t>
      </w:r>
    </w:p>
    <w:p w:rsidR="004B6076" w:rsidRDefault="009E1091">
      <w:pPr>
        <w:pStyle w:val="Heading1"/>
        <w:ind w:left="-5"/>
      </w:pPr>
      <w:r>
        <w:t>Заключение</w:t>
      </w:r>
    </w:p>
    <w:p w:rsidR="004B6076" w:rsidRDefault="009E1091">
      <w:pPr>
        <w:ind w:left="-5" w:right="22"/>
      </w:pPr>
      <w:r>
        <w:t>Современная геополитическая обстановка (экономическая нестабильность провоцирует активные миграционные процессы и сопряженный с этим рост криминогенных инцидентов; локальные вооруженные конфликты, террористические акты, стихийные бедствия) приводит к гибел</w:t>
      </w:r>
      <w:r>
        <w:t>и людей, их обезличиванию и закономерно повышает потребность в проведении судебномедицинской экспертизы по отождествлению личности. Процесс идентификации личности является сложной, многоуровневой экспертной процедурой, композиционное решение и эффективност</w:t>
      </w:r>
      <w:r>
        <w:t>ь конечного результата которой зависят от целого ряда факторов. Основными являются информационная значимость представленных идентифицируемых объектов и возможность их полноценного исследования. В большинстве случаев формирование биологического профиля неоп</w:t>
      </w:r>
      <w:r>
        <w:t>ознанного лица является базовым этапом, без реализации которого невозможно дальнейшее идентификационное исследование. Возраст, один из наиболее важных диагностических признаков, формирующий биологический профиль, зачастую имеет решающее значение для достиж</w:t>
      </w:r>
      <w:r>
        <w:t>ения положительного результата идентификации личности.</w:t>
      </w:r>
    </w:p>
    <w:tbl>
      <w:tblPr>
        <w:tblStyle w:val="TableGrid"/>
        <w:tblpPr w:vertAnchor="page" w:horzAnchor="page" w:tblpX="120" w:tblpY="6"/>
        <w:tblOverlap w:val="never"/>
        <w:tblW w:w="3877" w:type="dxa"/>
        <w:tblInd w:w="0" w:type="dxa"/>
        <w:tblCellMar>
          <w:top w:w="106" w:type="dxa"/>
          <w:left w:w="36" w:type="dxa"/>
          <w:bottom w:w="0" w:type="dxa"/>
          <w:right w:w="94" w:type="dxa"/>
        </w:tblCellMar>
        <w:tblLook w:val="04A0" w:firstRow="1" w:lastRow="0" w:firstColumn="1" w:lastColumn="0" w:noHBand="0" w:noVBand="1"/>
      </w:tblPr>
      <w:tblGrid>
        <w:gridCol w:w="864"/>
        <w:gridCol w:w="1740"/>
        <w:gridCol w:w="1272"/>
      </w:tblGrid>
      <w:tr w:rsidR="004B6076">
        <w:trPr>
          <w:trHeight w:val="1902"/>
        </w:trPr>
        <w:tc>
          <w:tcPr>
            <w:tcW w:w="864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SMN</w:t>
            </w:r>
          </w:p>
        </w:tc>
        <w:tc>
          <w:tcPr>
            <w:tcW w:w="1740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5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8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18</w:t>
            </w:r>
          </w:p>
        </w:tc>
        <w:tc>
          <w:tcPr>
            <w:tcW w:w="1272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18–54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27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42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58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60</w:t>
            </w:r>
          </w:p>
        </w:tc>
      </w:tr>
      <w:tr w:rsidR="004B6076">
        <w:trPr>
          <w:trHeight w:val="1668"/>
        </w:trPr>
        <w:tc>
          <w:tcPr>
            <w:tcW w:w="86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SPN</w:t>
            </w:r>
          </w:p>
        </w:tc>
        <w:tc>
          <w:tcPr>
            <w:tcW w:w="174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3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9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11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17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19</w:t>
            </w:r>
          </w:p>
        </w:tc>
        <w:tc>
          <w:tcPr>
            <w:tcW w:w="127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18–49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25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27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43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49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57</w:t>
            </w:r>
          </w:p>
        </w:tc>
      </w:tr>
      <w:tr w:rsidR="004B6076">
        <w:trPr>
          <w:trHeight w:val="2125"/>
        </w:trPr>
        <w:tc>
          <w:tcPr>
            <w:tcW w:w="86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TotBallN</w:t>
            </w:r>
          </w:p>
        </w:tc>
        <w:tc>
          <w:tcPr>
            <w:tcW w:w="174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5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19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22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33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36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40</w:t>
            </w:r>
          </w:p>
        </w:tc>
        <w:tc>
          <w:tcPr>
            <w:tcW w:w="127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18–37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20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24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27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33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38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43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t>Более 57</w:t>
            </w:r>
          </w:p>
        </w:tc>
      </w:tr>
    </w:tbl>
    <w:p w:rsidR="004B6076" w:rsidRDefault="009E1091">
      <w:pPr>
        <w:ind w:left="-5" w:right="22"/>
      </w:pPr>
      <w:r>
        <w:t>При всем своем многообразии ни один из существующих методов судебно-медицинского установления возраста не обладает достаточной точностью и надежностью. Несмотря на десятилетия исследований, большое количество публикаций, существующие судебно-медицинские ме</w:t>
      </w:r>
      <w:r>
        <w:t>тоды не в состоянии адекватно улавливать и, самое главное, учитывать все нюансы биологических изменений, происходящих при старении, вследствие чего они формируют недостаточно объективные результирующие оценки. Широкие возрастные интервалы и высокая доля ош</w:t>
      </w:r>
      <w:r>
        <w:t>ибок при установлении возраста «крайних» возрастных групп — лиц пожилого и старческого возраста — также являются особой проблемой в экспертной практике. В течение жизни под влиянием целого ряда экзогенных и эндогенных факторов динамика возрастных изменений</w:t>
      </w:r>
      <w:r>
        <w:t xml:space="preserve"> меняется, увеличивается вариативность дегенеративных изменений, что в конечном итоге увеличивает разрыв между биологическим и хронологическим возрастом. Влияние данных факторов на показатели, например, костного возраста, в конечном итоге непредсказуемо. Э</w:t>
      </w:r>
      <w:r>
        <w:t>то снижает точность существующих методик и увеличивает погрешность при установлении возраста у лиц зрелого и пожилого возраста.</w:t>
      </w:r>
    </w:p>
    <w:p w:rsidR="004B6076" w:rsidRDefault="009E1091">
      <w:pPr>
        <w:ind w:left="-5" w:right="22"/>
      </w:pPr>
      <w:r>
        <w:t xml:space="preserve">Комплексный подход, использование как традиционных, так и современных, инновационных методов исследования, алгоритмов машинного </w:t>
      </w:r>
      <w:r>
        <w:t>обучения для интеллектуального анализа количественных показателей и поиска скрытых закономерностей обеспечивает полноту и достоверность полученных результатов. Применение интеллектуальных методов обработки информации позволяет путем адресного использования</w:t>
      </w:r>
      <w:r>
        <w:t xml:space="preserve"> цифровых технологий выполнить интеграцию и кооперирование массива разнородной и сложно структурированной информации, характеризующей происходящие с возрастом изменения изученных тканей и органов.</w:t>
      </w:r>
    </w:p>
    <w:p w:rsidR="004B6076" w:rsidRDefault="009E1091">
      <w:pPr>
        <w:ind w:left="-5" w:right="22"/>
      </w:pPr>
      <w:r>
        <w:t>Все представленные выше (глава II) показатели продемонстрир</w:t>
      </w:r>
      <w:r>
        <w:t>овали последовательную смену фаз роста и развития, относительной стагнации и инволютивной трансформации. Однако динамика происходящих процессов различна. Большим разнообразием отличаются как «внутритканевые», так и «межорганные» показатели. Зафиксированные</w:t>
      </w:r>
      <w:r>
        <w:t xml:space="preserve"> явления гетерохронии, гетерокинетичности, гетеротопии, гетерометрии, гетерокатефтенности возрастных изменений наиболее вероятно связаны с тем, что динамика функционального обеспечения и реализации приспособительных механизмов генетически детерминирована. </w:t>
      </w:r>
      <w:r>
        <w:t>Это и приводит к неравномерности возрастных проявлений.</w:t>
      </w:r>
    </w:p>
    <w:p w:rsidR="004B6076" w:rsidRDefault="009E1091">
      <w:pPr>
        <w:ind w:left="-5" w:right="22"/>
      </w:pPr>
      <w:r>
        <w:t>Для всех изученных тканей и органов было отмечено наличие периода роста (количественные изменения изученных гистоморфометрических параметров) и развития (качественная трансформация). Гетерохронность в</w:t>
      </w:r>
      <w:r>
        <w:t>озрастных изменений означает, что уровень диагностической значимости каждого показателя в разные периоды жизни различен. Исследованные ткани и органы продемонстрировали различные интервальные значения, соответствующие условным стадиям роста, развития и инв</w:t>
      </w:r>
      <w:r>
        <w:t>олюции. Использование ММО для классификации массива морфометрических параметров объективизирует данные периоды и позволяет провести комплексное сопоставление цифровых значений возрастной динамики.</w:t>
      </w:r>
    </w:p>
    <w:p w:rsidR="004B6076" w:rsidRDefault="009E1091">
      <w:pPr>
        <w:ind w:left="-5" w:right="22"/>
      </w:pPr>
      <w:r>
        <w:t>Период роста и развития по Ю.И. Пиголкину (1991) характериз</w:t>
      </w:r>
      <w:r>
        <w:t>уется активными процессами количественных преобразований и, следовательно, наибольшими коэффициентами корреляции с возрастом морфометрических параметров всех исследованных тканей и органов [130, 131]. При этом морфологическая перестройка и формирование деф</w:t>
      </w:r>
      <w:r>
        <w:t>инитивных значений завершались в разные возрастные периоды. Количественный и качественный рост структурных компонентов кожи был также отмечен у детей и подростков: увеличивается толщина сосочкового слоя и эпидермиса, созревает волокнистая сеть за счет упор</w:t>
      </w:r>
      <w:r>
        <w:t>ядочения структурной организации и толщины волокон. У лиц моложе 10 лет значения индекса пролиферации Ki-67 в кератиноцитах базального слоя эпидермиса имели максимальные значения. Также было зафиксировано большое количество эпителиоцитов базального слоя, э</w:t>
      </w:r>
      <w:r>
        <w:t>кспрессирующих маркер bcl-2, индекс экспрессии р53 в данном возрасте имел минимальные значения.</w:t>
      </w:r>
    </w:p>
    <w:p w:rsidR="004B6076" w:rsidRDefault="009E1091">
      <w:pPr>
        <w:ind w:left="-5" w:right="123"/>
      </w:pPr>
      <w:r>
        <w:t>Хрящевая ткань у лиц моложе 19 лет характеризуется активными процессами преобразования — созреванием хрящевой ткани, которое сопровождается изменением количеств</w:t>
      </w:r>
      <w:r>
        <w:t>енных и качественных показателей клеточного состава. Затем, в возрасте 19– 35 лет, помимо увеличения зоны зрелого хряща, состоящего из изогенных групп хондроцитов и базофильного матрикса, на первый план выходят показатели, связанные с оссификацией.</w:t>
      </w:r>
    </w:p>
    <w:p w:rsidR="004B6076" w:rsidRDefault="009E1091">
      <w:pPr>
        <w:ind w:left="-5" w:right="22"/>
      </w:pPr>
      <w:r>
        <w:t>Костная</w:t>
      </w:r>
      <w:r>
        <w:t xml:space="preserve"> ткань у лиц до 18 лет находится в процессе структурного созревания: отмечен прирост таких показателей, как толщина костных трабекул, площадь костной ткани, толщина внутреннего и наружного слоев общих пластинок, сопровождающихся активной остеонизацией.</w:t>
      </w:r>
    </w:p>
    <w:p w:rsidR="004B6076" w:rsidRDefault="009E1091">
      <w:pPr>
        <w:ind w:left="-5" w:right="22"/>
      </w:pPr>
      <w:r>
        <w:t>Кол</w:t>
      </w:r>
      <w:r>
        <w:t>ичественные и качественные преобразования линейных размеров капилляров головного мозга происходят у плода и детей первого года жизни [95, 96]. К 17 годам изученные количественные показатели возрастных изменений нервного аппарата сосудов спинного мозга дост</w:t>
      </w:r>
      <w:r>
        <w:t>игают уровня дефинитивных значений.</w:t>
      </w:r>
    </w:p>
    <w:p w:rsidR="004B6076" w:rsidRDefault="009E1091">
      <w:pPr>
        <w:ind w:left="-5" w:right="22"/>
      </w:pPr>
      <w:r>
        <w:t xml:space="preserve">Таким образом, в данном случае проявляется один из принципов гетерохронного формирования функциональных систем в онтогенезе по П.К. Анохину: первоочередное развитие и созревание имеющих принципиально важное значение для </w:t>
      </w:r>
      <w:r>
        <w:t>последующего развития организма — это головной и спинной мозг [8].</w:t>
      </w:r>
    </w:p>
    <w:p w:rsidR="004B6076" w:rsidRDefault="009E1091">
      <w:pPr>
        <w:ind w:left="-5" w:right="22"/>
      </w:pPr>
      <w:r>
        <w:t>Период относительной стабилизации сменяет период роста. Замедление возрастных изменений, вероятно, связано с происходящим морфофункциональным совершенствованием. Условность выделения данной</w:t>
      </w:r>
      <w:r>
        <w:t xml:space="preserve"> стадии мы видим в том, что изученные показатели не фиксируются и не формируют плато, снижается лишь темп возрастной трансформации. Речь идет о временном интервале, когда происходящие изменения имеют минимальную степень выраженности.</w:t>
      </w:r>
    </w:p>
    <w:p w:rsidR="004B6076" w:rsidRDefault="009E1091">
      <w:pPr>
        <w:ind w:left="-5" w:right="22"/>
      </w:pPr>
      <w:r>
        <w:t>Изученные гистоморфометрические показатели кожи, достигнув к 20 годам дефинитивного уровня, практически не изменялись у лиц от 21 года до 30 лет. В ЩХ в период от 36 до 60 лет продолжается оссификация хрящевой ткани. Базофилия матрикса снижается, увеличива</w:t>
      </w:r>
      <w:r>
        <w:t>ется количество пузырчатых хондроцитов, необходимых для минерализации. Однако скорость инволютивной перестройки заметно снижена. Завершение процесса формирования костной ткани приходится на возраст от 19 до 30 лет. Перестройка основного структурного компон</w:t>
      </w:r>
      <w:r>
        <w:t>ента костной ткани — остеона — под воздействием внутренних и внешних факторов иллюстрирует относительность периода стабильности. На рентгенограммах костей левой кисти у индивидов в возрасте до 30 лет признаки возрастных деформационных изменений отсутствова</w:t>
      </w:r>
      <w:r>
        <w:t>ли. Стабильность сформировавшихся к 17 годам показателей нервного аппарата сосудов головного мозга была отмечена нами вплоть до 45 лет. Низкая волатильность значений морфометрических показателей капилляров головного мозга, позволяющая говорить о стадии ста</w:t>
      </w:r>
      <w:r>
        <w:t>билизации, наблюдалась вплоть до 35 лет.</w:t>
      </w:r>
    </w:p>
    <w:p w:rsidR="004B6076" w:rsidRDefault="009E1091">
      <w:pPr>
        <w:ind w:left="-5" w:right="22"/>
      </w:pPr>
      <w:r>
        <w:t>Естественно, что ряд показателей в эту стадию продолжает трансформироваться, причем существенно изменяются только те структуры, перестройка которых необходима для приспособления к изменениям. В костной ткани в данны</w:t>
      </w:r>
      <w:r>
        <w:t>й период в ответ на механическую нагрузку изменения минерального обмена реагируют остеоны. Содружественные изменения линейных размеров (диаметра и длины капиллярного русла) сосудов головного мозга являются компенсаторными и направлены на поддержание адеква</w:t>
      </w:r>
      <w:r>
        <w:t>тного кровоснабжения. Данные процессы отражают сущность гетеротопии и гетерометрии постнатального онтогенеза. Таким образом, здесь также прослеживается системообразующий фактор функциональных систем — приспособительные адаптационные перестройки для поддерж</w:t>
      </w:r>
      <w:r>
        <w:t>ания нормального функционирования организма.</w:t>
      </w:r>
    </w:p>
    <w:p w:rsidR="004B6076" w:rsidRDefault="009E1091">
      <w:pPr>
        <w:spacing w:after="13"/>
        <w:ind w:left="-5" w:right="22"/>
      </w:pPr>
      <w:r>
        <w:t>Неизбежно наступающий период инволюции органов и тканей является «морфофункциональным эквивалентом старения» [171].</w:t>
      </w:r>
    </w:p>
    <w:p w:rsidR="004B6076" w:rsidRDefault="009E1091">
      <w:pPr>
        <w:ind w:left="-5" w:right="22"/>
      </w:pPr>
      <w:r>
        <w:t>Временные интервалы появления признаков старения у изученных объектов характеризовались максима</w:t>
      </w:r>
      <w:r>
        <w:t>льной асинхронностью.</w:t>
      </w:r>
    </w:p>
    <w:p w:rsidR="004B6076" w:rsidRDefault="009E1091">
      <w:pPr>
        <w:ind w:left="-5" w:right="22"/>
      </w:pPr>
      <w:r>
        <w:t>Начальные признаки возрастных изменений в коже были отмечены в возрасте 30–40 лет. Именно в данном возрастном интервале установлено достоверное снижение в базальном слое эпидермиса трупов лиц индекса пролиферации Ki-67, увеличение кол</w:t>
      </w:r>
      <w:r>
        <w:t>ичества базальных клеток, экспрессирующих маркер апоптоза р53 и снижение активности белка bcl-2. Таким образом, данный возрастной интервал свидетельствует о начале старения кожи. В следующие десятилетия (40–50 и 50–60 лет) они нарастали: уменьшалась толщин</w:t>
      </w:r>
      <w:r>
        <w:t>а эпидермиса, роговый слой разрыхлялся, коллагеновые волокна теряли компактность и пространственную организацию, появлялись участки их гомогенизации и фрагментации. Эластические волокна утолщались. Снижалось количество фибробластов. Распрямлялось дермо-эпи</w:t>
      </w:r>
      <w:r>
        <w:t>дермальное соединение. После 60 лет темп возрастных изменений заметно снижается. У лиц старше 75 лет эпидермис значительно истончен. Сосочковый слой атрофирован, интегральный индекс, характеризующий дермо-эпидермальное соединение, приближается к 1. Выражен</w:t>
      </w:r>
      <w:r>
        <w:t>ная атрофия дермальных волокон. Коллагеновые волокна приобретают вид грубых дезорганизованных пучков. В базальном слое в этот период резко снижается значение индекса пролиферации Ki-67; количество базальных клеток, экспрессирующих маркер апоптоза р53, прод</w:t>
      </w:r>
      <w:r>
        <w:t>олжает увеличиваться, и одновременно уменьшается активность белка bcl-2.</w:t>
      </w:r>
    </w:p>
    <w:p w:rsidR="004B6076" w:rsidRDefault="009E1091">
      <w:pPr>
        <w:ind w:left="-5" w:right="22"/>
      </w:pPr>
      <w:r>
        <w:t>Инволютивные изменения в ЩХ отмечены у лиц старше 60 лет. При этом они характеризуются разнонаправленностью. С одной стороны, это завершение оссификации: стареющий хрящ твердый, хрупк</w:t>
      </w:r>
      <w:r>
        <w:t>ий, непрозрачный как следствие его минерализации. С другой стороны, происходит уменьшение толщины костных трабекул, замещение ретикулярной ткани жировой.</w:t>
      </w:r>
    </w:p>
    <w:p w:rsidR="004B6076" w:rsidRDefault="009E1091">
      <w:pPr>
        <w:ind w:left="-5" w:right="22"/>
      </w:pPr>
      <w:r>
        <w:t xml:space="preserve">Первые проявления остеопоротических изменений появляются в длинной трубчатой кости уже после 30 лет с </w:t>
      </w:r>
      <w:r>
        <w:t>закономерным усилением после 50 лет. Возрастная инволюция костей кисти с минимальной степенью выраженности формируется в возрасте 30–49 лет в виде склеротической деформации дистальных фаланг (апиостозы). У мужчин процесс старения происходил за счет остеоск</w:t>
      </w:r>
      <w:r>
        <w:t>леротических поражений тела фаланговых костей и постепенного формирования суставных деформаций (сужение суставной щели). У женщин прогрессировали остеосклеротические разрастания дистальных фаланг на фоне остеопоротических</w:t>
      </w:r>
      <w:r>
        <w:t>​</w:t>
      </w:r>
      <w:r>
        <w:t xml:space="preserve"> </w:t>
      </w:r>
      <w:r>
        <w:t>изменений. В возрасте 50–59 лет п</w:t>
      </w:r>
      <w:r>
        <w:t>роцесс старения затрагивает проксимальные фаланги, у лиц женского пола фиксируется сужение суставных щелей дистальных фаланг. После 60 лет признаки возрастной инволюции нарастают, причем у женщин отмечается лавинообразный рост.</w:t>
      </w:r>
    </w:p>
    <w:p w:rsidR="004B6076" w:rsidRDefault="009E1091">
      <w:pPr>
        <w:ind w:left="-5" w:right="22"/>
      </w:pPr>
      <w:r>
        <w:t>На основании динамики возрас</w:t>
      </w:r>
      <w:r>
        <w:t>тных изменений морфометрических характеристик капилляров изученных участков головного мозга можно выделить период от 36 до 55 лет, который характеризуется начальными проявлениями возрастной инволюции, нарастающими в возрасте от 56 до 75 лет. Зафиксированны</w:t>
      </w:r>
      <w:r>
        <w:t>е изменения цифровых значений данных показателей у лиц старше 75 лет имеют достаточно слабую корреляционную связь с возрастом вследствие выраженной вариабельности.</w:t>
      </w:r>
    </w:p>
    <w:p w:rsidR="004B6076" w:rsidRDefault="009E1091">
      <w:pPr>
        <w:ind w:left="-5" w:right="192"/>
      </w:pPr>
      <w:r>
        <w:t>В возрасте 46–60 лет зафиксировано начало формирования инволютивной трансформации нервных сп</w:t>
      </w:r>
      <w:r>
        <w:t>летений артерий мягкой оболочки спинного мозга. Это можно рассматривать как частное проявление «деафферентного феномена». В первую очередь происходит снижение доли толстых и средних проводников. Сопровождающие старение процессы возрастной трансформации мех</w:t>
      </w:r>
      <w:r>
        <w:t>анизмов регуляции кровоснабжения сосудов спинного мозга осуществляются на основе принципов кооперирования. Для</w:t>
      </w:r>
      <w:r>
        <w:t>​</w:t>
      </w:r>
      <w:r>
        <w:t xml:space="preserve"> </w:t>
      </w:r>
      <w:r>
        <w:t>поддержания уровня кровотока, адекватного метаболическим потребностям, инволюция вегетативных нервных сплетений компенсируется клеточными механи</w:t>
      </w:r>
      <w:r>
        <w:t>змами регуляции [96, 125, 131]. По мере повышения возраста активность процессов нарастает. У лиц старше 65 лет достоверное снижение концентрации адренергических и холинергических волокон (в 1,24– 1,32 раза по сравнению с предыдущим десятилетием и в 1,8 раз</w:t>
      </w:r>
      <w:r>
        <w:t>а с периодом референтных значений). Появляются резко утолщенные, извитые гиперхромные нервные волокна; рецепторы с признаками зернистого распада. При этом часть нервных волокон сохраняет структуру, типичную для зрелого возраста. Максимальные проявления ста</w:t>
      </w:r>
      <w:r>
        <w:t>рения отмечены у лиц старше 75 лет.</w:t>
      </w:r>
    </w:p>
    <w:p w:rsidR="004B6076" w:rsidRDefault="009E1091">
      <w:pPr>
        <w:ind w:left="-5" w:right="22"/>
      </w:pPr>
      <w:r>
        <w:t>Отмеченная асинхронность возрастных изменений свидетельствует, что уровень диагностической значимости каждого признака в разные периоды жизни различен. Исследованные ткани и органы, проходя в своем развитии условные стад</w:t>
      </w:r>
      <w:r>
        <w:t>ии созревания, стабилизации и инволюции, характеризуются индивидуальными реперными точками, возрастными периодами, в которых степень фиксируемых изменений максимально выражена. Скорость происходящих трансформаций также различна. Так, изменения костной ткан</w:t>
      </w:r>
      <w:r>
        <w:t>и появляются на микроструктурном уровне достаточно рано (27–30 лет), но медленно нарастают с возрастом. Инволюция нервного аппарата сосудов мягкой оболочки спинного мозга возникает позже, но быстрее прогрессирует. Отмечена также разнонаправленность возраст</w:t>
      </w:r>
      <w:r>
        <w:t>ных изменений. Толщина эпидермиса в процессе старения снижается, тогда как толщина эластических волокон увеличивается.</w:t>
      </w:r>
    </w:p>
    <w:p w:rsidR="004B6076" w:rsidRDefault="009E1091">
      <w:pPr>
        <w:ind w:left="-5" w:right="22"/>
      </w:pPr>
      <w:r>
        <w:t>Сопровождающие старение возрастные изменения являются следствием целого комплекса процессов, для экспликации которых в равной доле необхо</w:t>
      </w:r>
      <w:r>
        <w:t>дим и стохастический, и программированный подходы. Накопленные знания позволяют рассматривать старение как комплекс взаимодействий онтогенетических и аккумуляционных механизмов, подверженных влиянию внешних и внутренних факторов (генетических, экологически</w:t>
      </w:r>
      <w:r>
        <w:t>х и др.). Взаимодействие функциональных систем в организме на протяжении всего периода постнатального онтогенеза «осуществляется на основе принципов иерархического доминирования, мультипараметрического и последовательного взаимодействия, системогенеза и си</w:t>
      </w:r>
      <w:r>
        <w:t>стемного квантования процессов жизнедеятельности» [8, 158, 159]. Поэтому для формирования объективных знаний о возрастных изменениях мы использовали ММО, позволяющие учесть весь спектр происходящих изменений, проследить формирующие взаимосвязи. Привлечение</w:t>
      </w:r>
      <w:r>
        <w:t xml:space="preserve"> ММО следует рассматривать как вариант преодоления гносеологических препятствий [6, 113].</w:t>
      </w:r>
    </w:p>
    <w:p w:rsidR="004B6076" w:rsidRDefault="009E1091">
      <w:pPr>
        <w:ind w:left="-5" w:right="22"/>
      </w:pPr>
      <w:r>
        <w:t>Для установления возраста неопознанного лица использование линейных моделей является наиболее распространенным вариантом. Однако разнородность, разнонаправленность пр</w:t>
      </w:r>
      <w:r>
        <w:t>оисходящих с возрастом изменений невозможно учесть при построении стандартных уравнений линейной регрессии. В настоящее время исследователи сходятся во мнении, что подобного рода подход является неоднозначным и не всегда способен решить целевую задачу. Про</w:t>
      </w:r>
      <w:r>
        <w:t>исходящие возрастные изменения тканей и органов имеют сложную динамику и не могут быть описаны простыми линейными зависимостями.</w:t>
      </w:r>
    </w:p>
    <w:p w:rsidR="004B6076" w:rsidRDefault="009E1091">
      <w:pPr>
        <w:spacing w:after="13"/>
        <w:ind w:left="-5" w:right="22"/>
      </w:pPr>
      <w:r>
        <w:t>Оптимальным решением является использование современных методов обработки данных: глубокого анализа</w:t>
      </w:r>
    </w:p>
    <w:p w:rsidR="004B6076" w:rsidRDefault="009E1091">
      <w:pPr>
        <w:ind w:left="-5" w:right="22"/>
      </w:pPr>
      <w:r>
        <w:t>(интеллектуальный анализ да</w:t>
      </w:r>
      <w:r>
        <w:t>нных — Data Mining). Data Mining направлен на выявление скрытых закономерностей. Дерево решений — это алгоритм машинного обучения, относится к средствам поддержки принятия решений, выявления логических закономерностей в данных и представления результатов в</w:t>
      </w:r>
      <w:r>
        <w:t xml:space="preserve"> виде иерархических структур. Из всех классификаторов алгоритм случайного леса (Random Forest) максимально эффективен для решения задачи установления возраста в судебно-медицинской экспертной практике. Полученные результаты доказали перспективность использ</w:t>
      </w:r>
      <w:r>
        <w:t>ования ММО для решения задачи диагностики возраста, продемонстрировав высокую точность конечного результата. С помощью методов интеллектуального анализа сформирован оптимальный набор наиболее информативных гистоморфометрических признаков возрастных изменен</w:t>
      </w:r>
      <w:r>
        <w:t>ий и создана цифровая база данных — ключевой модуль программно-аппаратного комплекса. Данная база представляет собой конструктивную основу для накопления и систематизации данных при судебно-медицинской оценке возраста. Формирование списка информационно зна</w:t>
      </w:r>
      <w:r>
        <w:t>чимых признаков позволяет унифицировать последующие научные исследования в области возрастной морфологии и тем самым расширять «тренировочный» массив данных для построения прогнозов. Ведь именно сложный массив данных (огромное количество разнообразных приз</w:t>
      </w:r>
      <w:r>
        <w:t>наков) при малом числе наблюдений — главный сдерживающий момент активного внедрения ММО в медицину. Наши исследования показали, что сокращение признакового пространства является необходимой мерой и не приводит к потере качества классификации. Эффективность</w:t>
      </w:r>
      <w:r>
        <w:t xml:space="preserve"> работы алгоритмов зависит от количества признаков. В целом при наличии 25–30 признаков уже достигается максимальная точность. Далее точность резко падает до линейных или почти линейных классификаторов. При этом следует подчеркнуть, что речь идет о совокуп</w:t>
      </w:r>
      <w:r>
        <w:t xml:space="preserve">ном наборе признаков. Максимальные точность и достоверность конечного результата достигались при комплексной оценке возрастных изменений различных тканей и органов: построение алгоритмов по объединенной базе. Деревья решений продемонстрировали способность </w:t>
      </w:r>
      <w:r>
        <w:t>самостоятельно отбирать признаки в процессе работы. Вне зависимости от количества они выбирают самые информативные. Подобное обстоятельство подтверждает преимущество использования данного алгоритма для целевой задачи судебно-медицинской оценки возраста.</w:t>
      </w:r>
    </w:p>
    <w:p w:rsidR="004B6076" w:rsidRDefault="009E1091">
      <w:pPr>
        <w:spacing w:after="192" w:line="234" w:lineRule="auto"/>
        <w:ind w:left="-5"/>
        <w:jc w:val="both"/>
      </w:pPr>
      <w:r>
        <w:t>На</w:t>
      </w:r>
      <w:r>
        <w:t xml:space="preserve"> основании проведенного исследования представлены итоговый алгоритм классификации и разработанное на его основе вебприложение для классификации возраста объекта. Основная цель приложения состоит в том, чтобы построить надежную модель прогнозирования возрас</w:t>
      </w:r>
      <w:r>
        <w:t>тного интервала. Оптимальными в данном случае оказались методики, предлагающие точные гибридные классификаторы со встроенной регуляризацией, включающие методы вычислительного интеллекта. Приложение функционирует на сервере. Для того чтобы воспользоваться е</w:t>
      </w:r>
      <w:r>
        <w:t>го функционалом, пользователю достаточно иметь устройство, имеющее доступ в интернет (компьютер, телефон, планшет). Приложение реализовано с использованием языка программирования Python 3. Среди использованных библиотек — sklearn, streamlit, matplotlib, se</w:t>
      </w:r>
      <w:r>
        <w:t>aborn.</w:t>
      </w:r>
    </w:p>
    <w:p w:rsidR="004B6076" w:rsidRDefault="009E1091">
      <w:pPr>
        <w:ind w:left="-5" w:right="22"/>
      </w:pPr>
      <w:r>
        <w:t>Разработанная судебно-медицинская методика диагностики возраста с использованием современных интеллектуальных методов обработки информации значительно расширяет доказательную базу, сокращает затраты временных ресурсов экспертов на процесс определени</w:t>
      </w:r>
      <w:r>
        <w:t>я возрастной группы индивида, предоставляя соответствующий инструментарий для поддержки принятия решения, позволяющий определять возрастную группу со средней точностью до 88%.</w:t>
      </w:r>
    </w:p>
    <w:p w:rsidR="004B6076" w:rsidRDefault="009E1091">
      <w:pPr>
        <w:ind w:left="-5" w:right="22"/>
      </w:pPr>
      <w:r>
        <w:t>Изучение особенностей развития тканей и органов, их адаптационных возможностей в</w:t>
      </w:r>
      <w:r>
        <w:t xml:space="preserve"> процессе постнатального онтогенеза — одна из актуальных проблем возрастной морфологии, имеющая общебиологическое значение. Изложенные здесь результаты,</w:t>
      </w:r>
      <w:r>
        <w:t>​</w:t>
      </w:r>
      <w:r>
        <w:t xml:space="preserve"> </w:t>
      </w:r>
      <w:r>
        <w:t>несомненно, имеют научную ценность для фундаментальных положений биологии старения, клинической геронт</w:t>
      </w:r>
      <w:r>
        <w:t>ологии, расширяя представления о происходящих патофизиологических изменениях возрастного организма. Они послужат информационным полем для характеристики возрастных изменений различных тканей и органов как биомаркеров.</w:t>
      </w:r>
    </w:p>
    <w:p w:rsidR="004B6076" w:rsidRDefault="009E1091">
      <w:pPr>
        <w:ind w:left="-5" w:right="22"/>
      </w:pPr>
      <w:r>
        <w:t>Демографическая картина современного о</w:t>
      </w:r>
      <w:r>
        <w:t>бщества на фоне прогнозируемого роста продолжительности жизни (средняя скорость до 3 мес в год по данным Oeppen, Vapel, 2002) демонстрирует увеличение доли пожилых людей и, как следствие, неизбежное постарение общества [6]. Это активизирует рост интереса н</w:t>
      </w:r>
      <w:r>
        <w:t>аучного сообщества к процессам старения и лежащим в его основе возрастным изменениям. В 1903 г. И.И. Мечников ввел в научный обиход термин «геронтология». В настоящее время эта междисциплинарная наука имеет исключительное научно-практическое значение. В ра</w:t>
      </w:r>
      <w:r>
        <w:t>мках Балтиморского лонгитудинального проекта по старению (Baltimore Longitudinal Study on Aging) НИИ старения США проводятся многолетние исследования, направленные на учет и оценку возрастной динамики показателей. Цель данного проекта — оценить степень ста</w:t>
      </w:r>
      <w:r>
        <w:t>рения индивида. Однако вследствие индивидуальной изменчивости показателей (биохимических, физических и др.) создание универсальной модели для определения биологического возраста затруднительно, проблема не решена. В этой связи представленные результаты исс</w:t>
      </w:r>
      <w:r>
        <w:t>ледований имеют научную значимость и практический интерес. Программа ООН по исследованию старения в XXI в., принятая на геронтологическом форуме (Валенсия, Испания, 2002) и утвержденная Всемирной ассамблей ООН по старению отдает приоритет научным исследова</w:t>
      </w:r>
      <w:r>
        <w:t>ниям, направленным на изучение фундаментальных представлений о механизмах старения. Приведенные данные согласуются с результатами многолетних научных наблюдений Балтиморского национального института старения о том, что возрастные изменения формируются пост</w:t>
      </w:r>
      <w:r>
        <w:t>епенно. Скачок, резкий сдвиг говорят о формировании, присоединении патологического процесса. Созданные нами базы данных могут использоваться для сравнительного анализа и способствовать разработке приоритетных мер профилактики.</w:t>
      </w:r>
    </w:p>
    <w:p w:rsidR="004B6076" w:rsidRDefault="009E1091">
      <w:pPr>
        <w:spacing w:after="400"/>
        <w:ind w:left="-5" w:right="9810"/>
      </w:pPr>
      <w:r>
        <w:t>tab not found: 0004 tab not f</w:t>
      </w:r>
      <w:r>
        <w:t>ound: 0005 tab not found: 0006</w:t>
      </w:r>
    </w:p>
    <w:p w:rsidR="004B6076" w:rsidRDefault="009E1091">
      <w:pPr>
        <w:pStyle w:val="Heading1"/>
        <w:ind w:left="-5"/>
      </w:pPr>
      <w:r>
        <w:t>Тестовый контроль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Степень морфологического и физиологического развития организма на момент исследования — это:</w:t>
      </w:r>
    </w:p>
    <w:p w:rsidR="004B6076" w:rsidRDefault="009E1091">
      <w:pPr>
        <w:ind w:left="-5" w:right="22"/>
      </w:pPr>
      <w:r>
        <w:t>А)  биологический возраст;</w:t>
      </w:r>
    </w:p>
    <w:p w:rsidR="004B6076" w:rsidRDefault="009E1091">
      <w:pPr>
        <w:ind w:left="-5" w:right="22"/>
      </w:pPr>
      <w:r>
        <w:t>Б)  хронологический возраст;</w:t>
      </w:r>
    </w:p>
    <w:p w:rsidR="004B6076" w:rsidRDefault="009E1091">
      <w:pPr>
        <w:ind w:left="-5" w:right="22"/>
      </w:pPr>
      <w:r>
        <w:t>В)  паспортный возраст;</w:t>
      </w:r>
    </w:p>
    <w:p w:rsidR="004B6076" w:rsidRDefault="009E1091">
      <w:pPr>
        <w:ind w:left="-5" w:right="22"/>
      </w:pPr>
      <w:r>
        <w:t>Г)  костный возраст.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Внутренний слой длинной трубчатой кости представлен:</w:t>
      </w:r>
    </w:p>
    <w:p w:rsidR="004B6076" w:rsidRDefault="009E1091">
      <w:pPr>
        <w:ind w:left="-5" w:right="22"/>
      </w:pPr>
      <w:r>
        <w:t>А)  трабекулярной костью;</w:t>
      </w:r>
    </w:p>
    <w:p w:rsidR="004B6076" w:rsidRDefault="009E1091">
      <w:pPr>
        <w:ind w:left="-5" w:right="22"/>
      </w:pPr>
      <w:r>
        <w:t>Б)  пластинчатой костью;</w:t>
      </w:r>
    </w:p>
    <w:p w:rsidR="004B6076" w:rsidRDefault="009E1091">
      <w:pPr>
        <w:ind w:left="-5" w:right="22"/>
      </w:pPr>
      <w:r>
        <w:t>В)  кортикальной костью;</w:t>
      </w:r>
    </w:p>
    <w:p w:rsidR="004B6076" w:rsidRDefault="009E1091">
      <w:pPr>
        <w:ind w:left="-5" w:right="22"/>
      </w:pPr>
      <w:r>
        <w:t>Г)  хрящевой тканью.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В центре гаверсова канала располагается:</w:t>
      </w:r>
    </w:p>
    <w:p w:rsidR="004B6076" w:rsidRDefault="009E1091">
      <w:pPr>
        <w:ind w:left="-5" w:right="22"/>
      </w:pPr>
      <w:r>
        <w:t>А)  сосуд;</w:t>
      </w:r>
    </w:p>
    <w:p w:rsidR="004B6076" w:rsidRDefault="009E1091">
      <w:pPr>
        <w:ind w:left="-5" w:right="22"/>
      </w:pPr>
      <w:r>
        <w:t>Б)  остеоцит;</w:t>
      </w:r>
    </w:p>
    <w:p w:rsidR="004B6076" w:rsidRDefault="009E1091">
      <w:pPr>
        <w:ind w:left="-5" w:right="22"/>
      </w:pPr>
      <w:r>
        <w:t>В)  костномозговая полость;</w:t>
      </w:r>
    </w:p>
    <w:p w:rsidR="004B6076" w:rsidRDefault="009E1091">
      <w:pPr>
        <w:ind w:left="-5" w:right="22"/>
      </w:pPr>
      <w:r>
        <w:t>Г)  зона остеорезорбции.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Структурной единицей кости является:</w:t>
      </w:r>
    </w:p>
    <w:p w:rsidR="004B6076" w:rsidRDefault="009E1091">
      <w:pPr>
        <w:ind w:left="-5" w:right="22"/>
      </w:pPr>
      <w:r>
        <w:t>А)  остеоцит;</w:t>
      </w:r>
    </w:p>
    <w:p w:rsidR="004B6076" w:rsidRDefault="009E1091">
      <w:pPr>
        <w:ind w:left="-5" w:right="22"/>
      </w:pPr>
      <w:r>
        <w:t>Б)  остеон;</w:t>
      </w:r>
    </w:p>
    <w:p w:rsidR="004B6076" w:rsidRDefault="009E1091">
      <w:pPr>
        <w:ind w:left="-5" w:right="22"/>
      </w:pPr>
      <w:r>
        <w:t>В)  кровеносный сосуд;</w:t>
      </w:r>
    </w:p>
    <w:p w:rsidR="004B6076" w:rsidRDefault="009E1091">
      <w:pPr>
        <w:ind w:left="-5" w:right="22"/>
      </w:pPr>
      <w:r>
        <w:t>Г)  костная балка.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В ходе производства судебно-медицинской экспертизы костных останков неизвестного человека возможно установление:</w:t>
      </w:r>
    </w:p>
    <w:p w:rsidR="004B6076" w:rsidRDefault="009E1091">
      <w:pPr>
        <w:ind w:left="-5" w:right="22"/>
      </w:pPr>
      <w:r>
        <w:t>А)  паспортно</w:t>
      </w:r>
      <w:r>
        <w:t>го возраста;</w:t>
      </w:r>
    </w:p>
    <w:p w:rsidR="004B6076" w:rsidRDefault="009E1091">
      <w:pPr>
        <w:ind w:left="-5" w:right="22"/>
      </w:pPr>
      <w:r>
        <w:t>Б)  биологического возраста;</w:t>
      </w:r>
    </w:p>
    <w:p w:rsidR="004B6076" w:rsidRDefault="009E1091">
      <w:pPr>
        <w:ind w:left="-5" w:right="22"/>
      </w:pPr>
      <w:r>
        <w:t>В)  календарного возраста;</w:t>
      </w:r>
    </w:p>
    <w:p w:rsidR="004B6076" w:rsidRDefault="009E1091">
      <w:pPr>
        <w:ind w:left="-5" w:right="22"/>
      </w:pPr>
      <w:r>
        <w:t>Г)  установление возраста невозможно.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Цикл ремоделирования костной ткани состоит из фаз:</w:t>
      </w:r>
    </w:p>
    <w:p w:rsidR="004B6076" w:rsidRDefault="009E1091">
      <w:pPr>
        <w:ind w:left="-5" w:right="22"/>
      </w:pPr>
      <w:r>
        <w:t>А)  резорбции и формирования;</w:t>
      </w:r>
    </w:p>
    <w:p w:rsidR="004B6076" w:rsidRDefault="009E1091">
      <w:pPr>
        <w:ind w:left="-5" w:right="22"/>
      </w:pPr>
      <w:r>
        <w:t>Б)  резорбции и синтеза белка;</w:t>
      </w:r>
    </w:p>
    <w:p w:rsidR="004B6076" w:rsidRDefault="009E1091">
      <w:pPr>
        <w:ind w:left="-5" w:right="22"/>
      </w:pPr>
      <w:r>
        <w:t>В)  деструкции и реабсорбции;</w:t>
      </w:r>
    </w:p>
    <w:p w:rsidR="004B6076" w:rsidRDefault="009E1091">
      <w:pPr>
        <w:ind w:left="-5" w:right="22"/>
      </w:pPr>
      <w:r>
        <w:t>Г)  синтеза белка и кальцификации.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Диаметр всего остеона и гаверсова канала с возрастом:</w:t>
      </w:r>
    </w:p>
    <w:p w:rsidR="004B6076" w:rsidRDefault="009E1091">
      <w:pPr>
        <w:ind w:left="-5" w:right="22"/>
      </w:pPr>
      <w:r>
        <w:t>А)  увеличивается;</w:t>
      </w:r>
    </w:p>
    <w:p w:rsidR="004B6076" w:rsidRDefault="009E1091">
      <w:pPr>
        <w:ind w:left="-5" w:right="22"/>
      </w:pPr>
      <w:r>
        <w:t>Б)  уменьшается;</w:t>
      </w:r>
    </w:p>
    <w:p w:rsidR="004B6076" w:rsidRDefault="009E1091">
      <w:pPr>
        <w:ind w:left="-5" w:right="22"/>
      </w:pPr>
      <w:r>
        <w:t>В)  не изменяется;</w:t>
      </w:r>
    </w:p>
    <w:p w:rsidR="004B6076" w:rsidRDefault="009E1091">
      <w:pPr>
        <w:ind w:left="-5" w:right="22"/>
      </w:pPr>
      <w:r>
        <w:t>Г)  варьирует, то увеличивается, то уменьшается.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К клеткам хрящевой ткани относятся:</w:t>
      </w:r>
    </w:p>
    <w:p w:rsidR="004B6076" w:rsidRDefault="009E1091">
      <w:pPr>
        <w:ind w:left="-5" w:right="22"/>
      </w:pPr>
      <w:r>
        <w:t>А)  хондроциты, хондробласт</w:t>
      </w:r>
      <w:r>
        <w:t>ы, хондрокласты;</w:t>
      </w:r>
    </w:p>
    <w:p w:rsidR="004B6076" w:rsidRDefault="009E1091">
      <w:pPr>
        <w:ind w:left="-5" w:right="22"/>
      </w:pPr>
      <w:r>
        <w:t>Б)  остеоны;</w:t>
      </w:r>
    </w:p>
    <w:p w:rsidR="004B6076" w:rsidRDefault="009E1091">
      <w:pPr>
        <w:ind w:left="-5" w:right="22"/>
      </w:pPr>
      <w:r>
        <w:t>В)  изогенные группы хондроцитов;</w:t>
      </w:r>
    </w:p>
    <w:p w:rsidR="004B6076" w:rsidRDefault="009E1091">
      <w:pPr>
        <w:ind w:left="-5" w:right="22"/>
      </w:pPr>
      <w:r>
        <w:t>Г)  хондробласты.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Место локализации в организме гиалинового хряща:</w:t>
      </w:r>
    </w:p>
    <w:p w:rsidR="004B6076" w:rsidRDefault="009E1091">
      <w:pPr>
        <w:ind w:left="-5" w:right="22"/>
      </w:pPr>
      <w:r>
        <w:t>А)  ушная раковина, рожковидный хрящ гортани;</w:t>
      </w:r>
    </w:p>
    <w:p w:rsidR="004B6076" w:rsidRDefault="009E1091">
      <w:pPr>
        <w:ind w:left="-5" w:right="22"/>
      </w:pPr>
      <w:r>
        <w:t>Б)  межпозвонковые диски и симфиз лобковых костей;</w:t>
      </w:r>
    </w:p>
    <w:p w:rsidR="004B6076" w:rsidRDefault="009E1091">
      <w:pPr>
        <w:ind w:left="-5" w:right="22"/>
      </w:pPr>
      <w:r>
        <w:t>В)  места соединения ребер с</w:t>
      </w:r>
      <w:r>
        <w:t xml:space="preserve"> грудиной, в гортани, в воздухоносных путях, на суставных поверхностях костей;</w:t>
      </w:r>
    </w:p>
    <w:p w:rsidR="004B6076" w:rsidRDefault="009E1091">
      <w:pPr>
        <w:ind w:left="-5" w:right="22"/>
      </w:pPr>
      <w:r>
        <w:t>Г) гортань.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Общий план строения хряща (как органа):</w:t>
      </w:r>
    </w:p>
    <w:p w:rsidR="004B6076" w:rsidRDefault="009E1091">
      <w:pPr>
        <w:ind w:left="-5" w:right="22"/>
      </w:pPr>
      <w:r>
        <w:t>А)  надкостница, зона изогенных групп;</w:t>
      </w:r>
    </w:p>
    <w:p w:rsidR="004B6076" w:rsidRDefault="009E1091">
      <w:pPr>
        <w:ind w:left="-5" w:right="22"/>
      </w:pPr>
      <w:r>
        <w:t>Б)  надхрящница, зона молодого хряща, зона зрелого хряща;</w:t>
      </w:r>
    </w:p>
    <w:p w:rsidR="004B6076" w:rsidRDefault="009E1091">
      <w:pPr>
        <w:ind w:left="-5" w:right="22"/>
      </w:pPr>
      <w:r>
        <w:t>В)  надхрящница, хондрогенны</w:t>
      </w:r>
      <w:r>
        <w:t>й слой, зона зрелого хряща;</w:t>
      </w:r>
    </w:p>
    <w:p w:rsidR="004B6076" w:rsidRDefault="009E1091">
      <w:pPr>
        <w:ind w:left="-5" w:right="22"/>
      </w:pPr>
      <w:r>
        <w:t>Г)  надкостница, остеоны.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Какие клетки находятся в костной ткани?</w:t>
      </w:r>
    </w:p>
    <w:p w:rsidR="004B6076" w:rsidRDefault="009E1091">
      <w:pPr>
        <w:ind w:left="-5" w:right="22"/>
      </w:pPr>
      <w:r>
        <w:t>А)  хондробласты;</w:t>
      </w:r>
    </w:p>
    <w:p w:rsidR="004B6076" w:rsidRDefault="009E1091">
      <w:pPr>
        <w:ind w:left="-5" w:right="22"/>
      </w:pPr>
      <w:r>
        <w:t>Б)  фибробласты;</w:t>
      </w:r>
    </w:p>
    <w:p w:rsidR="004B6076" w:rsidRDefault="009E1091">
      <w:pPr>
        <w:ind w:left="-5" w:right="22"/>
      </w:pPr>
      <w:r>
        <w:t>В)  хондроциты;</w:t>
      </w:r>
    </w:p>
    <w:p w:rsidR="004B6076" w:rsidRDefault="009E1091">
      <w:pPr>
        <w:ind w:left="-5" w:right="22"/>
      </w:pPr>
      <w:r>
        <w:t>Г)  остеоциты.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Какой из перечисленных клеток соответствует описание: клетка имеет отростчатую форму, компактное, относительнокрупное ядро, центриоли отсутствуют, цитоплазма слабо базофильна, лежит в полости, повторяющей ее форму?</w:t>
      </w:r>
    </w:p>
    <w:p w:rsidR="004B6076" w:rsidRDefault="009E1091">
      <w:pPr>
        <w:spacing w:after="13"/>
        <w:ind w:left="-5" w:right="22"/>
      </w:pPr>
      <w:r>
        <w:t>А)  фибробласт;</w:t>
      </w:r>
    </w:p>
    <w:p w:rsidR="004B6076" w:rsidRDefault="009E1091">
      <w:pPr>
        <w:ind w:left="-5" w:right="22"/>
      </w:pPr>
      <w:r>
        <w:t>Б)  хондробласт;</w:t>
      </w:r>
    </w:p>
    <w:p w:rsidR="004B6076" w:rsidRDefault="009E1091">
      <w:pPr>
        <w:ind w:left="-5" w:right="22"/>
      </w:pPr>
      <w:r>
        <w:t>В)  остеобласт;</w:t>
      </w:r>
    </w:p>
    <w:p w:rsidR="004B6076" w:rsidRDefault="009E1091">
      <w:pPr>
        <w:ind w:left="-5" w:right="22"/>
      </w:pPr>
      <w:r>
        <w:t>Г)  остеоцит.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С увеличением возраста площадь костной ткани в хрящах гортани:</w:t>
      </w:r>
    </w:p>
    <w:p w:rsidR="004B6076" w:rsidRDefault="009E1091">
      <w:pPr>
        <w:ind w:left="-5" w:right="22"/>
      </w:pPr>
      <w:r>
        <w:t>А)  увеличивается;</w:t>
      </w:r>
    </w:p>
    <w:p w:rsidR="004B6076" w:rsidRDefault="009E1091">
      <w:pPr>
        <w:ind w:left="-5" w:right="22"/>
      </w:pPr>
      <w:r>
        <w:t>Б)  уменьшается;</w:t>
      </w:r>
    </w:p>
    <w:p w:rsidR="004B6076" w:rsidRDefault="009E1091">
      <w:pPr>
        <w:ind w:left="-5" w:right="22"/>
      </w:pPr>
      <w:r>
        <w:t>В)  остается неизменной;</w:t>
      </w:r>
    </w:p>
    <w:p w:rsidR="004B6076" w:rsidRDefault="009E1091">
      <w:pPr>
        <w:ind w:left="-5" w:right="22"/>
      </w:pPr>
      <w:r>
        <w:t>Г)  варьирует, то увеличивается, то уменьшается.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Возрастные изменения кожи представлены следующими пре</w:t>
      </w:r>
      <w:r>
        <w:t>образованиями:</w:t>
      </w:r>
    </w:p>
    <w:p w:rsidR="004B6076" w:rsidRDefault="009E1091">
      <w:pPr>
        <w:ind w:left="-5" w:right="22"/>
      </w:pPr>
      <w:r>
        <w:t>А)  дезорганизация волокон, эластоз и уменьшение толщины сосочкового и сетчатого слоев дермы;</w:t>
      </w:r>
    </w:p>
    <w:p w:rsidR="004B6076" w:rsidRDefault="009E1091">
      <w:pPr>
        <w:spacing w:after="0" w:line="430" w:lineRule="auto"/>
        <w:ind w:left="-5" w:right="5639"/>
      </w:pPr>
      <w:r>
        <w:t>Б)  увеличение толщины сосочкового и сетчатого слоев дермы; В)  структуризация и увеличение количества эластических волокон;</w:t>
      </w:r>
    </w:p>
    <w:p w:rsidR="004B6076" w:rsidRDefault="009E1091">
      <w:pPr>
        <w:ind w:left="-5" w:right="22"/>
      </w:pPr>
      <w:r>
        <w:t>Г) постепенное истонче</w:t>
      </w:r>
      <w:r>
        <w:t>ние эластических волокон.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Что такое остеон?</w:t>
      </w:r>
    </w:p>
    <w:p w:rsidR="004B6076" w:rsidRDefault="009E1091">
      <w:pPr>
        <w:ind w:left="-5" w:right="22"/>
      </w:pPr>
      <w:r>
        <w:t>А)  совокупность концентрических пластинок вокруг гаверсова канал с сосудом, отделенная от соседних структур того же типа темной линией;</w:t>
      </w:r>
    </w:p>
    <w:p w:rsidR="004B6076" w:rsidRDefault="009E1091">
      <w:pPr>
        <w:ind w:left="-5" w:right="22"/>
      </w:pPr>
      <w:r>
        <w:t>Б)  крупные многоядерные клетки;</w:t>
      </w:r>
    </w:p>
    <w:p w:rsidR="004B6076" w:rsidRDefault="009E1091">
      <w:pPr>
        <w:ind w:left="-5" w:right="22"/>
      </w:pPr>
      <w:r>
        <w:t>В)  одиночно расположенные клетки;</w:t>
      </w:r>
    </w:p>
    <w:p w:rsidR="004B6076" w:rsidRDefault="009E1091">
      <w:pPr>
        <w:ind w:left="-5" w:right="22"/>
      </w:pPr>
      <w:r>
        <w:t>Г)  кру</w:t>
      </w:r>
      <w:r>
        <w:t>пные разветвленные подвидные клетки костной ткани.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Правильная последовательность подготовки костной ткани к микроскопическому исследованию:</w:t>
      </w:r>
    </w:p>
    <w:p w:rsidR="004B6076" w:rsidRDefault="009E1091">
      <w:pPr>
        <w:ind w:left="-5" w:right="22"/>
      </w:pPr>
      <w:r>
        <w:t>А)  фиксация → спиртовая проводка → заливка → изготовление срезов → окрашивание → микроскопия;</w:t>
      </w:r>
    </w:p>
    <w:p w:rsidR="004B6076" w:rsidRDefault="009E1091">
      <w:pPr>
        <w:ind w:left="-5" w:right="22"/>
      </w:pPr>
      <w:r>
        <w:t>Б)  фиксация → заливк</w:t>
      </w:r>
      <w:r>
        <w:t>а → окрашивание → микроскопия;</w:t>
      </w:r>
    </w:p>
    <w:p w:rsidR="004B6076" w:rsidRDefault="009E1091">
      <w:pPr>
        <w:ind w:left="-5" w:right="22"/>
      </w:pPr>
      <w:r>
        <w:t>В)  фиксация → заливка → изготовление срезов → окрашивание → микроскопия;</w:t>
      </w:r>
    </w:p>
    <w:p w:rsidR="004B6076" w:rsidRDefault="009E1091">
      <w:pPr>
        <w:ind w:left="-5" w:right="22"/>
      </w:pPr>
      <w:r>
        <w:t>Г)  фиксация → промывка → спиртовая проводка → декальцинация → заливка в парафин жидкий → изготовление срезов → окраска → микроскопия.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Какой тип коллагена преимущественно содержится в матриксе гиалинового хряща?</w:t>
      </w:r>
    </w:p>
    <w:p w:rsidR="004B6076" w:rsidRDefault="009E1091">
      <w:pPr>
        <w:ind w:left="-5" w:right="22"/>
      </w:pPr>
      <w:r>
        <w:t>А)  коллаген II типа;</w:t>
      </w:r>
    </w:p>
    <w:p w:rsidR="004B6076" w:rsidRDefault="009E1091">
      <w:pPr>
        <w:ind w:left="-5" w:right="22"/>
      </w:pPr>
      <w:r>
        <w:t>Б)  коллаген IX, XI типа;</w:t>
      </w:r>
    </w:p>
    <w:p w:rsidR="004B6076" w:rsidRDefault="009E1091">
      <w:pPr>
        <w:spacing w:after="0" w:line="430" w:lineRule="auto"/>
        <w:ind w:left="-5" w:right="8207"/>
      </w:pPr>
      <w:r>
        <w:t>В)  коллаген III, VI, X, XII, XIV типа; Г)  не содержит коллагеновых волокон.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Оссификация — это:</w:t>
      </w:r>
    </w:p>
    <w:p w:rsidR="004B6076" w:rsidRDefault="009E1091">
      <w:pPr>
        <w:ind w:left="-5" w:right="22"/>
      </w:pPr>
      <w:r>
        <w:t>А)  процесс формирования (образова</w:t>
      </w:r>
      <w:r>
        <w:t>ния) костной ткани;</w:t>
      </w:r>
    </w:p>
    <w:p w:rsidR="004B6076" w:rsidRDefault="009E1091">
      <w:pPr>
        <w:ind w:left="-5" w:right="22"/>
      </w:pPr>
      <w:r>
        <w:t>Б)  образование отложений солей кальция в мягких тканях или органах, в которых соли в нерастворенном состоянии содержаться не должны;</w:t>
      </w:r>
    </w:p>
    <w:p w:rsidR="004B6076" w:rsidRDefault="009E1091">
      <w:pPr>
        <w:ind w:left="-5" w:right="22"/>
      </w:pPr>
      <w:r>
        <w:t>В)  перестройка (обновление) костной ткани;</w:t>
      </w:r>
    </w:p>
    <w:p w:rsidR="004B6076" w:rsidRDefault="009E1091">
      <w:pPr>
        <w:ind w:left="-5" w:right="22"/>
      </w:pPr>
      <w:r>
        <w:t>Г)  процесс разрушения костной ткани.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Как меняется длина к</w:t>
      </w:r>
      <w:r>
        <w:t>остных балок (трабекул) с увеличением возраста?</w:t>
      </w:r>
    </w:p>
    <w:p w:rsidR="004B6076" w:rsidRDefault="009E1091">
      <w:pPr>
        <w:ind w:left="-5" w:right="22"/>
      </w:pPr>
      <w:r>
        <w:t>А)  увеличивается, затем уменьшается;</w:t>
      </w:r>
    </w:p>
    <w:p w:rsidR="004B6076" w:rsidRDefault="009E1091">
      <w:pPr>
        <w:ind w:left="-5" w:right="22"/>
      </w:pPr>
      <w:r>
        <w:t>Б)  уменьшается;</w:t>
      </w:r>
    </w:p>
    <w:p w:rsidR="004B6076" w:rsidRDefault="009E1091">
      <w:pPr>
        <w:ind w:left="-5" w:right="22"/>
      </w:pPr>
      <w:r>
        <w:t>В)  остается неизменной;</w:t>
      </w:r>
    </w:p>
    <w:p w:rsidR="004B6076" w:rsidRDefault="009E1091">
      <w:pPr>
        <w:ind w:left="-5" w:right="22"/>
      </w:pPr>
      <w:r>
        <w:t>Г)  увеличивается.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Как меняется толщина костных балок (трабекул) с увеличением возраста?</w:t>
      </w:r>
    </w:p>
    <w:p w:rsidR="004B6076" w:rsidRDefault="009E1091">
      <w:pPr>
        <w:ind w:left="-5" w:right="22"/>
      </w:pPr>
      <w:r>
        <w:t>А)  увеличивается;</w:t>
      </w:r>
    </w:p>
    <w:p w:rsidR="004B6076" w:rsidRDefault="009E1091">
      <w:pPr>
        <w:ind w:left="-5" w:right="22"/>
      </w:pPr>
      <w:r>
        <w:t>Б)  увеличивается, з</w:t>
      </w:r>
      <w:r>
        <w:t>атем уменьшается;</w:t>
      </w:r>
    </w:p>
    <w:p w:rsidR="004B6076" w:rsidRDefault="009E1091">
      <w:pPr>
        <w:ind w:left="-5" w:right="22"/>
      </w:pPr>
      <w:r>
        <w:t>В)  остается неизменной;</w:t>
      </w:r>
    </w:p>
    <w:p w:rsidR="004B6076" w:rsidRDefault="009E1091">
      <w:pPr>
        <w:ind w:left="-5" w:right="22"/>
      </w:pPr>
      <w:r>
        <w:t>Г)  уменьшается.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Как меняется соотношение ретикулярной (ретикулофиброзной) ткани к жировой ткани в ЩХ с увеличением возраста?</w:t>
      </w:r>
    </w:p>
    <w:p w:rsidR="004B6076" w:rsidRDefault="009E1091">
      <w:pPr>
        <w:ind w:left="-5" w:right="22"/>
      </w:pPr>
      <w:r>
        <w:t>А)  увеличивается;</w:t>
      </w:r>
    </w:p>
    <w:p w:rsidR="004B6076" w:rsidRDefault="009E1091">
      <w:pPr>
        <w:ind w:left="-5" w:right="22"/>
      </w:pPr>
      <w:r>
        <w:t>Б)  уменьшается;</w:t>
      </w:r>
    </w:p>
    <w:p w:rsidR="004B6076" w:rsidRDefault="009E1091">
      <w:pPr>
        <w:ind w:left="-5" w:right="22"/>
      </w:pPr>
      <w:r>
        <w:t>В)  остается неизменным;</w:t>
      </w:r>
    </w:p>
    <w:p w:rsidR="004B6076" w:rsidRDefault="009E1091">
      <w:pPr>
        <w:ind w:left="-5" w:right="22"/>
      </w:pPr>
      <w:r>
        <w:t>Г)  варьирует, то увеличивается, то уменьшается.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Как изменяется площадь жировой ткани в межтрабекулярном пространстве ЩХ с увеличением возраста?</w:t>
      </w:r>
    </w:p>
    <w:p w:rsidR="004B6076" w:rsidRDefault="009E1091">
      <w:pPr>
        <w:ind w:left="-5" w:right="22"/>
      </w:pPr>
      <w:r>
        <w:t>А)  увеличивается;</w:t>
      </w:r>
    </w:p>
    <w:p w:rsidR="004B6076" w:rsidRDefault="009E1091">
      <w:pPr>
        <w:ind w:left="-5" w:right="22"/>
      </w:pPr>
      <w:r>
        <w:t>Б)  уменьшается;</w:t>
      </w:r>
    </w:p>
    <w:p w:rsidR="004B6076" w:rsidRDefault="009E1091">
      <w:pPr>
        <w:ind w:left="-5" w:right="22"/>
      </w:pPr>
      <w:r>
        <w:t>В)  остается неизменной;</w:t>
      </w:r>
    </w:p>
    <w:p w:rsidR="004B6076" w:rsidRDefault="009E1091">
      <w:pPr>
        <w:ind w:left="-5" w:right="22"/>
      </w:pPr>
      <w:r>
        <w:t>Г)  варьирует, то увеличивается, то уменьшается.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Как изменяется площадь ретикулярной ткани в межтрабекулярном пространстве ЩХ с увеличением возраста?</w:t>
      </w:r>
    </w:p>
    <w:p w:rsidR="004B6076" w:rsidRDefault="009E1091">
      <w:pPr>
        <w:ind w:left="-5" w:right="22"/>
      </w:pPr>
      <w:r>
        <w:t>А)  увеличивается;</w:t>
      </w:r>
    </w:p>
    <w:p w:rsidR="004B6076" w:rsidRDefault="009E1091">
      <w:pPr>
        <w:ind w:left="-5" w:right="22"/>
      </w:pPr>
      <w:r>
        <w:t>Б)  уменьшается;</w:t>
      </w:r>
    </w:p>
    <w:p w:rsidR="004B6076" w:rsidRDefault="009E1091">
      <w:pPr>
        <w:ind w:left="-5" w:right="22"/>
      </w:pPr>
      <w:r>
        <w:t>В)  остается неизменной;</w:t>
      </w:r>
    </w:p>
    <w:p w:rsidR="004B6076" w:rsidRDefault="009E1091">
      <w:pPr>
        <w:ind w:left="-5" w:right="22"/>
      </w:pPr>
      <w:r>
        <w:t>Г)  варьирует, то увеличивается, то уменьшается.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Возрастные изменения кожи представлены следую</w:t>
      </w:r>
      <w:r>
        <w:t>щими преобразованиями:</w:t>
      </w:r>
    </w:p>
    <w:p w:rsidR="004B6076" w:rsidRDefault="009E1091">
      <w:pPr>
        <w:ind w:left="-5" w:right="22"/>
      </w:pPr>
      <w:r>
        <w:t>А)  неравномерное истончение эпидермиса, уменьшено количество слоев, базальная мембрана не выражена;</w:t>
      </w:r>
    </w:p>
    <w:p w:rsidR="004B6076" w:rsidRDefault="009E1091">
      <w:pPr>
        <w:spacing w:after="0" w:line="430" w:lineRule="auto"/>
        <w:ind w:left="-5" w:right="2614"/>
      </w:pPr>
      <w:r>
        <w:t>Б)  увеличение выраженности и толщины базальной мембраны, увеличение толщины эпидермиса; В)  гиперкератоз;</w:t>
      </w:r>
    </w:p>
    <w:p w:rsidR="004B6076" w:rsidRDefault="009E1091">
      <w:pPr>
        <w:ind w:left="-5" w:right="22"/>
      </w:pPr>
      <w:r>
        <w:t>Г)  акантоз.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Для выявлени</w:t>
      </w:r>
      <w:r>
        <w:t>я эластических волокон рекомендуется выполнять дополнительное окрашивание:</w:t>
      </w:r>
    </w:p>
    <w:p w:rsidR="004B6076" w:rsidRDefault="009E1091">
      <w:pPr>
        <w:ind w:left="-5" w:right="22"/>
      </w:pPr>
      <w:r>
        <w:t>А)  по Ван-Гизону;</w:t>
      </w:r>
    </w:p>
    <w:p w:rsidR="004B6076" w:rsidRDefault="009E1091">
      <w:pPr>
        <w:ind w:left="-5" w:right="22"/>
      </w:pPr>
      <w:r>
        <w:t>Б)  по Массону;</w:t>
      </w:r>
    </w:p>
    <w:p w:rsidR="004B6076" w:rsidRDefault="009E1091">
      <w:pPr>
        <w:ind w:left="-5" w:right="22"/>
      </w:pPr>
      <w:r>
        <w:t>В)  по Вейгерту;</w:t>
      </w:r>
    </w:p>
    <w:p w:rsidR="004B6076" w:rsidRDefault="009E1091">
      <w:pPr>
        <w:ind w:left="-5" w:right="22"/>
      </w:pPr>
      <w:r>
        <w:t>Г)  гематоксилин-эозином.</w:t>
      </w:r>
    </w:p>
    <w:p w:rsidR="004B6076" w:rsidRDefault="009E1091">
      <w:pPr>
        <w:numPr>
          <w:ilvl w:val="0"/>
          <w:numId w:val="8"/>
        </w:numPr>
        <w:ind w:right="22" w:hanging="320"/>
      </w:pPr>
      <w:r>
        <w:t>Для выявления коллагеновых волокон рекомендуется выполнять дополнительное окрашивание:</w:t>
      </w:r>
    </w:p>
    <w:p w:rsidR="004B6076" w:rsidRDefault="009E1091">
      <w:pPr>
        <w:ind w:left="-5" w:right="22"/>
      </w:pPr>
      <w:r>
        <w:t>А)  по Ван-Гизон</w:t>
      </w:r>
      <w:r>
        <w:t>у;</w:t>
      </w:r>
    </w:p>
    <w:p w:rsidR="004B6076" w:rsidRDefault="009E1091">
      <w:pPr>
        <w:ind w:left="-5" w:right="22"/>
      </w:pPr>
      <w:r>
        <w:t>Б)  трихромом по Массону;</w:t>
      </w:r>
    </w:p>
    <w:p w:rsidR="004B6076" w:rsidRDefault="009E1091">
      <w:pPr>
        <w:ind w:left="-5" w:right="22"/>
      </w:pPr>
      <w:r>
        <w:t>В)  по Вейгерту;</w:t>
      </w:r>
    </w:p>
    <w:p w:rsidR="004B6076" w:rsidRDefault="009E1091">
      <w:pPr>
        <w:spacing w:after="268"/>
        <w:ind w:left="-5" w:right="22"/>
      </w:pPr>
      <w:r>
        <w:t>Г)  гематоксилин-эозином.</w:t>
      </w:r>
    </w:p>
    <w:p w:rsidR="004B6076" w:rsidRDefault="009E1091">
      <w:pPr>
        <w:numPr>
          <w:ilvl w:val="0"/>
          <w:numId w:val="8"/>
        </w:numPr>
        <w:spacing w:after="39" w:line="390" w:lineRule="auto"/>
        <w:ind w:right="22" w:hanging="320"/>
      </w:pPr>
      <w:r>
        <w:t>Какой классификатор продемонстрировал максимальную эффек</w:t>
      </w:r>
      <w:r>
        <w:t>​</w:t>
      </w:r>
      <w:r>
        <w:tab/>
      </w:r>
      <w:r>
        <w:t>тивность для решения задачи установления возраста в</w:t>
      </w:r>
      <w:r>
        <w:t>​</w:t>
      </w:r>
      <w:r>
        <w:t xml:space="preserve"> </w:t>
      </w:r>
      <w:r>
        <w:t>судебно-медицинской экспертной практике?</w:t>
      </w:r>
      <w:r>
        <w:t>​</w:t>
      </w:r>
      <w:r>
        <w:t xml:space="preserve"> </w:t>
      </w:r>
      <w:r>
        <w:t>А)  метод стохастического градиента;</w:t>
      </w:r>
    </w:p>
    <w:p w:rsidR="004B6076" w:rsidRDefault="009E1091">
      <w:pPr>
        <w:ind w:left="-5" w:right="22"/>
      </w:pPr>
      <w:r>
        <w:t>Б)  алгоритм случайного леса (Random Forest);</w:t>
      </w:r>
    </w:p>
    <w:p w:rsidR="004B6076" w:rsidRDefault="009E1091">
      <w:pPr>
        <w:ind w:left="-5" w:right="22"/>
      </w:pPr>
      <w:r>
        <w:t>В)  метод опорных векторов;</w:t>
      </w:r>
    </w:p>
    <w:p w:rsidR="004B6076" w:rsidRDefault="009E1091">
      <w:pPr>
        <w:spacing w:after="13"/>
        <w:ind w:left="-5" w:right="22"/>
      </w:pPr>
      <w:r>
        <w:t>Г)  наивный байесовский классификатор (Gaussian NB).</w:t>
      </w:r>
    </w:p>
    <w:p w:rsidR="004B6076" w:rsidRDefault="009E1091">
      <w:pPr>
        <w:spacing w:after="400"/>
        <w:ind w:left="-5" w:right="9810"/>
      </w:pPr>
      <w:r>
        <w:t>tab not found: 0003 tab not found: 0004 tab not found: 0005</w:t>
      </w:r>
    </w:p>
    <w:p w:rsidR="004B6076" w:rsidRDefault="009E1091">
      <w:pPr>
        <w:pStyle w:val="Heading1"/>
        <w:spacing w:after="0"/>
        <w:ind w:left="-5"/>
      </w:pPr>
      <w:r>
        <w:t>Эталоны ответов</w:t>
      </w:r>
    </w:p>
    <w:tbl>
      <w:tblPr>
        <w:tblStyle w:val="TableGrid"/>
        <w:tblW w:w="2725" w:type="dxa"/>
        <w:tblInd w:w="24" w:type="dxa"/>
        <w:tblCellMar>
          <w:top w:w="124" w:type="dxa"/>
          <w:left w:w="36" w:type="dxa"/>
          <w:bottom w:w="0" w:type="dxa"/>
          <w:right w:w="32" w:type="dxa"/>
        </w:tblCellMar>
        <w:tblLook w:val="04A0" w:firstRow="1" w:lastRow="0" w:firstColumn="1" w:lastColumn="0" w:noHBand="0" w:noVBand="1"/>
      </w:tblPr>
      <w:tblGrid>
        <w:gridCol w:w="600"/>
        <w:gridCol w:w="708"/>
        <w:gridCol w:w="708"/>
        <w:gridCol w:w="708"/>
      </w:tblGrid>
      <w:tr w:rsidR="004B6076">
        <w:trPr>
          <w:trHeight w:val="300"/>
        </w:trPr>
        <w:tc>
          <w:tcPr>
            <w:tcW w:w="60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 —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 —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15 —</w:t>
            </w:r>
            <w:r>
              <w:t xml:space="preserve">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22 — А</w:t>
            </w:r>
          </w:p>
        </w:tc>
      </w:tr>
      <w:tr w:rsidR="004B6076">
        <w:trPr>
          <w:trHeight w:val="300"/>
        </w:trPr>
        <w:tc>
          <w:tcPr>
            <w:tcW w:w="60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2 —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 — В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16 — Г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23 — А</w:t>
            </w:r>
          </w:p>
        </w:tc>
      </w:tr>
      <w:tr w:rsidR="004B6076">
        <w:trPr>
          <w:trHeight w:val="300"/>
        </w:trPr>
        <w:tc>
          <w:tcPr>
            <w:tcW w:w="60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3 —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 — Б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17 —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24 — А</w:t>
            </w:r>
          </w:p>
        </w:tc>
      </w:tr>
      <w:tr w:rsidR="004B6076">
        <w:trPr>
          <w:trHeight w:val="300"/>
        </w:trPr>
        <w:tc>
          <w:tcPr>
            <w:tcW w:w="60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4 — Б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11 — Г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18 —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25 — В</w:t>
            </w:r>
          </w:p>
        </w:tc>
      </w:tr>
      <w:tr w:rsidR="004B6076">
        <w:trPr>
          <w:trHeight w:val="300"/>
        </w:trPr>
        <w:tc>
          <w:tcPr>
            <w:tcW w:w="60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5 — Б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 — Г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19 —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26 — Б</w:t>
            </w:r>
          </w:p>
        </w:tc>
      </w:tr>
      <w:tr w:rsidR="004B6076">
        <w:trPr>
          <w:trHeight w:val="300"/>
        </w:trPr>
        <w:tc>
          <w:tcPr>
            <w:tcW w:w="60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6 —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13 —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20 — Б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27 — Б</w:t>
            </w:r>
          </w:p>
        </w:tc>
      </w:tr>
      <w:tr w:rsidR="004B6076">
        <w:trPr>
          <w:trHeight w:val="300"/>
        </w:trPr>
        <w:tc>
          <w:tcPr>
            <w:tcW w:w="600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7 —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14 — А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21 — Б</w:t>
            </w:r>
          </w:p>
        </w:tc>
        <w:tc>
          <w:tcPr>
            <w:tcW w:w="708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4B6076" w:rsidRDefault="009E1091">
      <w:pPr>
        <w:spacing w:after="400"/>
        <w:ind w:left="-5" w:right="9810"/>
      </w:pPr>
      <w:r>
        <w:t>tab not found: 0002 tab not found: 0003 tab not found: 0004</w:t>
      </w:r>
    </w:p>
    <w:p w:rsidR="004B6076" w:rsidRDefault="009E1091">
      <w:pPr>
        <w:pStyle w:val="Heading1"/>
        <w:ind w:left="-5"/>
      </w:pPr>
      <w:r>
        <w:t>Список литературы</w:t>
      </w:r>
    </w:p>
    <w:p w:rsidR="004B6076" w:rsidRDefault="009E1091">
      <w:pPr>
        <w:numPr>
          <w:ilvl w:val="0"/>
          <w:numId w:val="9"/>
        </w:numPr>
        <w:ind w:right="22" w:hanging="213"/>
      </w:pPr>
      <w:r>
        <w:t>Автандилов Г.Г. Медицинская морфометрия. М.: Медицина, 1990. 383 с.</w:t>
      </w:r>
    </w:p>
    <w:p w:rsidR="004B6076" w:rsidRDefault="009E1091">
      <w:pPr>
        <w:numPr>
          <w:ilvl w:val="0"/>
          <w:numId w:val="9"/>
        </w:numPr>
        <w:ind w:right="22" w:hanging="213"/>
      </w:pPr>
      <w:r>
        <w:t xml:space="preserve">Агапов П.А., Боголепова И.Н., Малофеева Л.И. Возрастные изменения профильного поля нейронов коры поля 7 мозга мужчини женщин в процессе старения // Морфологические ведомости. 2019. Т. 27. </w:t>
      </w:r>
      <w:r>
        <w:t>№ 3. С. 9–15.</w:t>
      </w:r>
    </w:p>
    <w:p w:rsidR="004B6076" w:rsidRDefault="009E1091">
      <w:pPr>
        <w:numPr>
          <w:ilvl w:val="0"/>
          <w:numId w:val="9"/>
        </w:numPr>
        <w:ind w:right="22" w:hanging="213"/>
      </w:pPr>
      <w:r>
        <w:t>Алексеев Ю.Д., Ивахина С.А., Ефимов А.А. и др. Возрастные морфологические изменения органов женской половой системы// Современные проблемы науки и образования. 2016. № 4. URL: http://www.science-education.ru/ru/article/view?id=24951.</w:t>
      </w:r>
    </w:p>
    <w:p w:rsidR="004B6076" w:rsidRDefault="009E1091">
      <w:pPr>
        <w:numPr>
          <w:ilvl w:val="0"/>
          <w:numId w:val="9"/>
        </w:numPr>
        <w:ind w:right="22" w:hanging="213"/>
      </w:pPr>
      <w:r>
        <w:t>Алексеев</w:t>
      </w:r>
      <w:r>
        <w:t xml:space="preserve"> Ю.Д. Комплексная общепатологическая и судебно-медицинская оценка структурных изменений некоторых желез вопределении возраста человека: автореф. дис. ... д-ра мед. наук. Саратов, 1999. 31 с.</w:t>
      </w:r>
    </w:p>
    <w:p w:rsidR="004B6076" w:rsidRDefault="009E1091">
      <w:pPr>
        <w:numPr>
          <w:ilvl w:val="0"/>
          <w:numId w:val="9"/>
        </w:numPr>
        <w:spacing w:after="0"/>
        <w:ind w:right="22" w:hanging="213"/>
      </w:pPr>
      <w:r>
        <w:t>Андрющенко В.С., Углов А.С., Замятин А.В. Статистическая классифи</w:t>
      </w:r>
      <w:r>
        <w:t>кация иммуносигнатур для задач ранней диагностикизаболеваний при значительном сокращении размерности признакового пространства // Современные технологии в медицине.</w:t>
      </w:r>
    </w:p>
    <w:p w:rsidR="004B6076" w:rsidRDefault="009E1091">
      <w:pPr>
        <w:ind w:left="-5" w:right="22"/>
      </w:pPr>
      <w:r>
        <w:t>2018. Т. 10. № 3. C. 14–20.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Анисимов В.Н. Молекулярные и физиологические механизмы старения</w:t>
      </w:r>
      <w:r>
        <w:t>. Т. 1. СПб.: Наука, 2008. 481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Анисимов В.Н. Эпифиз, биоритмы и старение организма // Успехи физиологических наук. 2008. Т. 39. № 4. С. 40–65.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Анохин П.К. Узловые вопросы теории функциональной системы. М.: Наука, 1980. 196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Архипкин С.В., Кох В.А., Го</w:t>
      </w:r>
      <w:r>
        <w:t>рбунов Н.С. и др. Антропометрические методики идентификации личности // Сибирскиймедицинский журнал. 2012. № 5. С. 52–55.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Астапов А.А., Давыдов Д.В., Егоров А.И. и др. Биометрическая идентификация, основанная на ЭКГ: некоторые современныеподходы // Вестник РГМУ. 2016. № 1. С. 38–43.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 xml:space="preserve">Афанасьев Ю.И., Юрина Н.А., Алешин Б.В. Гистология, эмбриология, цитология. М.: ГЭОТАР-Медиа, </w:t>
      </w:r>
      <w:r>
        <w:t>2016. 800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Ахтямов С.Н., Кягова А.А. Клинико-морфологические особенности старения кожи // Вестник дерматологии и венерологии.2005. № 4. С. 60–64.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Баландин А.А. Анатомическая характеристика мозжечка и структурная организация его коры в периоде от юношеско</w:t>
      </w:r>
      <w:r>
        <w:t>го достарческого возраста: дис. … канд. мед. наук. Пермь, 2018. 194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Баренбойм Г.М., Доманский А.Н., Туроверов К.А. Люминесценция биоплимеров и клеток. М.–Л.: Наука, 1966. 253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Баришполец В.А. Системный анализ катастроф, происходящих в мире // Радиоэле</w:t>
      </w:r>
      <w:r>
        <w:t>ктроника. Наносистемы. Информационныетехнологии. 2010. Т. 2. № 1–2. С. 162–176.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Беляева Е.В. Идентификация личности по особенностям строения рельефа твердого нёба в процессе гнилостнойтрансформации трупа: дис. … канд. мед. наук. М., 1993. 157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Бишарян М.</w:t>
      </w:r>
      <w:r>
        <w:t>С., Баринов Е.Х., Манин А.И. и др. Идентификации личности по особенностям зубочелюстной системы с учетомэтнической и расовой принадлежности человека // Судебная медицина. 2017. Т. 3. № 4. C. 4–7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Боголепова И.Н., Малофеева Л.И., Агапов П.А. и др. Префронтал</w:t>
      </w:r>
      <w:r>
        <w:t>ьная кора мозга мужчин и женщин в старческом возрасте //Морфологические ведомости. 2018. Т. 26. № 1. С. 28–32.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Богомолец A.A. Продление жизни. Киев: Изд-во АН УССР, 1940. 144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Божченко А.П., Теплов К.В., Назарова Н.Е. и др. Дерматоглифика как метод устан</w:t>
      </w:r>
      <w:r>
        <w:t>овления свойств личности в судебномедицинской идентификационной экспертизе // Судебно-медицинская экспертиза. 2016. № 1. С. 40–42.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Васильева В.А., Шумейко Н.С. Особенности ансамблевой организации в коре большого мозга у детей от 8 до 12 лет // Новыеисследо</w:t>
      </w:r>
      <w:r>
        <w:t>вания. 2014. № 4. С. 4–10.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Вишневский В.В., Романенко Т.Н., Кизуб Л.А. Биометрическая идентификация человека по его электрокардиограмме //Математические машины и системы. 2018. № 2. С. 88–95.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Волков А.В., Бадалян В.А., Кулаков А.А. и др. Гистоморфометричес</w:t>
      </w:r>
      <w:r>
        <w:t>кие исследования взаимоотношений костной ткани сдентальным имплантом // Биомедицина. 2014. № 4. С. 96–100.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Волков А.В., Большакова Г.Б. Гистоморфометрия костной ткани в регенеративной медицине // Клиническая иэкспериментальная морфология. 2013. № 3. С. 65–</w:t>
      </w:r>
      <w:r>
        <w:t>72.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Волкова О.В., Пекарский М.И. Эмбриогенез и возрастная гистология внутренних органов человека. М.: Медицина, 1976. 476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Герасимов А.Н. Медицинская статистика. М.: МИА, 2007. 480 с.</w:t>
      </w:r>
    </w:p>
    <w:p w:rsidR="004B6076" w:rsidRDefault="009E1091">
      <w:pPr>
        <w:numPr>
          <w:ilvl w:val="0"/>
          <w:numId w:val="10"/>
        </w:numPr>
        <w:spacing w:after="13"/>
        <w:ind w:right="22" w:hanging="320"/>
      </w:pPr>
      <w:r>
        <w:t>Гладышев Ю.М. Микроскопические конструкции костной ткани и их судебно-</w:t>
      </w:r>
      <w:r>
        <w:t>медицинское значение: дис. ... д-ра мед. наук.</w:t>
      </w:r>
    </w:p>
    <w:p w:rsidR="004B6076" w:rsidRDefault="009E1091">
      <w:pPr>
        <w:ind w:left="-5" w:right="22"/>
      </w:pPr>
      <w:r>
        <w:t>Воронеж, 1965. 318 с.</w:t>
      </w:r>
    </w:p>
    <w:p w:rsidR="004B6076" w:rsidRDefault="009E1091">
      <w:pPr>
        <w:numPr>
          <w:ilvl w:val="0"/>
          <w:numId w:val="10"/>
        </w:numPr>
        <w:spacing w:after="13"/>
        <w:ind w:right="22" w:hanging="320"/>
      </w:pPr>
      <w:r>
        <w:t>Глыбочко П.В., Алексеев Ю.Д., Попков В.М. Морфологическая диагностика возрастных изменений мужских половых желез.</w:t>
      </w:r>
    </w:p>
    <w:p w:rsidR="004B6076" w:rsidRDefault="009E1091">
      <w:pPr>
        <w:ind w:left="-5" w:right="22"/>
      </w:pPr>
      <w:r>
        <w:t>Саратов: Изд-во СГМУ, 2007. 150 с.</w:t>
      </w:r>
    </w:p>
    <w:p w:rsidR="004B6076" w:rsidRDefault="009E1091">
      <w:pPr>
        <w:numPr>
          <w:ilvl w:val="0"/>
          <w:numId w:val="10"/>
        </w:numPr>
        <w:spacing w:after="13"/>
        <w:ind w:right="22" w:hanging="320"/>
      </w:pPr>
      <w:r>
        <w:t>Глыбочко П.В., Пиголкин Ю.И., Николенк</w:t>
      </w:r>
      <w:r>
        <w:t>о В.Н. и др. Судебно-медицинская диагностика возраста (монография). М.:</w:t>
      </w:r>
    </w:p>
    <w:p w:rsidR="004B6076" w:rsidRDefault="009E1091">
      <w:pPr>
        <w:ind w:left="-5" w:right="22"/>
      </w:pPr>
      <w:r>
        <w:t>Издательство ПМГМУ им. И.М. Сеченова, 2016. 318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Гомберг М.А., Брагина Е.Е., Гетлинг З.М. и др. Зона дермоэпидермального контакта кожи человека в разные возрастныепериоды // Клиничес</w:t>
      </w:r>
      <w:r>
        <w:t>кая дерматология и венерология. 2012. № 2. С.18–23.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Горбунов Д.Н. Эластические волокна кожи передней брюшной стенки: дис. ... канд. мед. наук. Красноярск, 2009. 171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Горелова М.В. Пролиферативная активность интерфолликулярного эпидермиса кожи височной области мужчин 20–45 лет //Морфология. 2010. Т. 137. № 4. С. 59.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Государственный доклад «О состоянии защиты населения и территорий Российской Федерации от чрезвычайных си</w:t>
      </w:r>
      <w:r>
        <w:t>туацийприродного и техногенного характера в 2018 году». М.: МЧС России, ФГБУ ВНИИ ГОЧС (ФЦ), 2019. 344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Государственный доклад «О состоянии защиты населения и территорий Российской Федерации от чрезвычайных ситуацийприродного и техногенного характера в 2</w:t>
      </w:r>
      <w:r>
        <w:t>017 году». М.: МЧС России, ФГБУ ВНИИ ГОЧС (ФЦ), 2018. 342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Давыдовский И.В. Геронтология. М.: Медицина, 1966. 300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Деев А. Особенности старения кожи человека // Косметика и медицина. 2007. № 4. С. 26–36.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Доклад о мировом развитии 2011. Конфликты и развитие. 2012. 408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 xml:space="preserve">Ефимов А.А., Савенкова Е.Н., Алексеев Ю.Д. Анализ синхронности возрастных изменений эластических свойств крупныхартерий и кожи человека // Современные проблемы науки и образования. 2013. № </w:t>
      </w:r>
      <w:r>
        <w:t>3. С. 115–116.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Ефимов А.А. Комплексная количественная оценка инволютивных изменений аорты человека: автореф. дис. … канд. мед.наук. С., 1999. 24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Ефимов А.А., Луньков А.Е., Савенкова Е.Н. Оптимизация регрессионных соотношений при определении возраста в с</w:t>
      </w:r>
      <w:r>
        <w:t>удебномедицинской практике // Проблемы экспертизы в медицине. 2007. № 1. С. 13–15.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Ефимов А.А., Савенкова Е.Н., Алексеев Ю.Д. Пути оптимизации судебно-медицинских методов определения возраста //Судебно-медицинская экспертиза. 2015. Т. 58. № 5. С. 20–22.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Еф</w:t>
      </w:r>
      <w:r>
        <w:t>ремов И.А., Кожемяко В.Б. Молекулярно-генетические экспертизы спорного родства по полиморфным маркерамхромосомы Х человека: особенности интерпретации результатов и расчетов индекса отцовства // Сибирский медицинский журнал. 2011. № 7. С. 49–55.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Жарикова Т.</w:t>
      </w:r>
      <w:r>
        <w:t>С., Милюков В.Е., Николенко В.Н. Закономерности изменения длины коронарных артерий у людей второгопериода зрелого и пожилого возраста // Сеченовский вестник. 2018. Т. 31. № 1. С. 16–18.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Жмурко Р.С., Николенко В.Н. Строение сосудистых сплетений боковых желу</w:t>
      </w:r>
      <w:r>
        <w:t>дочков головного мозга взрослых людей //Морфология. 2018. Т. 153. № 3. С. 107.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Жуклина В.В., Горбунов Н.С., Самотесов П.А., Тихонова Н.В. Половые особенности форм живота и размеров переднейбрюшной стенки у пожилых людей // Сибирский медицинский журнал (Ирк</w:t>
      </w:r>
      <w:r>
        <w:t>утск). 2011. № 4. С. 108–110.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Звягин В.Н., Галицкая О.И., Фомина Е.Е. Красная кайма губ как объект медико-криминалистической экспертизы // Судебномедицинская экспертиза. 2013. № 5. С. 24–28.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Звягин В.Н., Галицкая О.И., Негашева М.А. Медико-криминалистическ</w:t>
      </w:r>
      <w:r>
        <w:t>ое исследование фрагментов тел при массовомпоступлении трупов // Судебно-медицинская экспертиза. 2012. № 2. С. 4–9.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Звягин В.Н., Галицкая О.И., Григорьева М.А. Определение прижизненных соматических размеров тела человека при судебномедицинской экспертизе с</w:t>
      </w:r>
      <w:r>
        <w:t>келетированных и сожженных останков. Новая медицинская технология // Регистрационное удостоверение ФС. 2007/036 от 28 февраля 2007 г. М.: РИО ФГУ «РЦСМЭ Росздрава», 2007. С. 21–27.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Звягин В.Н., Ракитин В.А., Фомина Е.Е. Программный комплекс «Biometrical Da</w:t>
      </w:r>
      <w:r>
        <w:t>ctylography 17.0» для цифровой интерпретациипризнаков дерматоглифики пальцев // Судебно-медицинская экспертиза. 2018. № 2. С. 31–35.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Зеленин А.В. Люминесцентная гистохимия нуклеиновых кислот. М.: Наука, 1967. 316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Зелигман С.Б. Возрастные изменения и пол</w:t>
      </w:r>
      <w:r>
        <w:t>овые особенности крупных хрящей гортани человека (рентгено-анатомическоеисследование) // Судебно-медицинская экспертиза. 1959. № 2. С. 6–16.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Земскова Е.Ю. Изучение аналитических характеристик молекулярно-генетических индивидуализирующих систем в аспектесуд</w:t>
      </w:r>
      <w:r>
        <w:t>ебно-экспертного типирования ДНК: дис. … канд. мед. наук. М., 2008. 149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Зорина А.И., Зорин В.Л., Черкасов В.Р. Дермальные фибробласты: разнообразие фенотипов и физиологических функций,роль в старении кожи // Эстетическая медицина. 2012. Т. 11. № 1. С. 1</w:t>
      </w:r>
      <w:r>
        <w:t>5–31.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Иванов П.Л. Молекулярно-генетическая индивидуализация человека и идентификация личности // Руководство по судебноймедицине / Под ред. В.В. Томилина, Г.А. Пашиняна. М.: Медицина, 2001. 576 с.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Иванов П.Л., Клевно В.А., Каганова Н.Л. Применение молекуля</w:t>
      </w:r>
      <w:r>
        <w:t>рно-генетических технологий для идентификации российскихграждан, погибших при цунами в Тайланде (II): рано ставить точку? // Судебно-медицинская экспертиза. 2009. № 2. С. 10–18.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Изотов Б.Н., Веленко П.С., Лисовская С.Б. и др. Методика исследования биохимич</w:t>
      </w:r>
      <w:r>
        <w:t>еского состава твердых тканей зубачеловека // Судебно-медицинская экспертиза. 2019. Т. 62. № 5. С. 39–43.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Информация о розыске лиц, скрывшихся от дознания, суда уклоняющихся от исполнения уголовного наказания, без вестипропавших, а также об установлении ли</w:t>
      </w:r>
      <w:r>
        <w:t>чности граждан и неопознанных трупов. https://xnb1aew.xnp1ai/открытые — данные/7727739372 — MVDGIAC311/data — 20200723 — structure — 20190508.csv.</w:t>
      </w:r>
    </w:p>
    <w:p w:rsidR="004B6076" w:rsidRDefault="009E1091">
      <w:pPr>
        <w:numPr>
          <w:ilvl w:val="0"/>
          <w:numId w:val="10"/>
        </w:numPr>
        <w:ind w:right="22" w:hanging="320"/>
      </w:pPr>
      <w:r>
        <w:t>Калиниченко С.Г., Матвеева Н.Ю., Мотавкин П.А. Морфофункциональная характеристика нейровазальных связей корым</w:t>
      </w:r>
      <w:r>
        <w:t>озжечка // Тихоокеанский медицинский журнал. 2015. № 1. С. 26–29.</w:t>
      </w:r>
    </w:p>
    <w:p w:rsidR="004B6076" w:rsidRDefault="009E1091">
      <w:pPr>
        <w:numPr>
          <w:ilvl w:val="0"/>
          <w:numId w:val="10"/>
        </w:numPr>
        <w:spacing w:after="13"/>
        <w:ind w:right="22" w:hanging="320"/>
      </w:pPr>
      <w:r>
        <w:t>Капулер О.М., Сельская Б.Н., Галеева А.Г. и др. Метаболизм коллагеновых волокон на фоне возрастных изменений // Врач.</w:t>
      </w:r>
    </w:p>
    <w:p w:rsidR="004B6076" w:rsidRDefault="009E1091">
      <w:pPr>
        <w:ind w:left="-5" w:right="22"/>
      </w:pPr>
      <w:r>
        <w:t>2015. № 8. С. 64–69.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Каукаль В.Г. Критерии судебно-медицинской идентификации личности по свойствам и особенностям кожи и ее дериватов: автореф. дис. ... д-ра мед. наук. Кемерово, 1996. 31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Клак Н.Н. Проблемы идентификации личности // Вестник новых медицинских технологий. 201</w:t>
      </w:r>
      <w:r>
        <w:t>2. Т. 19. № 2. С. 389.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Ковалев А.В. Идентификация личности по особенностям строения грудной клетки и позвоночника: Рентгенологическое исудебно-медицинское исследования: дис. ... д-ра мед. наук. СПб., 1996. 448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Кодин В.А. Судебно-медицинская характеристи</w:t>
      </w:r>
      <w:r>
        <w:t>ка переломов подъязычной кости и щитовидного хряща при некоторых видахвнешнего насилия. Владимир, 1974. 105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Конев В.П., Московский С.Н., Коршунов А.С. и др. Алгоритмы использования современных подходов при микроскопическомисследовании костей для судебно</w:t>
      </w:r>
      <w:r>
        <w:t>-медицинских целей // Вестник судебной медицины. 2018. № 1. С. 50–55.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 xml:space="preserve">Конев В.П., Шестель И.Л., Московский С.Н. Современные возможности использования атомно-силовой микроскопии висследовании плотных тканей человека // Вестник судебной медицины. 2015. № 2. </w:t>
      </w:r>
      <w:r>
        <w:t>С. 17–20.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Конев В.П., Шестель И.Л., Московский С.Н. Современные представления о структуре костной ткани: новые методыисследования и возможности использования в судебной медицине // Вестник судебной медицины. 2016. № 2. С. 40–44.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Корниенко И.В. Непрямая мол</w:t>
      </w:r>
      <w:r>
        <w:t>екулярно-генетическая идентификация личности при массовом поступлении неопознанных тел: дис. … д-ра биол. наук. СПб., 2005. 289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Костенко Е.Я., Клевно Р.В. Медико-информационный анализ в программе дентальной идентификации личности по цифровымортопантомог</w:t>
      </w:r>
      <w:r>
        <w:t>раммам // Судебная медицина. 2015. С. 15–16.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 xml:space="preserve">Костенко Е.Я., Клевно Р.В. Расчет и оценка погрешностей параметров идентификации личности методом контрастногоконтурирования ятрогенных вмешательств на цифровых ортопантомограммах // Судебная медицина. 2015. С. </w:t>
      </w:r>
      <w:r>
        <w:t>21–24.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Кох Л.И., Суходоло И.В., Войцович А.Б. Возрастная морфология яичникового придатка // Сибирский медицинскийуниверситет. Морфология. 2002. № 4. С. 61–63.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Крошкин В.В. Миелоархитектоника нервов артерий головного мозга человека (возрастные и сравнительн</w:t>
      </w:r>
      <w:r>
        <w:t>ые особенности): автореф. дис. ... канд. мед. наук. Ярославль, 1981. 26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Кун Т. Структура научных революций / Пер. И.З. Налетова. М.: Прогресс, 1975. 288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Курзин Л.М., Савенкова Е.Н., Кулаева Л.В. и др. Возрастные изменения внутриорганных артерий почек</w:t>
      </w:r>
      <w:r>
        <w:t xml:space="preserve"> человека // Инновациив медицинском образовании и науке: Докторантские и аспирантские чтения. Саратов, 2010. С. 132–134.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Лазуренко В.В. Морфологическая характеристика пиального сосудистого русла некоторых функциональных зон корыбольшого мозга человека: дис</w:t>
      </w:r>
      <w:r>
        <w:t>. … канд. мед. наук. Уфа, 2000. 163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Леонтюк А.С., Слука Б.А. Основы возрастной гистологии. Учебное пособие. Минск, 2000. 416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Луцай Е.Д. Закономерности макромикроскопического строения и микротопографии гортани человека на этапах онтогенеза: автореф. д</w:t>
      </w:r>
      <w:r>
        <w:t>ис. … д-ра мед. наук. Оренбург, 2013. 42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Макарова Е.Ю., Гудков К.В. Моделирование биометрической системы идентификации личности по термограмме лица сиспользованием UML // Современная техника и технологии. 2016. Вып. 7. С. 25–32.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Малахов Д.В. Комплексное</w:t>
      </w:r>
      <w:r>
        <w:t xml:space="preserve"> исследование анатомо-морфологических особенностей ушной раковины для идентификацииличности // Проблемы экспертизы в медицине. 2006. № 4. С. 23–24.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Мальцева Н.Л. Вариантная анатомия подъязычной кости и возможности ее применения в идентификации личности: ав</w:t>
      </w:r>
      <w:r>
        <w:t>тореф.дис. … канд. мед. наук. СПб., 2006. 21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Мальцева Н.В., Волчегорский И.А., Шемяков С.Е. Возрастные изменения морфометрических характеристик нейронов, клетокмикроглии и активность ферментов антиоксидантной защиты в коре головного мозга человека на на</w:t>
      </w:r>
      <w:r>
        <w:t>чальных этапах постнатального онтогенеза // Морфологические ведомости. 2016. Т. 24. № 1. С. 112–115.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Манин А.И., Манин О.И., Баринов Е.Х. Использование зубных протезов для идентификации личности // Медицинскаяэкспертиза и право. 2016. № 1. С. 48–49.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 xml:space="preserve">Манин </w:t>
      </w:r>
      <w:r>
        <w:t>А.И., Баринов Е.Х., Ромадоновский П.О. Особенности диагностики аномалий зубов применительно к задачамидентификации личности // Медицинская экспертиза и право. 2016. № 5. С. 53–54.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Мантурова Н.Е., Стенько А.Г., Петинати Я.А. и др. Инъекционный коллаген в коррекции возрастных изменений кожи: экспериментально-клинические параллели // Вестник РГМУ. 2019. № 1. С. 78–85.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 xml:space="preserve">Мантурова Н.Е. Оптимизация хирургической и консервативной коррекции </w:t>
      </w:r>
      <w:r>
        <w:t>инволюционных изменений системы кожи: дис. … дра мед. наук. М., 2012. 347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Мантурова Н.Е., Городилов Р.В., кононов А.В. Старение кожи: механизмы формирования и структурные изменения // Анналыпластической, реконструктивной и эстетической хирургии. 2010. № 1. С. 88–92.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Михеев М.Ю., Гудков К.В., Астахова Т.Н. и др. Обработка информа</w:t>
      </w:r>
      <w:r>
        <w:t>ции в системе идентификации по термограмме лица //Вестник НГИЭИ. 2017. Т. 71. № 4. С. 7–15.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Молочков В.А., Таболин В.Н., Кряжева С.С. и др. Руководство по геронтологической дерматологии. М.: Моники, 2005. 360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Москаленко В.А., Никольский А.В., Золотых Н.</w:t>
      </w:r>
      <w:r>
        <w:t>Ю. и др. Программный комплекс «киберсердце–диагностика» дляавтоматического анализа электрокардиограмм с применением методов машинного обучения // Современные технологии в медицине. 2019. Т. 11. № 2. C. 86–91.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 xml:space="preserve">Мотавкин П.А., Черток В.М., Ломакин А.В. и др. </w:t>
      </w:r>
      <w:r>
        <w:t>Возрастные изменения нервного аппарата сосудов головного и спинногомозга // Судебно-медицинская экспертиза. 2012. Т. 55. № 3. С. 27–30.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Мотавкин П.А., Пиголкин Ю.И., Каминский Ю.В. Гистофизиология кровообращения в спинном мозге. М.: Наука, 1994. 232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Мот</w:t>
      </w:r>
      <w:r>
        <w:t>авкин П.А., Ломакин А.В., Черток В.М. Капилляры головного мозга // Владивосток: ДВНЦ АН СССР, 1983. 140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Мочагин П.В. О криминалистическом значении строения складчатого рельефа каймы губ // Вестник Удмуртскогоуниверситета. Серия «Экономика и право». 2014</w:t>
      </w:r>
      <w:r>
        <w:t>. Т. 24. Вып. 4. С. 163–172.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 xml:space="preserve">Муслов С.А., Зайцева Н.В., Самосадная И.Л., Гавриленкова И.В. Три способа измерения площади плоских фигурпроизвольной формы программными методами // Международный журнал прикладных и фундаментальных исследований. 2017. Т. 5. № </w:t>
      </w:r>
      <w:r>
        <w:t>1. С. 89–93.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Мяделец О.Д., Адаскевич В.П. Морфофункциональная дерматология. М.: Медицинская литература, 2006. 752 c.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Назаров Ю.В., Божченко А.П.. Толмачев И.А. и др. Возрастные особенности пальмометрических признаков взрослогочеловека // Судебная медицина.</w:t>
      </w:r>
      <w:r>
        <w:t xml:space="preserve"> 2016. С. 20–23.</w:t>
      </w:r>
    </w:p>
    <w:p w:rsidR="004B6076" w:rsidRDefault="009E1091">
      <w:pPr>
        <w:numPr>
          <w:ilvl w:val="0"/>
          <w:numId w:val="11"/>
        </w:numPr>
        <w:spacing w:after="13"/>
        <w:ind w:right="22" w:hanging="427"/>
      </w:pPr>
      <w:r>
        <w:t>Найнис Й.В.Й. Судебно-остеологические методы идентификации личности по проксимальным костям конечностей: автореф.</w:t>
      </w:r>
    </w:p>
    <w:p w:rsidR="004B6076" w:rsidRDefault="009E1091">
      <w:pPr>
        <w:ind w:left="-5" w:right="22"/>
      </w:pPr>
      <w:r>
        <w:t>дис. … д-ра мед. наук. Каунас, 1966. 49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Неклюдов Ю.А. Экспертная оценка возрастных изменений скелета верхней конечности. С</w:t>
      </w:r>
      <w:r>
        <w:t>аратов: Изд-во СМИ, 1992. 124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Никитюк Б.А. Конституция человека // Антропология. ВИНИТИ. 1991. Т. 4. 160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Николенко В.Н., Фомкина О.А., Гладилин Ю.А. Возрастные, половые и билатеральные особенности диаметра просвета итолщины стенки позвоночных артерий</w:t>
      </w:r>
      <w:r>
        <w:t xml:space="preserve"> у взрослых людей // Морфология. 2008. № 3. С. 79–80.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Николенко В.Н., Фомкина О.А. Деформационно-прочностные параметры артерий головного мозга во II периоде зрелоговозраста // Сеченовский вестник. 2019. Т. 10. № 1. С. 41–46.</w:t>
      </w:r>
    </w:p>
    <w:p w:rsidR="004B6076" w:rsidRDefault="009E1091">
      <w:pPr>
        <w:numPr>
          <w:ilvl w:val="0"/>
          <w:numId w:val="11"/>
        </w:numPr>
        <w:spacing w:after="0"/>
        <w:ind w:right="22" w:hanging="427"/>
      </w:pPr>
      <w:r>
        <w:t xml:space="preserve">Николенко В.Н., Фомкина О.А. К </w:t>
      </w:r>
      <w:r>
        <w:t>вопросу об определении биологического возраста по морфометрическим параметрамартерий мозга взрослых людей //Современные наукоемкие технологии. 2008. № 5. С. 44–45.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Николенко В.Н., Анисимова Е.А., Жмурко Р.С. и др. Коммуникации сосудистых сплетений третьего</w:t>
      </w:r>
      <w:r>
        <w:t xml:space="preserve"> и боковых желудочковголовного мозга взрослых людей // Морфология. 2018. Т. 153. № 3. С. 202–203.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Николенко В.Н., Фомкина О.А., Неклюдов Ю.А. и др. Морфобиомеханические закономерности строения средней мозговойартерии взрослых людей // Саратовский научно-ме</w:t>
      </w:r>
      <w:r>
        <w:t>дицинский журнал. 2012. Т. 8. №1. С. 009–014.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 xml:space="preserve">Николенко В.Н., Фомкина О.А. Морфометрические характеристики и биомеханические свойства задней мозговой артериивзрослых людей: половой диморфизм, возрастная изменчивость и билатеральные различия // Медицинский </w:t>
      </w:r>
      <w:r>
        <w:t>вестник Северного Кавказа. 2012. Т. 27. № 3. С. 4–7.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Новоселов В.П., Савченко С.В., Пяткова Е.В. Оценка структурных особенностей хряща ушной раковины при установлениивозраста // Вестник судебной медицины. 2014. Т. 3. № 2. С. 22–24.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Ноздрин В.И., Горелова М.В., Белоусова Т.А. Возрастные изменения эпидермиса кожи волосистой части головы у мужчин //Морфология. 2011. Т. 139. № 1. С. 74–81.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Озернюк Н.Д., Исаева В.В. Эволюция онтогенеза // М.: Товарищество научных изданий КМК, 2016. 407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Омельяненко Н.П., Слуцкий Л.И. Соединительная ткань (гистофизиология и биохимия). Т. 1. М.: Известия, 2009. 380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Омельяненко Н.П., Слуцкий Л.И. Соединительная ткань (гистофизиология и биохимия). Т. 2. М.: Известия, 2010. 599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 xml:space="preserve">Оноприенко Г.А., Волошин </w:t>
      </w:r>
      <w:r>
        <w:t>В.П. Современные концепции процессов физиологического и репаративного остеогенеза //Альманах клинической медицины. 2017. Т. 45. № 2. С. 79–93.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Павлов А.В. Возрастная динамика основных структурных компонентов семенников человека в оценке биологическоговозра</w:t>
      </w:r>
      <w:r>
        <w:t>ста: автореф. дис. ... канд. мед. наук. Саратов, 1999. 23 с.</w:t>
      </w:r>
    </w:p>
    <w:p w:rsidR="004B6076" w:rsidRDefault="009E1091">
      <w:pPr>
        <w:numPr>
          <w:ilvl w:val="0"/>
          <w:numId w:val="11"/>
        </w:numPr>
        <w:ind w:right="22" w:hanging="427"/>
      </w:pPr>
      <w:r>
        <w:t>Павловский О.М. Методика оссеографического исследования кисти // Методика морфофизиологических исследований вантропологии. М.: Изд-во МГУ, 1981. С. 44–61.</w:t>
      </w:r>
    </w:p>
    <w:p w:rsidR="004B6076" w:rsidRDefault="009E1091">
      <w:pPr>
        <w:numPr>
          <w:ilvl w:val="0"/>
          <w:numId w:val="11"/>
        </w:numPr>
        <w:spacing w:after="13"/>
        <w:ind w:right="22" w:hanging="427"/>
      </w:pPr>
      <w:r>
        <w:t>Пальцев М.А., Кветной И.М., Полякова В.О</w:t>
      </w:r>
      <w:r>
        <w:t>. и др. Нейроиммуноэндокринные механизмы старения // Успехи геронтологии.</w:t>
      </w:r>
    </w:p>
    <w:p w:rsidR="004B6076" w:rsidRDefault="009E1091">
      <w:pPr>
        <w:ind w:left="-5" w:right="22"/>
      </w:pPr>
      <w:r>
        <w:t>2009. Т. 22. № 1. С. 24–36.</w:t>
      </w:r>
    </w:p>
    <w:p w:rsidR="004B6076" w:rsidRDefault="009E1091">
      <w:pPr>
        <w:spacing w:after="13"/>
        <w:ind w:left="-5" w:right="22"/>
      </w:pPr>
      <w:r>
        <w:t>114. Пальцын А.А., Комиссарова С.В. Возрастные изменения мозга // Патологическая физиология и экспериментальная терапия.</w:t>
      </w:r>
    </w:p>
    <w:p w:rsidR="004B6076" w:rsidRDefault="009E1091">
      <w:pPr>
        <w:ind w:left="-5" w:right="22"/>
      </w:pPr>
      <w:r>
        <w:t>2015. Т. 59. № 4. С. 108–116.</w:t>
      </w:r>
    </w:p>
    <w:p w:rsidR="004B6076" w:rsidRDefault="009E1091">
      <w:pPr>
        <w:numPr>
          <w:ilvl w:val="0"/>
          <w:numId w:val="12"/>
        </w:numPr>
        <w:ind w:right="22" w:hanging="427"/>
      </w:pPr>
      <w:r>
        <w:t>Паш</w:t>
      </w:r>
      <w:r>
        <w:t>кова В.И., Резников Б.Д. Судебно-медицинское отождествление личности по костным останкам. Саратов: Изд-воСаратовского ун-та, 1978. 320 с.</w:t>
      </w:r>
    </w:p>
    <w:p w:rsidR="004B6076" w:rsidRDefault="009E1091">
      <w:pPr>
        <w:numPr>
          <w:ilvl w:val="0"/>
          <w:numId w:val="12"/>
        </w:numPr>
        <w:ind w:right="22" w:hanging="427"/>
      </w:pPr>
      <w:r>
        <w:t>Пиголкин Ю.И., Богомолов Д.В., Богомолова И.Н. и др. Возможности использования морфометрических методов в судебномедиц</w:t>
      </w:r>
      <w:r>
        <w:t>инской диагностике отравлений наркотиками // Проблемы экспертизы в медицине. 2001. Т. 1. № 1. С. 18–20.</w:t>
      </w:r>
    </w:p>
    <w:p w:rsidR="004B6076" w:rsidRDefault="009E1091">
      <w:pPr>
        <w:numPr>
          <w:ilvl w:val="0"/>
          <w:numId w:val="12"/>
        </w:numPr>
        <w:ind w:right="22" w:hanging="427"/>
      </w:pPr>
      <w:r>
        <w:t>Пиголкин Ю.И., Черток В.М., Мотавкин П.А. Возрастная характеристика эфферентной иннервации артерий мягкой оболочкимозга человека // Архив анатомии, гист</w:t>
      </w:r>
      <w:r>
        <w:t>ологии и эмбриологии. 1982. Т. 83. № 8. С. 14–23.</w:t>
      </w:r>
    </w:p>
    <w:p w:rsidR="004B6076" w:rsidRDefault="009E1091">
      <w:pPr>
        <w:numPr>
          <w:ilvl w:val="0"/>
          <w:numId w:val="12"/>
        </w:numPr>
        <w:spacing w:after="13"/>
        <w:ind w:right="22" w:hanging="427"/>
      </w:pPr>
      <w:r>
        <w:t>Пиголкин Ю. И. Современные методы судебно-медицинской идентификации личности // Российские медицинские вести.</w:t>
      </w:r>
    </w:p>
    <w:p w:rsidR="004B6076" w:rsidRDefault="009E1091">
      <w:pPr>
        <w:ind w:left="-5" w:right="22"/>
      </w:pPr>
      <w:r>
        <w:t>2004. № 3. С. 73–75.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Пиголкин Ю.И. Сравнительная характеристика адренергической иннервации артер</w:t>
      </w:r>
      <w:r>
        <w:t>ий спинного мозга позвоночных животныхи человека // Архив анатомии, гистологии и эмбриологии. 1988. Т. 95. № 10. С. 36–43.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Пиголкин Ю.И., Дубровин И.А. Судебная медицина. Учебное пособие. М.: ГЭОТАР-Медиа, 2011. 288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Пиголкин Ю.И., Федулова М.В., Гончарова Н.Н. Судебно-медицинское определение возраста. М.: Медицинскоеинформационное агентство, 2006. 224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Пиголкин Ю.И. Функциональная морфология нервного аппарата кровеносных сосудов спинного мозга в норме и примеханичес</w:t>
      </w:r>
      <w:r>
        <w:t>кой травме: автореф. дис. … д-ра мед. наук. Л., 1991. 56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Пиголкин Ю.И., Золотенкова Г.В., Веленко П.С., Изотов Б.Н. Исследование аминокислотного состава зуба в целях судебномедицинской идентификации личности // Судебно-медицинская экспертиза. 2017. Т. 6</w:t>
      </w:r>
      <w:r>
        <w:t>0. № 1. С. 42–45.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Пиголкин Ю.И., Должанский О.В., Золотенкова Г.В. и др. Судебно-медицинская оценка биологического возраста трупа поморфологическим изменениям кожи // Судебно-медицинская экспертиза. 2018. Т. 61. № 4. С. 32–34.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Пиголкин Ю.И., Ткаченко С.Б.,</w:t>
      </w:r>
      <w:r>
        <w:t xml:space="preserve"> Золотенкова Г.В. и др. Комплексная оценка возрастных изменений кожи // Судебномедицинская экспертиза. 2018. Т. 61. № 3. С. 15–18.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Полетаева М.П. Судебно-медицинская диагностика возрастных изменений щитовидного хряща: дис. … канд. мед. наук. М.,2019. 153 с</w:t>
      </w:r>
      <w:r>
        <w:t>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Потехина Ю.П. Структура и функции коллагена // Российский остеопатический журнал. 2016. Т. 32–33. № 1–2. С. 87–99.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 xml:space="preserve">Ракитин В.А., Кирьянов П.А. Выбор признаков пальцевых узоров для дерматоглифических исследований в зависимости отфункциональной активности </w:t>
      </w:r>
      <w:r>
        <w:t>рук // Судебно-медицинская экспертиза. 2017. № 2. С. 21–26.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Ригонен В.И., Божченко А.П. Этнотерриториальные особенности папиллярных узоров пальцев рук русских, киргизов иузбеков // Судебно-медицинская экспертиза. 2017. № 1. С. 14–18.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Ромодановский П.О., Ба</w:t>
      </w:r>
      <w:r>
        <w:t>ринов Е.Х. МКИ возможности идентификации личности по особенностям строения рельефатвердого нёба // Судебная медицина. 2016. Т. 2. № 2. С. 163.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Рохлин Д.Г. Возрастные особенности костной системы на основании рентгенографических данных. Л.–М.,1934. 66 с.</w:t>
      </w:r>
    </w:p>
    <w:p w:rsidR="004B6076" w:rsidRDefault="009E1091">
      <w:pPr>
        <w:numPr>
          <w:ilvl w:val="0"/>
          <w:numId w:val="13"/>
        </w:numPr>
        <w:spacing w:after="13"/>
        <w:ind w:right="22" w:hanging="427"/>
      </w:pPr>
      <w:r>
        <w:t>Ряховский М.А. Возрастная изменчивость морфологических показателей дистальных фаланг стопы человека: автореф. дис.</w:t>
      </w:r>
    </w:p>
    <w:p w:rsidR="004B6076" w:rsidRDefault="009E1091">
      <w:pPr>
        <w:ind w:left="-5" w:right="22"/>
      </w:pPr>
      <w:r>
        <w:t>... канд. мед. наук. Саратов, 2009. 24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Савенкова Е.Н. Общепатологическая и судебно-медицинская оценка возрастных изменений кожи для опреде</w:t>
      </w:r>
      <w:r>
        <w:t>лениявозраста человека: дис. … канд. мед. наук. Саратов, 2006. 161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 xml:space="preserve">Самоявчева С.В., Шкарин В.В. Возможности кластерного анализа в интерпретации данных суточного мониторированияартериального давления у больных артериальной гипертонией и ремоделированием </w:t>
      </w:r>
      <w:r>
        <w:t>левого желудочка // Современные технологии в медицине. 2015. Т. 7. № 4. C. 113–118.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Сапин М.Р., Никитюк Д.М., Николенко В.Н. и др. Анатомия человека: учебник в 2 томах. М., 2012. Т. 1. 640 с.; Т. 2. 640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Саркисов Д.С., Перов Ю.Л. Микроскопическая техника</w:t>
      </w:r>
      <w:r>
        <w:t>. М.: Медицина, 1996. 544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Саркисян К.Д. Морфологические проявления компенсаторных изменений в гиппокампе человека при старении // ВестникРГМУ. 2008. № 5. С. 71–74.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Седнева О.А. Идентификация личности по особенностям строения языка при гнилостной трансфо</w:t>
      </w:r>
      <w:r>
        <w:t>рмации и мумификации: дис. … канд. мед. наук. М., 2006. 192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Селье Г. На уровне целого организма / Пер. с англ. И.А. Доброхотова, A.B. Ларина. М.: Наука, 1972. 123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Селье Г. Очерки об адаптационном синдроме / Пер. с англ. М.: Медгиз, 1960. 253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Серов</w:t>
      </w:r>
      <w:r>
        <w:t xml:space="preserve"> В.В., Шехтер А.Б. Соединительная ткань (функциональная морфология и общая патология и терапия). М.: Медицина,1981. 312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Смирнов А.В. Страницы истории судебно-медицинской антропологии // Медицинская экспертиза и право. 2016. № 3. С. 51–55.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Совершенствова</w:t>
      </w:r>
      <w:r>
        <w:t>ние методов медико-криминалистической идентификации личности при катастрофах с массовымичеловеческими жертвами (эмиссионный спектральный анализ костной ткани): методические рекомендации. М.: РЦСМЭ, 2000. 17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Соколов В.В., Каплунова О.А., Овсеенко Т.Е. Во</w:t>
      </w:r>
      <w:r>
        <w:t>зрастные особенности архитектоники артериальных сосудов селезенки //Морфология. 2003. № 4. С. 57–60.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Сорокина А.Е., Перетолчина Т.Ф., Глазкова Л.К. Морфологические критерии оценки инволютивных изменений кожи лица упациенток с артериальной гипертензией // Клиническая дерматология и венерология. 2016. Т. 15. № 3. С. 68–72.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Спиридонов А.В. Возрастные изменен</w:t>
      </w:r>
      <w:r>
        <w:t>ия щитовидной железы и их судебно-медицинская оценка: автореф. дис. ... канд. мед.наук. Саратов, 1997. 16 с.</w:t>
      </w:r>
    </w:p>
    <w:p w:rsidR="004B6076" w:rsidRDefault="009E1091">
      <w:pPr>
        <w:numPr>
          <w:ilvl w:val="0"/>
          <w:numId w:val="13"/>
        </w:numPr>
        <w:spacing w:after="13"/>
        <w:ind w:right="22" w:hanging="427"/>
      </w:pPr>
      <w:r>
        <w:t>Степин В.С., Сточик А.М., Затравкин С.Н. История и философия медицины. Научные революции XVII–XIX веков. М.:</w:t>
      </w:r>
    </w:p>
    <w:p w:rsidR="004B6076" w:rsidRDefault="009E1091">
      <w:pPr>
        <w:ind w:left="-5" w:right="22"/>
      </w:pPr>
      <w:r>
        <w:t>Академический проект, 2017. 235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Сти</w:t>
      </w:r>
      <w:r>
        <w:t>хии ные бедствия и техногенные катастрофы: Превентивные меры / The World Bank and The United Nations; пер. с англ. М.: Альпина Паблишер, 2011. 312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Судаков К.В. Избранные лекции по нормальной физиологии. М.: Эрус, 1992. 243 с.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Судаков К.В. Общие представ</w:t>
      </w:r>
      <w:r>
        <w:t>ления о функциональных системах организма / Под ред. К.В. Судакова // Основы физиологиифункциональных систем. М.: Медицина, 1983. С. 6–26.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Теплов К.В., Божченко А.П., Толмачев И.А. и др. Возрастные особенности ладонной дерматоглифики взрослого человека //С</w:t>
      </w:r>
      <w:r>
        <w:t>удебно-медицинская экспертиза. 2016. С. 19–23.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Титаренко Е.Н., Власюк И.В. Возраст человека как идентификационный признак. Методы его диагностики по даннымлитературы // Медицинская экспертиза и право. 2014. Т. 3. С. 4–8.</w:t>
      </w:r>
    </w:p>
    <w:p w:rsidR="004B6076" w:rsidRDefault="009E1091">
      <w:pPr>
        <w:numPr>
          <w:ilvl w:val="0"/>
          <w:numId w:val="13"/>
        </w:numPr>
        <w:ind w:right="22" w:hanging="427"/>
      </w:pPr>
      <w:r>
        <w:t>Усачев В.Л. Научно-практические при</w:t>
      </w:r>
      <w:r>
        <w:t>нципы организации и проведения судебно-медицинских экспертиз в чрезвычайныхситуациях (в мирное и военное время): дис. … канд. мед. наук. Астрахань, 2016. 189 с.</w:t>
      </w:r>
    </w:p>
    <w:p w:rsidR="004B6076" w:rsidRDefault="009E1091">
      <w:pPr>
        <w:numPr>
          <w:ilvl w:val="0"/>
          <w:numId w:val="13"/>
        </w:numPr>
        <w:spacing w:after="13"/>
        <w:ind w:right="22" w:hanging="427"/>
      </w:pPr>
      <w:r>
        <w:t>Федулова М.В. Возрастные изменения костной ткани и их судебно-медицинское значение: дис. … д-ра</w:t>
      </w:r>
      <w:r>
        <w:t xml:space="preserve"> мед. наук. М., 2004.</w:t>
      </w:r>
    </w:p>
    <w:p w:rsidR="004B6076" w:rsidRDefault="009E1091">
      <w:pPr>
        <w:ind w:left="-5" w:right="22"/>
      </w:pPr>
      <w:r>
        <w:t>215 с.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>Фетисов В.А., Гусаров А.А., Куприна Т.А. Анализ диссертаций по специальности «Судебная медицина» и другиммедицинским специальностям (2010–2014 гг.) // Судебно-медицинская экспертиза. 2016. № 3. С. 46–53.</w:t>
      </w:r>
    </w:p>
    <w:p w:rsidR="004B6076" w:rsidRDefault="009E1091">
      <w:pPr>
        <w:numPr>
          <w:ilvl w:val="0"/>
          <w:numId w:val="14"/>
        </w:numPr>
        <w:spacing w:after="0"/>
        <w:ind w:right="22" w:hanging="427"/>
      </w:pPr>
      <w:r>
        <w:t>Фетисов В.А., Гусаров А</w:t>
      </w:r>
      <w:r>
        <w:t>.А., Куприна Т.А. Анализ диссертаций по специальности «Судебная медицина» и другиммедицинским специальностям (2010–2014 гг.) // Судебно-медицинская экспертиза. 2016. Т. 59. № 3. С. 46–53.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 xml:space="preserve">Фоминых С.А. Возрастная изменчивость губчатого вещества дистального </w:t>
      </w:r>
      <w:r>
        <w:t>отдела лучевой кости и тел поясничныхпозвонков: автореф. дис. … канд. мед. наук. 2010. 25 с.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>Фомкина О.А., Николенко В.Н. Гемодинамические показатели и параметры напряженно-деформированного состояниястенок артерий головного мозга у взрослых людей // Морфол</w:t>
      </w:r>
      <w:r>
        <w:t>огия. 2017. Т. 151. № 3. С. 112.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>Фомкина О.А., Николенко В.Н. Морфометрические параметры артерий головного мозга взрослых людей 35–60 лет //Морфологические ведомости. 2015. № 2. С. 96–99.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>Фролова С.А. Экспертное применение анализа полиморфизма последовател</w:t>
      </w:r>
      <w:r>
        <w:t>ьностей митохондриальной ДНК в судебномедицинской практике: дис. … канд. мед. наук. М., 2004. 144 с.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>Фролькис В.В., Мурадян Х.К. Старение, эволюция и продление жизни. Киев: Наукова думка, 1992. 239 с.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>Хавинсон В.Х., Коновалов С.С. Избранные лекции по герон</w:t>
      </w:r>
      <w:r>
        <w:t>тологии. СПб., 2009. 40 с.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>Хэм А., Кормак Д. Гистология: в 5 т. М., 1982–1983.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>Целуйко С.С., Малюк Е.А., Корнеева Л.С. и др. Морфофункциональная характеристика дермы кожи и ее изменения пристарении (обзор литературы) // Бюллетень физиологии и патологии дых</w:t>
      </w:r>
      <w:r>
        <w:t>ания. 2016. № 60.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>Цехмистренко Т.А., козлов В.И. Гистофизиологический подход к изучению структурной организации коры мозга человека вонтогенезе // Тихоокеанский медицинский журнал. 2016. Т. 64. № 2. С. 103–107.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>Цехмистренко Т.А. Количественные соотношения нейро-глио-сосудистых микроструктурных компонентов лобной корыбольшого мозга у детей от рождения до 3 лет // Новые исследования. 2013. Т. 34. № 1. С. 51–58.</w:t>
      </w:r>
    </w:p>
    <w:p w:rsidR="004B6076" w:rsidRDefault="009E1091">
      <w:pPr>
        <w:numPr>
          <w:ilvl w:val="0"/>
          <w:numId w:val="14"/>
        </w:numPr>
        <w:ind w:right="22" w:hanging="427"/>
      </w:pPr>
      <w:r>
        <w:t>Черемисина Е.Н., Баша Н.С. Распознавание личности по т</w:t>
      </w:r>
      <w:r>
        <w:t>ермографическим изображениям лица. Современное состояние иперспективы развития // Системный анализ в науке и образовании. 2012. Вып. 2. С. 4–12.</w:t>
      </w:r>
    </w:p>
    <w:p w:rsidR="004B6076" w:rsidRDefault="009E1091">
      <w:pPr>
        <w:numPr>
          <w:ilvl w:val="0"/>
          <w:numId w:val="14"/>
        </w:numPr>
        <w:spacing w:after="13"/>
        <w:ind w:right="22" w:hanging="427"/>
      </w:pPr>
      <w:r>
        <w:t>Чертовских А.А., Тучик Е.С. Возрастные изменения суставной впадины лопатки // Судебно-медицинская экспертиза. 2</w:t>
      </w:r>
      <w:r>
        <w:t>019. №</w:t>
      </w:r>
    </w:p>
    <w:p w:rsidR="004B6076" w:rsidRDefault="009E1091">
      <w:pPr>
        <w:ind w:left="-5" w:right="22"/>
      </w:pPr>
      <w:r>
        <w:t>2. С. 31–33.</w:t>
      </w:r>
    </w:p>
    <w:p w:rsidR="004B6076" w:rsidRDefault="009E1091">
      <w:pPr>
        <w:numPr>
          <w:ilvl w:val="0"/>
          <w:numId w:val="15"/>
        </w:numPr>
        <w:ind w:right="22" w:hanging="427"/>
      </w:pPr>
      <w:r>
        <w:t>Чертовских А.А., Тучик Е.С. Идентификация пола и возраста человека по длине лопаточной ости // Избранные вопросысудебно-медицинской экспертизы. Хабаровск, 2019. № 18. С. 199–201.</w:t>
      </w:r>
    </w:p>
    <w:p w:rsidR="004B6076" w:rsidRDefault="009E1091">
      <w:pPr>
        <w:numPr>
          <w:ilvl w:val="0"/>
          <w:numId w:val="15"/>
        </w:numPr>
        <w:spacing w:after="13"/>
        <w:ind w:right="22" w:hanging="427"/>
      </w:pPr>
      <w:r>
        <w:t>Черток В.М. Возрастные изменения капилляров головного моз</w:t>
      </w:r>
      <w:r>
        <w:t>га человека (гистохимическое исследование) // Морфология.</w:t>
      </w:r>
    </w:p>
    <w:p w:rsidR="004B6076" w:rsidRDefault="009E1091">
      <w:pPr>
        <w:ind w:left="-5" w:right="22"/>
      </w:pPr>
      <w:r>
        <w:t>1985. Т. 88. № 2. С. 28–34.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Черток В.М., Пиголкин Ю.И., Мотавкин П.А. Холинергическая и адренергическая иннервация внутримозговых артерийчеловека в онтогенезе // Морфология. 1983. Т. 84. № 2. С. 22–</w:t>
      </w:r>
      <w:r>
        <w:t>29.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Чикун В.И., Горбунов Н.С. Абдоминальный метод судебно-медицинской идентификации личности // Сибирский медицинскийжурнал (Томск). 2009. № 1. С. 113–116.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Шемяков С.Е., Григорьев О.Г. Возрастные изменения капиллярного русла моста головного мозга: материал</w:t>
      </w:r>
      <w:r>
        <w:t>ы докладов VIIIконгресса Международной ассоциации морфологов // Морфология. 2006. Т. 129. № 4. 141 с.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Шемяков С.Е., Николенко В.Н., Мальцева Н.В. и др. Постнатальный онтогенез зрительной коры головного мозга человека //Морфология. 2019. Т. 155. № 2. С. 326</w:t>
      </w:r>
      <w:r>
        <w:t>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Шемяков С.Е., Николенко В.Н., Саркисян К.Д. и др. Постнатальный онтогенез зубчатой извилины гиппокампа человека //Морфология. 2019. Т. 155. № 2. С. 327.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Шепитько В.И., Ерошенко Г.А., Лисаченко О.Д. Возрастные аспекты строения кожи лица человека // Мир медицины ибиологии. 2013. № 3. Т. 40. С. 91–97.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Шершевский А.Л., Козлова О.В., Эделев И.С. Количественная оценка инволютивных изменений в микропрепаратах поч</w:t>
      </w:r>
      <w:r>
        <w:t>кикак способ определения биологического возраста человека // Судебно-медицинская экспертиза. 2014. Т. 57. № 6. С. 25–26.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Шигеев С.В., Веленко П.С., Аметрин М.Д. Судебно-медицинская характеристика неопознанных трупов по данным Бюросудебно-медицинской экспер</w:t>
      </w:r>
      <w:r>
        <w:t>тизы Департамента здравоохранения Москвы // Судебно-медицинская экспертиза. 2018. № 4. С. 35–</w:t>
      </w:r>
    </w:p>
    <w:p w:rsidR="004B6076" w:rsidRDefault="009E1091">
      <w:pPr>
        <w:ind w:left="-5" w:right="22"/>
      </w:pPr>
      <w:r>
        <w:t>38.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Щербакова Е.В. Молекулярно-генетическая идентификация личности по исходам событий с массовыми человеческимижертвами: новый подход на основе компьютерной обраб</w:t>
      </w:r>
      <w:r>
        <w:t>отки данных: дис. … канд. мед. наук. М., 2005. 126 с.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Эделев Н.С., Воробьев В.Г. Об определении возраста неопознанных трупов // Судебно-медицинская экспертиза. 2014. Т. 57. № 6. С. 27–28.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Юнеман О.А., Савельев С.В. Возрастные изменения сосудистых сплетений</w:t>
      </w:r>
      <w:r>
        <w:t xml:space="preserve"> боковых желудочков головного мозга человека //Современные проблемы науки и образования. 2012. № 6. С. 565.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Юрченко М.А. Судебно-медицинское определение возраста на основании изучения рентгенограмм кисти: автореф. дис. ...канд. мед. наук. М., 2018. 25 с.</w:t>
      </w:r>
    </w:p>
    <w:p w:rsidR="004B6076" w:rsidRDefault="009E1091">
      <w:pPr>
        <w:numPr>
          <w:ilvl w:val="0"/>
          <w:numId w:val="16"/>
        </w:numPr>
        <w:spacing w:after="0"/>
        <w:ind w:right="22" w:hanging="427"/>
      </w:pPr>
      <w:r>
        <w:t>Ярыгин В.Н. Руководство по геронтологии и гериатрии. В 4 томах. Том 2. Введение в клиническую гериатрию [Электронныйресурс] / Под ред. В.Н. Ярыгина, А.С. Мелентьева. М.: ГЭОТАР-Медиа, 2010. 784 с.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Ackroyd R.G., Lucy D., Pollard A.M., Roberts C.A. Nasty, br</w:t>
      </w:r>
      <w:r>
        <w:t>utish, but not necessarily short: a reconsideration of the statisticalmethods used to calculate age at death from adult human and dental age indicators // American Antiquity. 1999. N. 64. Р. 55–70.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Ahmed T., Nash A., Clark K. et al. Combining nano-physical</w:t>
      </w:r>
      <w:r>
        <w:t xml:space="preserve"> and computational investigations to understand the nature of «aging» indermal collagen // Int. J. Nanomed. 2017. N. 12. P. 3303–3314.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Ajmani M. A metriсal study оf the laryngeal skeletоn in adult Nigerian // J. Anat. 1990. N. 171. P. 187–191.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Alves-Cardos</w:t>
      </w:r>
      <w:r>
        <w:t>o F., Assis S. Can osteophytes be used as age at death estimators? Testing correlations in skeletonized humanremains with known age-at-death // Forensic Sci. Int. 2018. N. 288. P. 59–66.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Amano S. Characterization and mechanisms of photoageing-related chang</w:t>
      </w:r>
      <w:r>
        <w:t>es in skin. Damages of basement membrane and dermalstructures // Exp. Dermatol. 2016. N. 25. P. 14–19.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Anderson A., Loeser R. Why is osteoarthritis an age-related disease? // Best Pract. Res. Clin. Rheumatol. 2010. Vol. 24. N. 1. P. 15–26.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 xml:space="preserve">Annaidh A.N. et </w:t>
      </w:r>
      <w:r>
        <w:t>al. Automated estimation of collagen fibre dispersion in the dermis and its contribution to the anisotropic behaviourof skin // Ann. Biomed. Eng. 2012. N. 40. Р. 1666–1678.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Arden N., Nevitt M. Osteoarthritis: epidemiology // Best Pract. Res. Clin. Rheumato</w:t>
      </w:r>
      <w:r>
        <w:t>l. 2006. N. 20. P. 3–25.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Arji G., Safdari R., Rezaeizadeh H., Abbassian A. et al. A systematic literature review and classification of knowledge discovery intraditional medicine // Comp. Method. Program. Biomed. 2019. N. 168. Р. 39–57.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Aspden R.M., Scheven</w:t>
      </w:r>
      <w:r>
        <w:t xml:space="preserve"> B.A.A., Hutchison J.D.Osteoarthritis as a systemic disorder including stromal cell differentiation and lipidmetabolism // Lancet. 2001. Vol. 357. P. 1118–1120.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Aycheh H.M., Joon-Kyung S., Jeong-Hyeon S. et al. Biological Brain Age Prediction Using Cortica</w:t>
      </w:r>
      <w:r>
        <w:t>l Thickness Data: A Large ScaleCohort Study // Frontiers in Aging Neurosci. 2018. Vol. 10. P. 252.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Bacci N., Nchabeleng E.K., Billings B.K. Forensic age-at-death estimation from the sternum in a black South African population //Forensic Sci. Int. 2018. Vol</w:t>
      </w:r>
      <w:r>
        <w:t>. 282. P. 233.e1–233.e7.</w:t>
      </w:r>
    </w:p>
    <w:p w:rsidR="004B6076" w:rsidRDefault="009E1091">
      <w:pPr>
        <w:numPr>
          <w:ilvl w:val="0"/>
          <w:numId w:val="16"/>
        </w:numPr>
        <w:spacing w:after="13"/>
        <w:ind w:right="22" w:hanging="427"/>
      </w:pPr>
      <w:r>
        <w:t>Baker L. Biomolecular applications. In: Blau S., Ubelaker D.H., eds. Handbook of forensic anthropology and archaeology. 2nd ed.</w:t>
      </w:r>
    </w:p>
    <w:p w:rsidR="004B6076" w:rsidRDefault="009E1091">
      <w:pPr>
        <w:ind w:left="-5" w:right="22"/>
      </w:pPr>
      <w:r>
        <w:t>New York: Routledge, 2016. P. 416–429.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Barret C.P., Guth L., Donati E.J., Krikorian J.G.Astroglial reac</w:t>
      </w:r>
      <w:r>
        <w:t>tion in the grey matter of lumbar segments after mid-thoracictransection of the adult rat spinal cord // Exp. Neurol. 1981. N. 73. Р. 365–377.</w:t>
      </w:r>
    </w:p>
    <w:p w:rsidR="004B6076" w:rsidRDefault="009E1091">
      <w:pPr>
        <w:numPr>
          <w:ilvl w:val="0"/>
          <w:numId w:val="16"/>
        </w:numPr>
        <w:spacing w:after="13"/>
        <w:ind w:right="22" w:hanging="427"/>
      </w:pPr>
      <w:r>
        <w:t>Bethard J.D., Berger J.M., Maiers J. et al. Adult Age Estimation in Forensic Anthropology: A Test of the DXAGE Ap</w:t>
      </w:r>
      <w:r>
        <w:t>plication // J.</w:t>
      </w:r>
    </w:p>
    <w:p w:rsidR="004B6076" w:rsidRDefault="009E1091">
      <w:pPr>
        <w:ind w:left="-5" w:right="22"/>
      </w:pPr>
      <w:r>
        <w:t>Forensic Sci. 2019. Vol. 64. N. 4. Р. 1125–1128.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Bielfeldt S., Springmann G., Seise M. et al. An updated review of clinical methods in the assessment of ageing skin — Newperspectives and evaluation for claims support // Int. J. Cosmetic Sci</w:t>
      </w:r>
      <w:r>
        <w:t>. 2018. N. 40. P. 348–355.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Blagojevic M., Jinks C., Jeffery A., Jordan K.P. Risk factors for onset of osteoarthritis of the knee in older adults: a systematic reviewand meta-analysis // Osteoarthritis Cartilage. 2010. Vol. 18. N. 1. P. 24–33.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Boldsen J.L.,</w:t>
      </w:r>
      <w:r>
        <w:t xml:space="preserve"> Milner G.R., Konigsberg L.W., Wood J.W. Transition analysis: a new method for estimating age from skeletons //Paleodemography: Age Distributions from Skeletal Samples. Cambridge: Cambridge University Press, 2002. P. 73–106.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Bоskey A.L., Соleman R.Aging an</w:t>
      </w:r>
      <w:r>
        <w:t>d bоne // J. Dent. Res. 2010. N. 89 (12). P. 1333–1348.</w:t>
      </w:r>
    </w:p>
    <w:p w:rsidR="004B6076" w:rsidRDefault="009E1091">
      <w:pPr>
        <w:numPr>
          <w:ilvl w:val="0"/>
          <w:numId w:val="16"/>
        </w:numPr>
        <w:spacing w:after="13"/>
        <w:ind w:right="22" w:hanging="427"/>
      </w:pPr>
      <w:r>
        <w:t>Botha D., Lynnerup N., Steyn M. Age estimation using bone mineral density in South Africans // Forensic Sci. Int. 2019. Vol. 297. P.</w:t>
      </w:r>
    </w:p>
    <w:p w:rsidR="004B6076" w:rsidRDefault="009E1091">
      <w:pPr>
        <w:ind w:left="-5" w:right="22"/>
      </w:pPr>
      <w:r>
        <w:t>307–314.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Breiman L., Friedman J.H., Olshen R.A., Stone C.J. Classification and regression trees. Monterey, CA: Cole Advanced Books &amp;Software, 1984.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Breiman L. Random Forests // Machine Learning. 2001. Vol. 45. N. 1. Р. 5–32.</w:t>
      </w:r>
    </w:p>
    <w:p w:rsidR="004B6076" w:rsidRDefault="009E1091">
      <w:pPr>
        <w:numPr>
          <w:ilvl w:val="0"/>
          <w:numId w:val="16"/>
        </w:numPr>
        <w:ind w:right="22" w:hanging="427"/>
      </w:pPr>
      <w:r>
        <w:t>Brooks S., Suchey J.M. Skeletal age dete</w:t>
      </w:r>
      <w:r>
        <w:t>rmination based on the os pubis: a comparison of the Acsadi-Nemeskeri and SucheyBrooks methods // Hum. Evol. 1990. Vol. 5. P. 227–238.</w:t>
      </w:r>
    </w:p>
    <w:p w:rsidR="004B6076" w:rsidRDefault="009E1091">
      <w:pPr>
        <w:numPr>
          <w:ilvl w:val="0"/>
          <w:numId w:val="16"/>
        </w:numPr>
        <w:spacing w:after="13"/>
        <w:ind w:right="22" w:hanging="427"/>
      </w:pPr>
      <w:r>
        <w:t>Bucci A., Skrami E., Faragalli A. et al. Segmented Bayesian calibration approach for estimating age in forensic science /</w:t>
      </w:r>
      <w:r>
        <w:t>/ Biomed. J.</w:t>
      </w:r>
    </w:p>
    <w:p w:rsidR="004B6076" w:rsidRDefault="009E1091">
      <w:pPr>
        <w:ind w:left="-5" w:right="22"/>
      </w:pPr>
      <w:r>
        <w:t>2019. Vol. 61. N. 6. Р. 1575–1594.</w:t>
      </w:r>
    </w:p>
    <w:p w:rsidR="004B6076" w:rsidRDefault="009E1091">
      <w:pPr>
        <w:numPr>
          <w:ilvl w:val="0"/>
          <w:numId w:val="17"/>
        </w:numPr>
        <w:ind w:right="22" w:hanging="427"/>
      </w:pPr>
      <w:r>
        <w:t>Buckberry J.L., Chamberlain A.T. Age estimation from the auricular surface of the Ilium: a revised method // Am. J. Phys. Anthropol.2002. Vol. 119. P. 231–239.</w:t>
      </w:r>
    </w:p>
    <w:p w:rsidR="004B6076" w:rsidRDefault="009E1091">
      <w:pPr>
        <w:numPr>
          <w:ilvl w:val="0"/>
          <w:numId w:val="17"/>
        </w:numPr>
        <w:ind w:right="22" w:hanging="427"/>
      </w:pPr>
      <w:r>
        <w:t xml:space="preserve">Buk Z., Kordika P., Bruzek J. et al. The age at </w:t>
      </w:r>
      <w:r>
        <w:t>death assessment in a multi-ethnic sample of pelvic bones using nature-inspired datamining methods // Forensic Sci. Int. 2012. Vol. 220. N. 1–3. P. 294.</w:t>
      </w:r>
    </w:p>
    <w:p w:rsidR="004B6076" w:rsidRDefault="009E1091">
      <w:pPr>
        <w:numPr>
          <w:ilvl w:val="0"/>
          <w:numId w:val="17"/>
        </w:numPr>
        <w:spacing w:after="13"/>
        <w:ind w:right="22" w:hanging="427"/>
      </w:pPr>
      <w:r>
        <w:t>Burt A.А histochemical procedure for the localization of choline acetyltransferase activity // J. Histo</w:t>
      </w:r>
      <w:r>
        <w:t>chem. Cytochem. 1970. N. 18. Р.</w:t>
      </w:r>
    </w:p>
    <w:p w:rsidR="004B6076" w:rsidRDefault="009E1091">
      <w:pPr>
        <w:ind w:left="-5" w:right="22"/>
      </w:pPr>
      <w:r>
        <w:t>408–415.</w:t>
      </w:r>
    </w:p>
    <w:p w:rsidR="004B6076" w:rsidRDefault="009E1091">
      <w:pPr>
        <w:numPr>
          <w:ilvl w:val="0"/>
          <w:numId w:val="17"/>
        </w:numPr>
        <w:ind w:right="22" w:hanging="427"/>
      </w:pPr>
      <w:r>
        <w:t>Carpenter P.M., Linden K.G., McLaren C.E. et al. Nuclear morphometry and molecular biomarkers of actinic keratosis, sundamaged, and nonexposed skin // Cancer Epidemiol. Biomarkers Prev. 2004. Vol. 13. N. 12. P. 1996</w:t>
      </w:r>
      <w:r>
        <w:t>–2002.</w:t>
      </w:r>
    </w:p>
    <w:p w:rsidR="004B6076" w:rsidRDefault="009E1091">
      <w:pPr>
        <w:numPr>
          <w:ilvl w:val="0"/>
          <w:numId w:val="17"/>
        </w:numPr>
        <w:ind w:right="22" w:hanging="427"/>
      </w:pPr>
      <w:r>
        <w:t>Chalyk N.E., Bandaletova T.Y., Kyle N. et al. Morphological Characteristics of Residual Skin Surface Components Collected from theSurface of Facial Skin in Women of Different Age // Ann. of Dermatol. 2017. Vol. 29. N. 4. P. 454–461.</w:t>
      </w:r>
    </w:p>
    <w:p w:rsidR="004B6076" w:rsidRDefault="009E1091">
      <w:pPr>
        <w:numPr>
          <w:ilvl w:val="0"/>
          <w:numId w:val="17"/>
        </w:numPr>
        <w:ind w:right="22" w:hanging="427"/>
      </w:pPr>
      <w:r>
        <w:t>Chan A.H., Crowd</w:t>
      </w:r>
      <w:r>
        <w:t>er C.M., Rogers T.L. Variation in cortical bone histology within the human femur and its impact on estimating ageat death // Am. J. Phys. Anthropol. 2007. Vol. 132. P. 80–88.</w:t>
      </w:r>
    </w:p>
    <w:p w:rsidR="004B6076" w:rsidRDefault="009E1091">
      <w:pPr>
        <w:numPr>
          <w:ilvl w:val="0"/>
          <w:numId w:val="17"/>
        </w:numPr>
        <w:spacing w:after="13"/>
        <w:ind w:right="22" w:hanging="427"/>
      </w:pPr>
      <w:r>
        <w:t>Charles-de-Sá, L., Gontijo-de-Amorim N.F., Rigotti G. et al. Photoaged Skin Thera</w:t>
      </w:r>
      <w:r>
        <w:t>py with Adipose-Derived Stem Cells // Plast.</w:t>
      </w:r>
    </w:p>
    <w:p w:rsidR="004B6076" w:rsidRDefault="009E1091">
      <w:pPr>
        <w:ind w:left="-5" w:right="22"/>
      </w:pPr>
      <w:r>
        <w:t>Reconstr. Surg. 2020. Vol. 145. N. 6. Р. 1037e–1049e.</w:t>
      </w:r>
    </w:p>
    <w:p w:rsidR="004B6076" w:rsidRDefault="009E1091">
      <w:pPr>
        <w:numPr>
          <w:ilvl w:val="0"/>
          <w:numId w:val="17"/>
        </w:numPr>
        <w:spacing w:after="13"/>
        <w:ind w:right="22" w:hanging="427"/>
      </w:pPr>
      <w:r>
        <w:t>Chen H., Zhou X., Fujita H. et al. Age-related changes in trabecular and cortical bone microstructure // Int. J. Endocrinol. 2013. Vol.</w:t>
      </w:r>
    </w:p>
    <w:p w:rsidR="004B6076" w:rsidRDefault="009E1091">
      <w:pPr>
        <w:ind w:left="-5" w:right="22"/>
      </w:pPr>
      <w:r>
        <w:t>2013. P. 213–234.</w:t>
      </w:r>
    </w:p>
    <w:p w:rsidR="004B6076" w:rsidRDefault="009E1091">
      <w:pPr>
        <w:numPr>
          <w:ilvl w:val="0"/>
          <w:numId w:val="18"/>
        </w:numPr>
        <w:ind w:right="22" w:hanging="427"/>
      </w:pPr>
      <w:r>
        <w:t>Сhe</w:t>
      </w:r>
      <w:r>
        <w:t>ng J., Zhaо X.D., Su X.Q. Age determinatiоn by radiоgraphiс feature оf thyrоid сartilage in male Сhinese Han pоpulatiоn // Fa YiXueZaZhi. 2003. Vоl. 19. N. 1. Р. 16–17.</w:t>
      </w:r>
    </w:p>
    <w:p w:rsidR="004B6076" w:rsidRDefault="009E1091">
      <w:pPr>
        <w:numPr>
          <w:ilvl w:val="0"/>
          <w:numId w:val="18"/>
        </w:numPr>
        <w:ind w:right="22" w:hanging="427"/>
      </w:pPr>
      <w:r>
        <w:t>Cho H., Stout S.D., Madsen R.W. et al. Populationspecific histological age-estimating m</w:t>
      </w:r>
      <w:r>
        <w:t>ethod: a model for known African-Americanand European-American skeletal remains // J. Forensic Sci. 2002. Vol. 47. P. 12–18.</w:t>
      </w:r>
    </w:p>
    <w:p w:rsidR="004B6076" w:rsidRDefault="009E1091">
      <w:pPr>
        <w:numPr>
          <w:ilvl w:val="0"/>
          <w:numId w:val="18"/>
        </w:numPr>
        <w:spacing w:after="13"/>
        <w:ind w:right="22" w:hanging="427"/>
      </w:pPr>
      <w:r>
        <w:t>Christensen R., Astrup A., Bliddal H. Weight loss: the treatment of choice for knee osteoarthritis? A randomized trial // Osteoarthr.</w:t>
      </w:r>
    </w:p>
    <w:p w:rsidR="004B6076" w:rsidRDefault="009E1091">
      <w:pPr>
        <w:ind w:left="-5" w:right="22"/>
      </w:pPr>
      <w:r>
        <w:t>Cartilage. 2005. Vol. 13. P. 20–27.</w:t>
      </w:r>
    </w:p>
    <w:p w:rsidR="004B6076" w:rsidRDefault="009E1091">
      <w:pPr>
        <w:numPr>
          <w:ilvl w:val="0"/>
          <w:numId w:val="18"/>
        </w:numPr>
        <w:spacing w:after="13"/>
        <w:ind w:right="22" w:hanging="427"/>
      </w:pPr>
      <w:r>
        <w:t>Claassen H., Schicht M., Sel S. et al. The fate of chondrocytes during ageing of human</w:t>
      </w:r>
      <w:r>
        <w:t xml:space="preserve"> thyroid cartilage // Histochem. Cell. Biol.</w:t>
      </w:r>
    </w:p>
    <w:p w:rsidR="004B6076" w:rsidRDefault="009E1091">
      <w:pPr>
        <w:ind w:left="-5" w:right="22"/>
      </w:pPr>
      <w:r>
        <w:t>2009. Vol. 131. Р. 605–614.</w:t>
      </w:r>
    </w:p>
    <w:p w:rsidR="004B6076" w:rsidRDefault="009E1091">
      <w:pPr>
        <w:numPr>
          <w:ilvl w:val="0"/>
          <w:numId w:val="19"/>
        </w:numPr>
        <w:ind w:right="22" w:hanging="427"/>
      </w:pPr>
      <w:r>
        <w:t>Claassen H., Schicht M., Sel S. et al. Special Pattern of Endochondral Ossification in Human Laryngeal Cartilages: X-ray and LightMicroscopic Studies on Thyroid Cartilage // Clin. Ana</w:t>
      </w:r>
      <w:r>
        <w:t>tomy. 2014. Vol. 27. Р. 423–430.</w:t>
      </w:r>
    </w:p>
    <w:p w:rsidR="004B6076" w:rsidRDefault="009E1091">
      <w:pPr>
        <w:numPr>
          <w:ilvl w:val="0"/>
          <w:numId w:val="19"/>
        </w:numPr>
        <w:ind w:right="22" w:hanging="427"/>
      </w:pPr>
      <w:r>
        <w:t>Сlaassen H., Kirsсh T. Areas оf asbestоid (amianthоid) fibers in human thyrоid сartilage сharaсterized by immunоlосalizatiоn оfсоllagen types I, II, IX, XI and X // Сell. Tissue Res. 1995. N. 280. P. 349–354.</w:t>
      </w:r>
    </w:p>
    <w:p w:rsidR="004B6076" w:rsidRDefault="009E1091">
      <w:pPr>
        <w:numPr>
          <w:ilvl w:val="0"/>
          <w:numId w:val="19"/>
        </w:numPr>
        <w:ind w:right="22" w:hanging="427"/>
      </w:pPr>
      <w:r>
        <w:t>Cole J., Poude</w:t>
      </w:r>
      <w:r>
        <w:t>l R., Tsagkrasoulis D. et al.Predicting brain age with deep learning from raw imaging data results in a reliable andheritable biomarker // NeuroImage. 2017. Vol. 163. P.115–124.</w:t>
      </w:r>
    </w:p>
    <w:p w:rsidR="004B6076" w:rsidRDefault="009E1091">
      <w:pPr>
        <w:numPr>
          <w:ilvl w:val="0"/>
          <w:numId w:val="19"/>
        </w:numPr>
        <w:spacing w:after="13"/>
        <w:ind w:right="22" w:hanging="427"/>
      </w:pPr>
      <w:r>
        <w:t>Cooper D.M., Erickson B., Peele A.G. et al. Visualization of 3D osteon morphol</w:t>
      </w:r>
      <w:r>
        <w:t>ogy by synchrotron radiation micro-CT // J. Anat.</w:t>
      </w:r>
    </w:p>
    <w:p w:rsidR="004B6076" w:rsidRDefault="009E1091">
      <w:pPr>
        <w:ind w:left="-5" w:right="22"/>
      </w:pPr>
      <w:r>
        <w:t>2011. V. 219. N. 4. P. 481–489.</w:t>
      </w:r>
    </w:p>
    <w:p w:rsidR="004B6076" w:rsidRDefault="009E1091">
      <w:pPr>
        <w:numPr>
          <w:ilvl w:val="0"/>
          <w:numId w:val="20"/>
        </w:numPr>
        <w:ind w:right="22" w:hanging="427"/>
      </w:pPr>
      <w:r>
        <w:t>Corron L., Marchal F., Condemi S., Adalian P. A critical review of sub-adult age estimation in biological anthropology: Do methodscomply with published recommendations? // Fo</w:t>
      </w:r>
      <w:r>
        <w:t>rensic Sci. Intern. 2018. Vol. 288. P. 328.e1–328.e9.</w:t>
      </w:r>
    </w:p>
    <w:p w:rsidR="004B6076" w:rsidRDefault="009E1091">
      <w:pPr>
        <w:numPr>
          <w:ilvl w:val="0"/>
          <w:numId w:val="20"/>
        </w:numPr>
        <w:spacing w:after="13"/>
        <w:ind w:right="22" w:hanging="427"/>
      </w:pPr>
      <w:r>
        <w:t>Crescimanno A., Stout S.D. Differentiating fragmented human and nonhuman long Bone using osteon circularity // J. Forensic Sci.</w:t>
      </w:r>
    </w:p>
    <w:p w:rsidR="004B6076" w:rsidRDefault="009E1091">
      <w:pPr>
        <w:ind w:left="-5" w:right="22"/>
      </w:pPr>
      <w:r>
        <w:t>2012. Vol. 57. N. 2. P. 287–294.</w:t>
      </w:r>
    </w:p>
    <w:p w:rsidR="004B6076" w:rsidRDefault="009E1091">
      <w:pPr>
        <w:numPr>
          <w:ilvl w:val="0"/>
          <w:numId w:val="21"/>
        </w:numPr>
        <w:spacing w:after="13"/>
        <w:ind w:right="22" w:hanging="427"/>
      </w:pPr>
      <w:r>
        <w:t>Crowder C.M., Dominguez V.M. A new method</w:t>
      </w:r>
      <w:r>
        <w:t xml:space="preserve"> for histological age estimation of the femur // Proceed. Am. Acad. Forensic Sci. 2012.</w:t>
      </w:r>
    </w:p>
    <w:p w:rsidR="004B6076" w:rsidRDefault="009E1091">
      <w:pPr>
        <w:ind w:left="-5" w:right="22"/>
      </w:pPr>
      <w:r>
        <w:t>Vol. 18. P. 374–375.</w:t>
      </w:r>
    </w:p>
    <w:p w:rsidR="004B6076" w:rsidRDefault="009E1091">
      <w:pPr>
        <w:numPr>
          <w:ilvl w:val="0"/>
          <w:numId w:val="21"/>
        </w:numPr>
        <w:ind w:right="22" w:hanging="427"/>
      </w:pPr>
      <w:r>
        <w:t xml:space="preserve">Crowder C.M. Evaluating the use of quantitative bone histology to estimate adult age at death: University of Toronto, Ph. D.dissertation. Toronto, </w:t>
      </w:r>
      <w:r>
        <w:t>Canada, 2005. 267 р.</w:t>
      </w:r>
    </w:p>
    <w:p w:rsidR="004B6076" w:rsidRDefault="009E1091">
      <w:pPr>
        <w:numPr>
          <w:ilvl w:val="0"/>
          <w:numId w:val="21"/>
        </w:numPr>
        <w:ind w:right="22" w:hanging="427"/>
      </w:pPr>
      <w:r>
        <w:t>Crowder C.M., Heinrich J., Stout S. Rib histomorphometry for adult age estimation // Bell L., ed. Forensic Microscopy for SkeletalTissue: Methods and Protocols. Springer, 2012.</w:t>
      </w:r>
    </w:p>
    <w:p w:rsidR="004B6076" w:rsidRDefault="009E1091">
      <w:pPr>
        <w:numPr>
          <w:ilvl w:val="0"/>
          <w:numId w:val="21"/>
        </w:numPr>
        <w:ind w:right="22" w:hanging="427"/>
      </w:pPr>
      <w:r>
        <w:t>Crowder C.M., Pfeiffer S. The application of cortical bone histomorphometry to estimate age at death // Latham K.E., Finnegan M.,ed. Age Estimation of the Human Skeleton. Springfield: IL, 2010. 167 р.</w:t>
      </w:r>
    </w:p>
    <w:p w:rsidR="004B6076" w:rsidRDefault="009E1091">
      <w:pPr>
        <w:numPr>
          <w:ilvl w:val="0"/>
          <w:numId w:val="21"/>
        </w:numPr>
        <w:ind w:right="22" w:hanging="427"/>
      </w:pPr>
      <w:r>
        <w:t>Dang-Tran K.D., Dedоuit F., Jоffre F. et al. Thyrоid сa</w:t>
      </w:r>
      <w:r>
        <w:t>rtilage оssifiсatiоn and multisliсe соmputed tоmоgraphy examinatiоn: a usefultооl fоr age assessment? // J. Fоrensiс Sсi. 2010. Vоl. 55. N. 3. Р. 677–683.</w:t>
      </w:r>
    </w:p>
    <w:p w:rsidR="004B6076" w:rsidRDefault="009E1091">
      <w:pPr>
        <w:numPr>
          <w:ilvl w:val="0"/>
          <w:numId w:val="21"/>
        </w:numPr>
        <w:ind w:right="22" w:hanging="427"/>
      </w:pPr>
      <w:r>
        <w:t>De la Grandmaisоn G.L., Banasr A., Durigоn M. Age estimatiоn using radiоgraphiс analysis оf laryngeal</w:t>
      </w:r>
      <w:r>
        <w:t xml:space="preserve"> сartilage // Am. J. FоrensiсMed. Pathоl. 2003. Vоl. 24. N. 1. Р. 96–99.</w:t>
      </w:r>
    </w:p>
    <w:p w:rsidR="004B6076" w:rsidRDefault="009E1091">
      <w:pPr>
        <w:numPr>
          <w:ilvl w:val="0"/>
          <w:numId w:val="21"/>
        </w:numPr>
        <w:spacing w:after="13"/>
        <w:ind w:right="22" w:hanging="427"/>
      </w:pPr>
      <w:r>
        <w:t>Dempster D.W., Compston J.E., Drezner M.K. et al. Standardized nomenclature, symbols, and units for bone histomorphometry: A</w:t>
      </w:r>
    </w:p>
    <w:p w:rsidR="004B6076" w:rsidRDefault="009E1091">
      <w:pPr>
        <w:ind w:left="-5" w:right="22"/>
      </w:pPr>
      <w:r>
        <w:t>2012 update of the report of the ASBMR Histomorphometry No</w:t>
      </w:r>
      <w:r>
        <w:t>menclature Committee // J. Bone Mineral Res. 2013. Vol. 28. N. 1. P. 2– 17.</w:t>
      </w:r>
    </w:p>
    <w:p w:rsidR="004B6076" w:rsidRDefault="009E1091">
      <w:pPr>
        <w:numPr>
          <w:ilvl w:val="0"/>
          <w:numId w:val="22"/>
        </w:numPr>
        <w:ind w:right="22" w:hanging="427"/>
      </w:pPr>
      <w:r>
        <w:t>Doherty M. Risk factors for progression of knee osteoarthritis // Lancet. 2001. Vol. 358. P. 775–776.</w:t>
      </w:r>
    </w:p>
    <w:p w:rsidR="004B6076" w:rsidRDefault="009E1091">
      <w:pPr>
        <w:numPr>
          <w:ilvl w:val="0"/>
          <w:numId w:val="22"/>
        </w:numPr>
        <w:spacing w:after="13"/>
        <w:ind w:right="22" w:hanging="427"/>
      </w:pPr>
      <w:r>
        <w:t>Doyle E., Márquez-Grant N., Field L., Holmes T. et al. Guidelines for best pra</w:t>
      </w:r>
      <w:r>
        <w:t>ctice: Imaging for age estimation in the living // J.</w:t>
      </w:r>
    </w:p>
    <w:p w:rsidR="004B6076" w:rsidRDefault="009E1091">
      <w:pPr>
        <w:ind w:left="-5" w:right="22"/>
      </w:pPr>
      <w:r>
        <w:t>Forensic Radiol. Imaging. 2019. Vol. 16. P. 38–49.</w:t>
      </w:r>
    </w:p>
    <w:p w:rsidR="004B6076" w:rsidRDefault="009E1091">
      <w:pPr>
        <w:numPr>
          <w:ilvl w:val="0"/>
          <w:numId w:val="22"/>
        </w:numPr>
        <w:ind w:right="22" w:hanging="427"/>
      </w:pPr>
      <w:r>
        <w:t>Dragoi G.S. et al. Histomorphometric evaluation of osteons inside the compacta of long bones diaphysis. Implication in pathology //Rom. J. Legal Med. 2</w:t>
      </w:r>
      <w:r>
        <w:t>014. Vol. 22. P. 109–116.</w:t>
      </w:r>
    </w:p>
    <w:p w:rsidR="004B6076" w:rsidRDefault="009E1091">
      <w:pPr>
        <w:numPr>
          <w:ilvl w:val="0"/>
          <w:numId w:val="22"/>
        </w:numPr>
        <w:ind w:right="22" w:hanging="427"/>
      </w:pPr>
      <w:r>
        <w:t>Dubourg O., Faruch-Bilfeld M., Telmon N. et al. Correlation between pubic bone mineral density and age from a computedtomography sample // Forensic Sci. Intern. 2019. Vol. 298. P. 345–350.</w:t>
      </w:r>
    </w:p>
    <w:p w:rsidR="004B6076" w:rsidRDefault="009E1091">
      <w:pPr>
        <w:numPr>
          <w:ilvl w:val="0"/>
          <w:numId w:val="22"/>
        </w:numPr>
        <w:ind w:right="22" w:hanging="427"/>
      </w:pPr>
      <w:r>
        <w:t>Einspahr J.G., Alberts D.S., Warneke J.A.</w:t>
      </w:r>
      <w:r>
        <w:t xml:space="preserve"> et al. Relationship of p53 mutations to epidermal cell proliferation and apoptosis in humanUV-induced skin carcinogenesis // Neoplasia. 1999. Vol. 1. N. 5. P. 468–475.</w:t>
      </w:r>
    </w:p>
    <w:p w:rsidR="004B6076" w:rsidRDefault="009E1091">
      <w:pPr>
        <w:numPr>
          <w:ilvl w:val="0"/>
          <w:numId w:val="22"/>
        </w:numPr>
        <w:ind w:right="22" w:hanging="427"/>
      </w:pPr>
      <w:r>
        <w:t>Elewa R., Abdallah M., Zouboulis C. Age-associated skin changes in innate immunity mark</w:t>
      </w:r>
      <w:r>
        <w:t>ers reflect a complex interaction betweenaging mechanisms in the sebaceous gland // J. Dermatol. 2015. Vol. 42. N. 5. P. 467–476.</w:t>
      </w:r>
    </w:p>
    <w:p w:rsidR="004B6076" w:rsidRDefault="009E1091">
      <w:pPr>
        <w:numPr>
          <w:ilvl w:val="0"/>
          <w:numId w:val="22"/>
        </w:numPr>
        <w:spacing w:after="13"/>
        <w:ind w:right="22" w:hanging="427"/>
      </w:pPr>
      <w:r>
        <w:t>Ericksen M.F. Histologic estimation of age at death using the anterior cortex of the femur // Am. J. Phys. Anthropol. 1991. Vo</w:t>
      </w:r>
      <w:r>
        <w:t>l. 84. P.</w:t>
      </w:r>
    </w:p>
    <w:p w:rsidR="004B6076" w:rsidRDefault="009E1091">
      <w:pPr>
        <w:ind w:left="-5" w:right="22"/>
      </w:pPr>
      <w:r>
        <w:t>171–179.</w:t>
      </w:r>
    </w:p>
    <w:p w:rsidR="004B6076" w:rsidRDefault="009E1091">
      <w:pPr>
        <w:numPr>
          <w:ilvl w:val="0"/>
          <w:numId w:val="22"/>
        </w:numPr>
        <w:ind w:right="22" w:hanging="427"/>
      </w:pPr>
      <w:r>
        <w:t>Fernandez-Delgado M.. Cernadas E., Barro S., Amorim D. Do we Need Hundreds of Classifiers to Solve Real World ClassificationProblems? // J. Mach. Learn. Res. 2014. Vol. 15. Р. 3133–3181</w:t>
      </w:r>
    </w:p>
    <w:p w:rsidR="004B6076" w:rsidRDefault="009E1091">
      <w:pPr>
        <w:numPr>
          <w:ilvl w:val="0"/>
          <w:numId w:val="22"/>
        </w:numPr>
        <w:spacing w:after="13"/>
        <w:ind w:right="22" w:hanging="427"/>
      </w:pPr>
      <w:r>
        <w:t>Ferrante L., Skrami E., Gesuita R., Cameriere R.Bay</w:t>
      </w:r>
      <w:r>
        <w:t>esian calibration for forensic age estimation // Stat. Med. 2015. Vol. 34. N. 10. P.</w:t>
      </w:r>
    </w:p>
    <w:p w:rsidR="004B6076" w:rsidRDefault="009E1091">
      <w:pPr>
        <w:ind w:left="-5" w:right="22"/>
      </w:pPr>
      <w:r>
        <w:t>1779–1790.</w:t>
      </w:r>
    </w:p>
    <w:p w:rsidR="004B6076" w:rsidRDefault="009E1091">
      <w:pPr>
        <w:numPr>
          <w:ilvl w:val="0"/>
          <w:numId w:val="22"/>
        </w:numPr>
        <w:ind w:right="22" w:hanging="427"/>
      </w:pPr>
      <w:r>
        <w:t>Fitzpatrick R.A. Facial resurfacing with the pulsed carbon dioxide laser. Areview // Facial Plast. Surg. Clin. N. Am. 1996. Vol. 4. N. 2. Р. 236.</w:t>
      </w:r>
    </w:p>
    <w:p w:rsidR="004B6076" w:rsidRDefault="009E1091">
      <w:pPr>
        <w:numPr>
          <w:ilvl w:val="0"/>
          <w:numId w:val="22"/>
        </w:numPr>
        <w:ind w:right="22" w:hanging="427"/>
      </w:pPr>
      <w:r>
        <w:t>Flоrenсiо-Silv</w:t>
      </w:r>
      <w:r>
        <w:t>a R., Sassо G.R., Sassо-Сerri E. et al. Biоlоgy оf Bоne Tissue: Struсture, Funсtiоn, and Faсtоrs That Influenсe BоneСells // Biоmed. Res. Int. 2015. P. 421746.</w:t>
      </w:r>
    </w:p>
    <w:p w:rsidR="004B6076" w:rsidRDefault="009E1091">
      <w:pPr>
        <w:numPr>
          <w:ilvl w:val="0"/>
          <w:numId w:val="22"/>
        </w:numPr>
        <w:spacing w:after="13"/>
        <w:ind w:right="22" w:hanging="427"/>
      </w:pPr>
      <w:r>
        <w:t>Franklin D. Forensic age estimation in human skeletal remains: current concepts and future direc</w:t>
      </w:r>
      <w:r>
        <w:t>tions // Legal medicine. 2010. Vol.</w:t>
      </w:r>
    </w:p>
    <w:p w:rsidR="004B6076" w:rsidRDefault="009E1091">
      <w:pPr>
        <w:ind w:left="-5" w:right="22"/>
      </w:pPr>
      <w:r>
        <w:t>12 (1). P. 1–7.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Frost H. Tetracycline-based histological analysis of bone remodeling // Calcif. Tissue Res. 1969. Vol. 3. Р. 211–237.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Furness J.B., Costa M. The use of glyoxelic acid for the fluorescence histochemical demonstration of peripheral stores ofnoradrenaline and 5-hydroxytryptamine in whole mounts // Histochemistry. 1975. N. 41. Р. 35–352.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 xml:space="preserve">Garvin H., Passalacqua N., Uh N.M. et </w:t>
      </w:r>
      <w:r>
        <w:t>al. Developments in forensic anthropology: age-at-death estimation // Comp. ForensicAnthropol. 2012. P. 202–223.</w:t>
      </w:r>
    </w:p>
    <w:p w:rsidR="004B6076" w:rsidRDefault="009E1091">
      <w:pPr>
        <w:numPr>
          <w:ilvl w:val="0"/>
          <w:numId w:val="23"/>
        </w:numPr>
        <w:spacing w:after="13"/>
        <w:ind w:right="22" w:hanging="427"/>
      </w:pPr>
      <w:r>
        <w:t>Garvin H.M., Passalacqua N.V. Current practices by forensic anthropologists in adult skeletal age estimation // J. Forensic Sci. 2012.</w:t>
      </w:r>
    </w:p>
    <w:p w:rsidR="004B6076" w:rsidRDefault="009E1091">
      <w:pPr>
        <w:ind w:left="-5" w:right="22"/>
      </w:pPr>
      <w:r>
        <w:t>Vol. 57.</w:t>
      </w:r>
      <w:r>
        <w:t xml:space="preserve"> P. 427–433.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Gawlikоwska-Strоka A., Miklaszewska D., Dzieсiоlоwska-Baran E. et al. Сhanges оf Laryngeal Parametrs during Intrauterine Life //Eur. J. Med. Res. 2010. N. 15 (II). P. 41–45.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Geriatric Forensic Medicine and Pathology / Ed. by Kim A. Collins, Li</w:t>
      </w:r>
      <w:r>
        <w:t>fe Point Inc, South Carolina, Roger W. Byard. CambridgeUniversity Press, 2020.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Giles S., Marquez-Grant N. The validity of osteoarthritic markers to contribute to age-at-death estimation in forensic anthropology: employing an Eastern American sample // J. F</w:t>
      </w:r>
      <w:r>
        <w:t>orensic Res. 2016. Vol. 75. Р. 321–323.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Gillespie G.N., Porteous A.J. Obesity and knee arthroplasty // Knee. 2007. Vol. 14. P. 81–86.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Gilsanz V.O. Ratib A. Digital Atlas of Skeletal Maturity. Springer-Verlag, Heidelberg, Berlin, 2012. 215 р.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Giusti F., Sei</w:t>
      </w:r>
      <w:r>
        <w:t>denari S. Bioengineering Methods and Skin Aging // Textbook of Aging Skin. 2017. P. 1107–1116.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Glogau R.G. Physiologic and structural changes associated with aging skin // Dermatol. Clin. 1997. Р. 15555–15559.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 xml:space="preserve">Gocha T.P., Ingvoldstad M.E., Kolatorowicz A. </w:t>
      </w:r>
      <w:r>
        <w:t>et al. Testing the applicability of six macroscopic skeletal aging techniques on amodern Southeast Asian sample // Forensic Sci. Intern. 2015. Vol. 249. P. 318.e1–318.e7.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Godde K., Hens S. Age-at-death estimation in an Italian historic sample: a test of the Suchey-Brooks and transition analysis methods// Am. J. Phys. Anthropol. 2012. Vol. 149. P. 259–265.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Gоlghate T., Tambe S., Meshram M. et al. Early Оssifiсatiоn оf Thyrоi</w:t>
      </w:r>
      <w:r>
        <w:t>d Сartilage // J. Соnt. Med. Dentistry. 2014. N. 2 (1). P. 51–53.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Golubtsova N.N., Vasilieva O.V., Petrov V.V. et al. Age-related changes of the content of angiomatin and endostatin in human skin //Advances in Gerontology. 2016. N. 6. P. 153–159.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Gràff J.,</w:t>
      </w:r>
      <w:r>
        <w:t xml:space="preserve"> Kim D., Dobbin M.M. et al. Epigenetic regulation of gene expression in physiological and pathological brain processes //Physiol. Rev. 2011. Vol. 91. N. 2. P. 603–649.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Greulich W.W., Pyle S.I. Radiographic atlas of skeletal development of the hand and wris</w:t>
      </w:r>
      <w:r>
        <w:t>t // Stanford: Stanford University Press,1959. 217 р.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Hagelthorn C.L., Alblas A., Greyling L. The accuracy of the Transition Analysis of aging on a heterogenic South African population //Forensic Sci. Intern. 2019. Vol. 297. P. 370.e1–370.e5.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>Hagen M.S., S</w:t>
      </w:r>
      <w:r>
        <w:t>chmidt S., Schulz R. et al. Forensic age assessment of living adolescents and young adults at the Institute of LegalMedicine, Münster, from 2009 to 2018 // Int. J. Legal Med. 2020. Vol. 134. Р. 745–751.</w:t>
      </w:r>
    </w:p>
    <w:p w:rsidR="004B6076" w:rsidRDefault="009E1091">
      <w:pPr>
        <w:numPr>
          <w:ilvl w:val="0"/>
          <w:numId w:val="23"/>
        </w:numPr>
        <w:ind w:right="22" w:hanging="427"/>
      </w:pPr>
      <w:r>
        <w:t xml:space="preserve">Hall F., Forbes S., Rowbotham S., Blau S. Using PMCT </w:t>
      </w:r>
      <w:r>
        <w:t>of Individuals of Known Age to Test the Suchey–Brooks Method of Aging inVictoria, Australia // J. Forensic Sci. 2019. Vol. 64. P. 1782–1787.</w:t>
      </w:r>
    </w:p>
    <w:p w:rsidR="004B6076" w:rsidRDefault="009E1091">
      <w:pPr>
        <w:numPr>
          <w:ilvl w:val="0"/>
          <w:numId w:val="23"/>
        </w:numPr>
        <w:spacing w:after="13"/>
        <w:ind w:right="22" w:hanging="427"/>
      </w:pPr>
      <w:r>
        <w:t xml:space="preserve">Hartnett K.M. Analysis of age-at-death estimation using data from a new, modern autopsy sample // J. Forensic Sci. </w:t>
      </w:r>
      <w:r>
        <w:t>2010. Vol. 55. N.</w:t>
      </w:r>
    </w:p>
    <w:p w:rsidR="004B6076" w:rsidRDefault="009E1091">
      <w:pPr>
        <w:ind w:left="-5" w:right="22"/>
      </w:pPr>
      <w:r>
        <w:t>5. P. 1145–1151.</w:t>
      </w:r>
    </w:p>
    <w:p w:rsidR="004B6076" w:rsidRDefault="009E1091">
      <w:pPr>
        <w:numPr>
          <w:ilvl w:val="0"/>
          <w:numId w:val="24"/>
        </w:numPr>
        <w:spacing w:after="13"/>
        <w:ind w:right="22" w:hanging="427"/>
      </w:pPr>
      <w:r>
        <w:t>Hedreen J.C., Bacon S.J., Price D.L. A modified histochemical technique to visualize acetylcholinesterase containing axons // J.</w:t>
      </w:r>
    </w:p>
    <w:p w:rsidR="004B6076" w:rsidRDefault="009E1091">
      <w:pPr>
        <w:ind w:left="-5" w:right="22"/>
      </w:pPr>
      <w:r>
        <w:t>Histochem. Cytochem. 1985. N. 33. Р. 134–140.</w:t>
      </w:r>
    </w:p>
    <w:p w:rsidR="004B6076" w:rsidRDefault="009E1091">
      <w:pPr>
        <w:numPr>
          <w:ilvl w:val="0"/>
          <w:numId w:val="24"/>
        </w:numPr>
        <w:ind w:right="22" w:hanging="427"/>
      </w:pPr>
      <w:r>
        <w:t>Heinrich J.T., Crowder C., Pinto D.C. Proposal and validation of definitions for intact and fragmented osteons // Annual Meeting ofthe American Association of Physical Anthropologists. Portland: OR, 2012. 215 р.</w:t>
      </w:r>
    </w:p>
    <w:p w:rsidR="004B6076" w:rsidRDefault="009E1091">
      <w:pPr>
        <w:numPr>
          <w:ilvl w:val="0"/>
          <w:numId w:val="24"/>
        </w:numPr>
        <w:ind w:right="22" w:hanging="427"/>
      </w:pPr>
      <w:r>
        <w:t>Hennig C., Thomas D.L., Clemen J.G. et al. D</w:t>
      </w:r>
      <w:r>
        <w:t>oes 3D orientation account for variation in osteon morphology assessed by 2Dhistology? // J. Anat. 2015. Vol. 227. N. 4. P. 497–505.</w:t>
      </w:r>
    </w:p>
    <w:p w:rsidR="004B6076" w:rsidRDefault="009E1091">
      <w:pPr>
        <w:numPr>
          <w:ilvl w:val="0"/>
          <w:numId w:val="24"/>
        </w:numPr>
        <w:ind w:right="22" w:hanging="427"/>
      </w:pPr>
      <w:r>
        <w:t>Hens S.M., Rastelli E., Belcastro G. Age estimation from the human Os coxa: a test on a documented Italian collection // J.</w:t>
      </w:r>
      <w:r>
        <w:t xml:space="preserve"> ForensicSci. 2008. Vol. 53. N. 5. P. 1040–1043.</w:t>
      </w:r>
    </w:p>
    <w:p w:rsidR="004B6076" w:rsidRDefault="009E1091">
      <w:pPr>
        <w:numPr>
          <w:ilvl w:val="0"/>
          <w:numId w:val="24"/>
        </w:numPr>
        <w:ind w:right="22" w:hanging="427"/>
      </w:pPr>
      <w:r>
        <w:t>Hens S.M., Belcastro M.G. Auricular surface aging: a blind test of the revised method on historic Italians from Sardinia // ForensicSci. Int. 2012. Vol. 214. P. 209 e1–e5.</w:t>
      </w:r>
    </w:p>
    <w:p w:rsidR="004B6076" w:rsidRDefault="009E1091">
      <w:pPr>
        <w:numPr>
          <w:ilvl w:val="0"/>
          <w:numId w:val="24"/>
        </w:numPr>
        <w:ind w:right="22" w:hanging="427"/>
      </w:pPr>
      <w:r>
        <w:t>Hens S.M., Godde K. Auricular surfa</w:t>
      </w:r>
      <w:r>
        <w:t>ce aging: comparing two methods that assess morphological change in the ilium with Bayesiananalyses // J. Forensic Sci. 2016. Vol. 61. Suppl. 1. P. S30–38.</w:t>
      </w:r>
    </w:p>
    <w:p w:rsidR="004B6076" w:rsidRDefault="009E1091">
      <w:pPr>
        <w:numPr>
          <w:ilvl w:val="0"/>
          <w:numId w:val="24"/>
        </w:numPr>
        <w:spacing w:after="13"/>
        <w:ind w:right="22" w:hanging="427"/>
      </w:pPr>
      <w:r>
        <w:t>Hershkovitz I., Latimer B., Dutour O. et al. Why do we fail in ageing the skull from the sagittal su</w:t>
      </w:r>
      <w:r>
        <w:t>ture? // Am. J. Phys. Anthropol. 1997.</w:t>
      </w:r>
    </w:p>
    <w:p w:rsidR="004B6076" w:rsidRDefault="009E1091">
      <w:pPr>
        <w:ind w:left="-5" w:right="22"/>
      </w:pPr>
      <w:r>
        <w:t>Vol. 103. P. 393–399.</w:t>
      </w:r>
    </w:p>
    <w:p w:rsidR="004B6076" w:rsidRDefault="009E1091">
      <w:pPr>
        <w:numPr>
          <w:ilvl w:val="0"/>
          <w:numId w:val="24"/>
        </w:numPr>
        <w:ind w:right="22" w:hanging="427"/>
      </w:pPr>
      <w:r>
        <w:t>Hügle T., Geurts J., Nüesch C. et al. Aging and osteoarthritis: an inevitable encounter? // J. Aging Res. 2012. Vol. 2012. Р. 201–204.</w:t>
      </w:r>
    </w:p>
    <w:p w:rsidR="004B6076" w:rsidRDefault="009E1091">
      <w:pPr>
        <w:numPr>
          <w:ilvl w:val="0"/>
          <w:numId w:val="24"/>
        </w:numPr>
        <w:ind w:right="22" w:hanging="427"/>
      </w:pPr>
      <w:r>
        <w:t>Ibrahim J. Pathophysiology of Aging: An Overview of Specific</w:t>
      </w:r>
      <w:r>
        <w:t xml:space="preserve"> Pathophysiological Changes in Elders // In K. Collins &amp; R. Byard(Eds.). Geriatric Forensic Medicine and Pathology. Cambridge: Cambridge University Press, 2020. Р. 19–29.</w:t>
      </w:r>
    </w:p>
    <w:p w:rsidR="004B6076" w:rsidRDefault="009E1091">
      <w:pPr>
        <w:numPr>
          <w:ilvl w:val="0"/>
          <w:numId w:val="24"/>
        </w:numPr>
        <w:ind w:right="22" w:hanging="427"/>
      </w:pPr>
      <w:r>
        <w:t>Jee W.S. The past, present, and future of bone morphometry: its contribution to an im</w:t>
      </w:r>
      <w:r>
        <w:t>proved understanding of bone biology //J. BoneMiner. Metab. 2005. Vol. 23. Р. 1–10.</w:t>
      </w:r>
    </w:p>
    <w:p w:rsidR="004B6076" w:rsidRDefault="009E1091">
      <w:pPr>
        <w:numPr>
          <w:ilvl w:val="0"/>
          <w:numId w:val="24"/>
        </w:numPr>
        <w:spacing w:after="13"/>
        <w:ind w:right="22" w:hanging="427"/>
      </w:pPr>
      <w:r>
        <w:t>Jellinger K.A., Attems J. Neuropathological approaches to cerebral aging and neuroplasticity // Dial. Clin. Neurosci. 2013. Vol. 15. N.</w:t>
      </w:r>
    </w:p>
    <w:p w:rsidR="004B6076" w:rsidRDefault="009E1091">
      <w:pPr>
        <w:ind w:left="-5" w:right="22"/>
      </w:pPr>
      <w:r>
        <w:t>1. P. 29–43.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Kacar E., Unlu E., Beke</w:t>
      </w:r>
      <w:r>
        <w:t>r-Acay M. et al. Age estimation by assessing the vertebral osteophytes with the aid of 3D CT imaging // Aust.J. Forensic Sci. 2017. Vol. 49. P. 449–458.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Kakasheva-Mazhenkovska L., Milenkova L., Kostovska N., Gjokik G. Histomorphometrical characteristics of</w:t>
      </w:r>
      <w:r>
        <w:t xml:space="preserve"> human skin fromcapillitium in subjects of different age // Prilozi. 2011. Vol. 32. N. 2. P. 105–118.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Kanaki T., Makrantonaki E., Zouboulis C. Biomarkers of skin aging // Rev. Endocr. Metab. Dis. 2016. Vol. 17. N. 3. P. 433–442.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Kanitakis J. Anatomy, histo</w:t>
      </w:r>
      <w:r>
        <w:t>logy and immunohistochemistry of normal human skin // Eur. J. Dermatol. 2002. Vol. 12. N. 4. Р. 390–399.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Karinen R.C. Histomorphometry of the human rib cortex in methamphetamine users: A thesis submitted in partial fulfillment of therequirements for the de</w:t>
      </w:r>
      <w:r>
        <w:t>gree of Master of Arts in Anthropology Boise State University. December, 2009. 346 р.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Kaur R., Kumar Singla R., Laxmi V. The mоrphоlоgy and mоrphоmetry оf adult human thyrоid сartilage-a сadaveriс study in NоrthIndian pоpulatiоn // J. Surg. 2014. N. 3.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Kem</w:t>
      </w:r>
      <w:r>
        <w:t>kes-Grottenthaler A. Aging through the age: historical perspectives on age indicator methods // In: R.D. Hoppa, J.W. Vaupel,eds. Paleodemography: Age Distributions from Skeletal Samples. Cambridge: Cambridge University Press, 2002. Р. 48–72.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Keough N., L’A</w:t>
      </w:r>
      <w:r>
        <w:t>bbé E.N., Steyn M. The evaluation of age-related histomorphometric variables in a cadaver sample of lowersocioeconomic status: implications for estimating age at death // Forensic Sci. Intern. 2009. Vol. 191 (1–3). P. 12–15.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Kerley E.R. The microscopic det</w:t>
      </w:r>
      <w:r>
        <w:t>ermination of age in human-bone // Am. J. Phys. Anthropol. 1965. Vol. 23. P. 149–163.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Key C.A., Aiello L.C., Molleson T. Cranial suture closure and its implications for age estimation // Int. J. Osteoarchaeol. 1994. Vol. 4. P. 193–207.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Kikuchi K., Masuda Y., Yamashita T. et al. A new quantitative evaluation method for age-related changes of individual pigmentedspots in facial skin // Skin Res. Technol. 2016. Vol. 22. N. 3. P. 318–324.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Kikuchi K., Masuda Y., Yamashita T. et al. Image anal</w:t>
      </w:r>
      <w:r>
        <w:t>ysis of skin color heterogeneity focusing on skin chromophores and the agerelated changes in facial skin // Skin Res. Technol. 2015. Vol. 21. N. 2. P. 175–183.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Kimmerle E.H., Jantz R.L., Konigsberg L.W., Baraybar J.P. Skeletal estimation and identification</w:t>
      </w:r>
      <w:r>
        <w:t xml:space="preserve"> in American and East Europeanpopulations // J. Forensic Sci. 2008. Vol. 53. N. 3. P. 524–532.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Kinn P., Holdren G., Westermeyer B. et al. Age-dependent variation in cytokines, chemokines, and biologic analytes rinsed from thesurface of healthy human skin /</w:t>
      </w:r>
      <w:r>
        <w:t>/ Sci. Rep. 2015. N. 5. Р. 27–31.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Komar D., Grivas C. Manufactured populations: what do contemporary reference skeletal collections represent? A comparative studyusing the Maxwell museum documented collection // Am. J. Phys. Anthrop. 2008. Vol. 137. P. 224</w:t>
      </w:r>
      <w:r>
        <w:t>–233.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Konigsberg L.W., Hens S.M., Jantz L.M., Jungers W.L. Stature estimation and calibration: Bayesian and maximum likelihoodperspectives in physical anthropology // Phys. Anthropol. 1998. Vol. 27. P. 65–92.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Kotěrová A., Navega D., Štepanovský M. et al. A</w:t>
      </w:r>
      <w:r>
        <w:t>ge estimation of adult human remains from hip bones using advanced methods //Forensic Sci. Intern. 2018. Vol. 287. P. 163–175.</w:t>
      </w:r>
    </w:p>
    <w:p w:rsidR="004B6076" w:rsidRDefault="009E1091">
      <w:pPr>
        <w:numPr>
          <w:ilvl w:val="0"/>
          <w:numId w:val="25"/>
        </w:numPr>
        <w:spacing w:after="13"/>
        <w:ind w:right="22" w:hanging="427"/>
      </w:pPr>
      <w:r>
        <w:t>Kourou K., Exarchos T.P., Exarchos K.P. et al. Machine learning applications in cancer prognosis and prediction // Comp. Struct.</w:t>
      </w:r>
    </w:p>
    <w:p w:rsidR="004B6076" w:rsidRDefault="009E1091">
      <w:pPr>
        <w:ind w:left="-5" w:right="22"/>
      </w:pPr>
      <w:r>
        <w:t>Biotech. J. 2015. Vol. 13. C. 8–17.</w:t>
      </w:r>
    </w:p>
    <w:p w:rsidR="004B6076" w:rsidRDefault="009E1091">
      <w:pPr>
        <w:numPr>
          <w:ilvl w:val="0"/>
          <w:numId w:val="25"/>
        </w:numPr>
        <w:spacing w:after="13"/>
        <w:ind w:right="22" w:hanging="427"/>
      </w:pPr>
      <w:r>
        <w:t>Kоvaс T., Pоpоvié B., Marjanоviс K. et al. Mоrphоmetriс сharaсteristiсs оf thyrоid сartilage in peоple оf Eastern Сrоatia // Соll.</w:t>
      </w:r>
    </w:p>
    <w:p w:rsidR="004B6076" w:rsidRDefault="009E1091">
      <w:pPr>
        <w:ind w:left="-5" w:right="22"/>
      </w:pPr>
      <w:r>
        <w:t>Antrоpоl. 2010. N. 34 (3). P. 1069–1073.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Koyano Y., Nakagami G., Iizaka S. et al. Skin pr</w:t>
      </w:r>
      <w:r>
        <w:t>operty can predict the development of skin tears among elderly patients: aprospective cohort study // Intern. Wound J. 2017. Vol. 14. N. 4. P. 691–697.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Kozarova A., Kozar M., Minarikova E. et al. Identification of the Age Related Skin Changes Using High-Fr</w:t>
      </w:r>
      <w:r>
        <w:t>equency Ultrasound //ActaMed. Martiniana. 2017. Vol. 17. N. 1. P. 15–20.</w:t>
      </w:r>
    </w:p>
    <w:p w:rsidR="004B6076" w:rsidRDefault="009E1091">
      <w:pPr>
        <w:numPr>
          <w:ilvl w:val="0"/>
          <w:numId w:val="25"/>
        </w:numPr>
        <w:ind w:right="22" w:hanging="427"/>
      </w:pPr>
      <w:r>
        <w:t>Krishan K., Kanchan T., Menezes G., Ghosh A. Forensic anthropology caseworkessential methodological considerations in statureestimation // J. Forensic Nurs. 2012. Vol. 8. N. 1. Р. 45–</w:t>
      </w:r>
      <w:r>
        <w:t>50.</w:t>
      </w:r>
    </w:p>
    <w:p w:rsidR="004B6076" w:rsidRDefault="009E1091">
      <w:pPr>
        <w:numPr>
          <w:ilvl w:val="0"/>
          <w:numId w:val="25"/>
        </w:numPr>
        <w:spacing w:after="13"/>
        <w:ind w:right="22" w:hanging="427"/>
      </w:pPr>
      <w:r>
        <w:t>Lachance L., Sowers M., Jamadar D. et al. The experience of pain and emergent osteoarthritis of the knee // Osteoarthr. Cartilage.</w:t>
      </w:r>
    </w:p>
    <w:p w:rsidR="004B6076" w:rsidRDefault="009E1091">
      <w:pPr>
        <w:ind w:left="-5" w:right="22"/>
      </w:pPr>
      <w:r>
        <w:t>2001. Vol. 9. P. 527–532.</w:t>
      </w:r>
    </w:p>
    <w:p w:rsidR="004B6076" w:rsidRDefault="009E1091">
      <w:pPr>
        <w:spacing w:after="13"/>
        <w:ind w:left="-5" w:right="22"/>
      </w:pPr>
      <w:r>
        <w:t>300. Langley-Shirley N., Jantz R.L. A Bayesian approach to age estimation in modern Americans from the clavicle // J. Forensic Sci.</w:t>
      </w:r>
    </w:p>
    <w:p w:rsidR="004B6076" w:rsidRDefault="009E1091">
      <w:pPr>
        <w:ind w:left="-5" w:right="22"/>
      </w:pPr>
      <w:r>
        <w:t>2010. N. 55. Р. 571–583.</w:t>
      </w:r>
    </w:p>
    <w:p w:rsidR="004B6076" w:rsidRDefault="009E1091">
      <w:pPr>
        <w:numPr>
          <w:ilvl w:val="0"/>
          <w:numId w:val="26"/>
        </w:numPr>
        <w:ind w:right="22" w:hanging="427"/>
      </w:pPr>
      <w:r>
        <w:t>Lemaitre H., Goldman A., Sambataro F. et al. Normal age-related brain morphometric changes: Nonunif</w:t>
      </w:r>
      <w:r>
        <w:t>ormity acrosscorticalthickness, surface area and grey matter volume? // Neurobiol. Aging. 2012. Vol. 33. N. 3. P. 617.e1–617.e9.</w:t>
      </w:r>
    </w:p>
    <w:p w:rsidR="004B6076" w:rsidRDefault="009E1091">
      <w:pPr>
        <w:numPr>
          <w:ilvl w:val="0"/>
          <w:numId w:val="26"/>
        </w:numPr>
        <w:ind w:right="22" w:hanging="427"/>
      </w:pPr>
      <w:r>
        <w:t>Liem. F., Varoquaux G., Kynast J. et al. Predicting brain-age from multimodal imaging data captures cognitive impairment //Neur</w:t>
      </w:r>
      <w:r>
        <w:t>oImage. 2016.</w:t>
      </w:r>
    </w:p>
    <w:p w:rsidR="004B6076" w:rsidRDefault="009E1091">
      <w:pPr>
        <w:numPr>
          <w:ilvl w:val="0"/>
          <w:numId w:val="26"/>
        </w:numPr>
        <w:ind w:right="22" w:hanging="427"/>
      </w:pPr>
      <w:r>
        <w:t>Liu B., Zhang L., Wang X. Scientometric profile of global rice research during 1985–2014 // Curr. sci. 2017. Vol. 112. N. 5. Р. 1003–1011.</w:t>
      </w:r>
    </w:p>
    <w:p w:rsidR="004B6076" w:rsidRDefault="009E1091">
      <w:pPr>
        <w:numPr>
          <w:ilvl w:val="0"/>
          <w:numId w:val="26"/>
        </w:numPr>
        <w:spacing w:after="13"/>
        <w:ind w:right="22" w:hanging="427"/>
      </w:pPr>
      <w:r>
        <w:t>Liu F., Lei G., Jia X.D. et al. Worldwide trends of forensic dentistry: a 20-year bibliometric analysis in Pubmed // Rom. J. Legal Med.</w:t>
      </w:r>
    </w:p>
    <w:p w:rsidR="004B6076" w:rsidRDefault="009E1091">
      <w:pPr>
        <w:ind w:left="-5" w:right="22"/>
      </w:pPr>
      <w:r>
        <w:t>2016. Vol. 24. N. 3. Р. 236–241.</w:t>
      </w:r>
    </w:p>
    <w:p w:rsidR="004B6076" w:rsidRDefault="009E1091">
      <w:pPr>
        <w:numPr>
          <w:ilvl w:val="0"/>
          <w:numId w:val="27"/>
        </w:numPr>
        <w:spacing w:after="13"/>
        <w:ind w:right="22" w:hanging="427"/>
      </w:pPr>
      <w:r>
        <w:t>Loeser R.F., Collins J.A., Diekman B.O. Ageing and the pathogenesis of osteoarthritis /</w:t>
      </w:r>
      <w:r>
        <w:t>/ Nat. Rev. Rheumatol. 2016. Vol. 12. N. 7. P.</w:t>
      </w:r>
    </w:p>
    <w:p w:rsidR="004B6076" w:rsidRDefault="009E1091">
      <w:pPr>
        <w:ind w:left="-5" w:right="22"/>
      </w:pPr>
      <w:r>
        <w:t>412.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Longo C. Well-aging: Early Detection of Skin Aging Signs // Dermatol. Clin. 2016. Vol. 34. N. 4. P. 513–518.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Lotteringa N., Reynolds M.S., MacGregor D.M. et al. Morphometric modelling of ageing in the hum</w:t>
      </w:r>
      <w:r>
        <w:t>an pubic symphysis: Sexualdimorphism in an Australian population // Forensic Sci. Intern. 2014. Vol. 236. Р. 195.e1–195.e11.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Luchikhina L.V., Mendel O.I., Mendel V., Golukhov G.N. Osteoarthritis and age. Role of aging in the etiology and pathogenesis ofthe</w:t>
      </w:r>
      <w:r>
        <w:t xml:space="preserve"> disease // Modern Rheumatol. J. 2017. Vol. 11. N. 1. P. 4–11.</w:t>
      </w:r>
    </w:p>
    <w:p w:rsidR="004B6076" w:rsidRDefault="009E1091">
      <w:pPr>
        <w:numPr>
          <w:ilvl w:val="0"/>
          <w:numId w:val="27"/>
        </w:numPr>
        <w:spacing w:after="13"/>
        <w:ind w:right="22" w:hanging="427"/>
      </w:pPr>
      <w:r>
        <w:t>Maat G.J., Maes A., Aarents M.J., Nagelkerke N.J.D. Histological age prediction from the femur in a contemporary Dutch sample:</w:t>
      </w:r>
    </w:p>
    <w:p w:rsidR="004B6076" w:rsidRDefault="009E1091">
      <w:pPr>
        <w:ind w:left="-5" w:right="22"/>
      </w:pPr>
      <w:r>
        <w:t>The decrease of nonremodeled bone in the anterior cortex // J. For</w:t>
      </w:r>
      <w:r>
        <w:t>ensic Sci. 2006. Vol. 51. N. 2. P. 230–237.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Maсkie E.J., Ahmed Y.A., Tatarсzuсh L. et al. Endосhоndral оssifiсatiоn. Hоw сartilage is соnverted intо bоne in the develоpingskeletоn // Intern. J. Biосhem. Сell Biоl. 2008. N. 40. P. 46–62.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Mackie E.J., Tatarc</w:t>
      </w:r>
      <w:r>
        <w:t>zuch L., Miriams M. The skeleton: A multifunctional complex organ. The growth plate chondrocyte andendochondral ossification // J. Endocrinol. 2011. Vol. 211. Р. 109–121.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Maggiano C.M., Maggiano I.S., Tiesler V.G. et al. Methods and theory in bone modeling</w:t>
      </w:r>
      <w:r>
        <w:t xml:space="preserve"> drift: Comparing spatial analyses of primarybone distributions in the human humerus // J. Anat. 2016. Vol. 228. P. 190–202.</w:t>
      </w:r>
    </w:p>
    <w:p w:rsidR="004B6076" w:rsidRDefault="009E1091">
      <w:pPr>
        <w:numPr>
          <w:ilvl w:val="0"/>
          <w:numId w:val="27"/>
        </w:numPr>
        <w:spacing w:after="0"/>
        <w:ind w:right="22" w:hanging="427"/>
      </w:pPr>
      <w:r>
        <w:t>Maggiano I.S., Maggiano C.M., Clement J.G. et al. Three-dimensional reconstruction of Haversian systems in human cortical boneusing</w:t>
      </w:r>
      <w:r>
        <w:t xml:space="preserve"> syn-chrotron radiation-based micro-CT: Morphology and quantification of branching and transverse connections across age // J.</w:t>
      </w:r>
    </w:p>
    <w:p w:rsidR="004B6076" w:rsidRDefault="009E1091">
      <w:pPr>
        <w:ind w:left="-5" w:right="22"/>
      </w:pPr>
      <w:r>
        <w:t>Anat. 2016. Vol. 228. N. 5. P. 719–732.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Makrantonaki E., Vogel M., Scharffetter-Kochanek K. et al. Molecular understanding of ext</w:t>
      </w:r>
      <w:r>
        <w:t>rinsic and intrinsic processes // DerHautarzt. 2015. Vol. 66. P. 730–737.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 xml:space="preserve">Mamoshina P., Kochetov K., Putin E.F. et al. Population Specific Biomarkers of Human Aging: A Big Data Study Using SouthKorean, Canadian, and Eastern European Patient Populations // </w:t>
      </w:r>
      <w:r>
        <w:t>The J. Gerontol. Series A. 2018. Vol. 73. N. 11. P. 1482–1490.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Mansour H.A., Fuhrmann A., Paradowski I. et al. The role of forensic medicine and forensic dentistry in estimating the chronologicalage of living individuals in Hamburg, Germany // Int. J. Lega</w:t>
      </w:r>
      <w:r>
        <w:t>l Med. 2017. Vol. 131. Р. 593–601.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Mariette E.C. et al. Morphometric skin characteristics dependenton chronological and biological age: the Leiden Longevity Study //AGE. 2012. Vol. 34. P. 1543–1552.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 xml:space="preserve">Martin R.B. Is all cortical bone remodeling initiated by </w:t>
      </w:r>
      <w:r>
        <w:t>microdamage? // Bone. 2002. Vol. 30. P. 8–13.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Mavrych V., Bolgova O., Ganguly P., Kashchenko S. Age-related changes of lumbar vertebral body Morphometry // Austin. J. Anat.2014. Vol. 1. Р. 1014.</w:t>
      </w:r>
    </w:p>
    <w:p w:rsidR="004B6076" w:rsidRDefault="009E1091">
      <w:pPr>
        <w:numPr>
          <w:ilvl w:val="0"/>
          <w:numId w:val="27"/>
        </w:numPr>
        <w:spacing w:after="13"/>
        <w:ind w:right="22" w:hanging="427"/>
      </w:pPr>
      <w:r>
        <w:t>Mays S. The effect of factors other than age upon skeletal ag</w:t>
      </w:r>
      <w:r>
        <w:t>e indicators in the adult // Ann. Hum. Biol. 2015. Vol. 42. N. 4. Р. 332–</w:t>
      </w:r>
    </w:p>
    <w:p w:rsidR="004B6076" w:rsidRDefault="009E1091">
      <w:pPr>
        <w:ind w:left="-5" w:right="22"/>
      </w:pPr>
      <w:r>
        <w:t>341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McLean J.P. et al. High-speed collagen fiber modeling and orientation quantification for optical coherence tomography imaging //Opt. Express. 2019. Vol. 27. Р. 14457.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Meindl R.S., Lovejoy C.O. Ectocranial suture closure: a revised method for the determination of skeletal age at death based on thelateral-anterior sutures // Am. J. Phys. Anthropol. 1985. Vol. 68. P. 57–66.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Meissner C., Ritz-Timme S. Molecular pathology an</w:t>
      </w:r>
      <w:r>
        <w:t>d age estimation // Forensic Sci. Intern. 2010. Vol. 203. N. 1–3. P. 34–43.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Merritt С.Е. Inaccuracy and bias in adult skeletal age estimation: Assessing the reliability of eight methods on individuals of varyingbody sizes // Forensic Sci. Intern. 2017. Vol</w:t>
      </w:r>
      <w:r>
        <w:t>. 275. P. 315.e1–315.e11.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Milovanovic P., Busse B. Phenomenon of osteocyte lacunar mineralization: indicator of former osteocyte death and a novel markerof impaired bone quality? // Endocr. Connect. 2020. Vol. 9. N. 4. Р. 70–80.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Mizukoshi K., Hirayama K. A</w:t>
      </w:r>
      <w:r>
        <w:t>ge-related changes in dermal fiber-like structures in facial cheeks // Skin Res. Tech. 2016. Vol. 23. N. 3. P. 312–320.</w:t>
      </w:r>
    </w:p>
    <w:p w:rsidR="004B6076" w:rsidRDefault="009E1091">
      <w:pPr>
        <w:numPr>
          <w:ilvl w:val="0"/>
          <w:numId w:val="27"/>
        </w:numPr>
        <w:ind w:right="22" w:hanging="427"/>
      </w:pPr>
      <w:r>
        <w:t>Modina S.C., Andreis M.E., Moioli M., Di Giancamillo M. Age assessment in puppies: Coming to terms with forensic requests //Forensic Sci</w:t>
      </w:r>
      <w:r>
        <w:t>. Intern. 2019. Vol. 297. P. 8–15.</w:t>
      </w:r>
    </w:p>
    <w:p w:rsidR="004B6076" w:rsidRDefault="009E1091">
      <w:pPr>
        <w:numPr>
          <w:ilvl w:val="0"/>
          <w:numId w:val="27"/>
        </w:numPr>
        <w:spacing w:after="13"/>
        <w:ind w:right="22" w:hanging="427"/>
      </w:pPr>
      <w:r>
        <w:t>Monsalve T., Hefner J.T. Macromorphoscopic trait expression in a cranial sample from Medellín, Colombia // Forensic Sci. Intern.</w:t>
      </w:r>
    </w:p>
    <w:p w:rsidR="004B6076" w:rsidRDefault="009E1091">
      <w:pPr>
        <w:ind w:left="-5" w:right="22"/>
      </w:pPr>
      <w:r>
        <w:t>2016. Vol. 266. P. 574.e1–574.e8.</w:t>
      </w:r>
    </w:p>
    <w:p w:rsidR="004B6076" w:rsidRDefault="009E1091">
      <w:pPr>
        <w:numPr>
          <w:ilvl w:val="0"/>
          <w:numId w:val="28"/>
        </w:numPr>
        <w:ind w:right="22" w:hanging="427"/>
      </w:pPr>
      <w:r>
        <w:t>Moraitis K.A., Zorba E., Eliopoulos C., Fox S.C. Test of t</w:t>
      </w:r>
      <w:r>
        <w:t>he Revised Auricular Surface Aging Method on a Modern EuropeanPopulation // J. Forensic Sci. 2014. Vol. 59. N. 1. P. 188–194.</w:t>
      </w:r>
    </w:p>
    <w:p w:rsidR="004B6076" w:rsidRDefault="009E1091">
      <w:pPr>
        <w:numPr>
          <w:ilvl w:val="0"/>
          <w:numId w:val="28"/>
        </w:numPr>
        <w:ind w:right="22" w:hanging="427"/>
      </w:pPr>
      <w:r>
        <w:t>Morris Z., Crowder C. Evaluation of Histomorphometrics: Osteon Population Density. Annual Meeting of the SouthernAnthropological S</w:t>
      </w:r>
      <w:r>
        <w:t>ociety. Chattanooga: TN, 2005. 211 р.</w:t>
      </w:r>
    </w:p>
    <w:p w:rsidR="004B6076" w:rsidRDefault="009E1091">
      <w:pPr>
        <w:numPr>
          <w:ilvl w:val="0"/>
          <w:numId w:val="28"/>
        </w:numPr>
        <w:spacing w:after="13"/>
        <w:ind w:right="22" w:hanging="427"/>
      </w:pPr>
      <w:r>
        <w:t>Morrison J.H., Baxter M.G. The ageing cortical synapse: Hallmarks and implications for cognitive decline // Nat. Rev. Neurosci. 2012.</w:t>
      </w:r>
    </w:p>
    <w:p w:rsidR="004B6076" w:rsidRDefault="009E1091">
      <w:pPr>
        <w:ind w:left="-5" w:right="22"/>
      </w:pPr>
      <w:r>
        <w:t>Vol. 13. N. 4. P. 240–250.</w:t>
      </w:r>
    </w:p>
    <w:p w:rsidR="004B6076" w:rsidRDefault="009E1091">
      <w:pPr>
        <w:numPr>
          <w:ilvl w:val="0"/>
          <w:numId w:val="28"/>
        </w:numPr>
        <w:spacing w:after="0"/>
        <w:ind w:right="22" w:hanging="427"/>
      </w:pPr>
      <w:r>
        <w:t>Maggiano I.S., Maggiano C.M., Clement J.G. et al. Three-d</w:t>
      </w:r>
      <w:r>
        <w:t>imensional reconstruction of Haversian systems in human cortical boneusing synchrotron radiation-based micro-CT: Morphology and quantification of branching and transverse connections across age // J.</w:t>
      </w:r>
    </w:p>
    <w:p w:rsidR="004B6076" w:rsidRDefault="009E1091">
      <w:pPr>
        <w:ind w:left="-5" w:right="22"/>
      </w:pPr>
      <w:r>
        <w:t>Anat. 2016. Vol. 228. N. 5. P. 719–732. doi: 10.1111/joa</w:t>
      </w:r>
      <w:r>
        <w:t>.12430.</w:t>
      </w:r>
    </w:p>
    <w:p w:rsidR="004B6076" w:rsidRDefault="009E1091">
      <w:pPr>
        <w:numPr>
          <w:ilvl w:val="0"/>
          <w:numId w:val="28"/>
        </w:numPr>
        <w:spacing w:after="13"/>
        <w:ind w:right="22" w:hanging="427"/>
      </w:pPr>
      <w:r>
        <w:t>Mоhini M.J., Jоshi Sharada S., JоshiSubhash D. Mоrphоmetriс study оf thyrоid сartilage in Western India // Int. J. Anat. Res. 2015.</w:t>
      </w:r>
    </w:p>
    <w:p w:rsidR="004B6076" w:rsidRDefault="009E1091">
      <w:pPr>
        <w:ind w:left="-5" w:right="22"/>
      </w:pPr>
      <w:r>
        <w:t>Vol. 3. N. 2. P. 1028–1033.</w:t>
      </w:r>
    </w:p>
    <w:p w:rsidR="004B6076" w:rsidRDefault="009E1091">
      <w:pPr>
        <w:numPr>
          <w:ilvl w:val="0"/>
          <w:numId w:val="28"/>
        </w:numPr>
        <w:spacing w:after="13"/>
        <w:ind w:right="22" w:hanging="427"/>
      </w:pPr>
      <w:r>
        <w:t>Mostany R., Anstey J.E., Crump K.L. et al. Altered synaptic dynamics during normal brain</w:t>
      </w:r>
      <w:r>
        <w:t xml:space="preserve"> aging // J. Neurosci. 2013. Vol. 33. N. 9. P.</w:t>
      </w:r>
    </w:p>
    <w:p w:rsidR="004B6076" w:rsidRDefault="009E1091">
      <w:pPr>
        <w:ind w:left="-5" w:right="22"/>
      </w:pPr>
      <w:r>
        <w:t>4094–4104.</w:t>
      </w:r>
    </w:p>
    <w:p w:rsidR="004B6076" w:rsidRDefault="009E1091">
      <w:pPr>
        <w:numPr>
          <w:ilvl w:val="0"/>
          <w:numId w:val="28"/>
        </w:numPr>
        <w:ind w:right="22" w:hanging="427"/>
      </w:pPr>
      <w:r>
        <w:t>Mughal A., Hassan N., Ahmed A. Bone age assessment methods: a critical review // Pak. J. Med. Sci. 2014. Vol. 30. P. 211–215.</w:t>
      </w:r>
    </w:p>
    <w:p w:rsidR="004B6076" w:rsidRDefault="009E1091">
      <w:pPr>
        <w:numPr>
          <w:ilvl w:val="0"/>
          <w:numId w:val="28"/>
        </w:numPr>
        <w:spacing w:after="13"/>
        <w:ind w:right="22" w:hanging="427"/>
      </w:pPr>
      <w:r>
        <w:t>Mulhern D.M., Jones E.B. Test of revised method of age estimation from the auricular surface of the Ilium // Am. J. Phys. Anthropol.</w:t>
      </w:r>
    </w:p>
    <w:p w:rsidR="004B6076" w:rsidRDefault="009E1091">
      <w:pPr>
        <w:ind w:left="-5" w:right="22"/>
      </w:pPr>
      <w:r>
        <w:t>2005. Vol. 126. P. 61–65.</w:t>
      </w:r>
    </w:p>
    <w:p w:rsidR="004B6076" w:rsidRDefault="009E1091">
      <w:pPr>
        <w:numPr>
          <w:ilvl w:val="0"/>
          <w:numId w:val="29"/>
        </w:numPr>
        <w:ind w:right="22" w:hanging="427"/>
      </w:pPr>
      <w:r>
        <w:t>Mupparapu M., Vuppalapati A. Deteсtiоn оf an early оssifiсatiоnоf thyrоid сartilage in an adоlesс</w:t>
      </w:r>
      <w:r>
        <w:t>ent оn a lateral сephalоmetriсradiоgraph // Angl. Оrthоd. 2002. N. 72. P. 576–578.</w:t>
      </w:r>
    </w:p>
    <w:p w:rsidR="004B6076" w:rsidRDefault="009E1091">
      <w:pPr>
        <w:numPr>
          <w:ilvl w:val="0"/>
          <w:numId w:val="29"/>
        </w:numPr>
        <w:spacing w:after="13"/>
        <w:ind w:right="22" w:hanging="427"/>
      </w:pPr>
      <w:r>
        <w:t>Mupparapu M., Vuppalapati A. Оssifiсatiоn оf laryngeal сartilages оn lateral сephalоmetriс radiоgraphs // Angl. Оrthоd. 2005. Vоl.</w:t>
      </w:r>
    </w:p>
    <w:p w:rsidR="004B6076" w:rsidRDefault="009E1091">
      <w:pPr>
        <w:ind w:left="-5" w:right="22"/>
      </w:pPr>
      <w:r>
        <w:t>75. N. 2. Р. 196–201.</w:t>
      </w:r>
    </w:p>
    <w:p w:rsidR="004B6076" w:rsidRDefault="009E1091">
      <w:pPr>
        <w:numPr>
          <w:ilvl w:val="0"/>
          <w:numId w:val="30"/>
        </w:numPr>
        <w:ind w:right="22" w:hanging="427"/>
      </w:pPr>
      <w:r>
        <w:t>Musilová B., Dupej J., Brůžek J. et al. Sex and ancestry related differences between two Central European populations determinedusing exocranial meshes // Forensic Sci. Intern. 2019. Vol. 297. P. 364–369.</w:t>
      </w:r>
    </w:p>
    <w:p w:rsidR="004B6076" w:rsidRDefault="009E1091">
      <w:pPr>
        <w:numPr>
          <w:ilvl w:val="0"/>
          <w:numId w:val="30"/>
        </w:numPr>
        <w:ind w:right="22" w:hanging="427"/>
      </w:pPr>
      <w:r>
        <w:t>Mustafa Z., Chapman K., Irven C. et al. Linkage ana</w:t>
      </w:r>
      <w:r>
        <w:t>lysis of candidate genes as susceptibility loci for osteoarthritis-suggestive linkageof COL9A1 to female hip osteoarthritis // Rheumatology. 2000. Vol. 39. P. 299–306.</w:t>
      </w:r>
    </w:p>
    <w:p w:rsidR="004B6076" w:rsidRDefault="009E1091">
      <w:pPr>
        <w:numPr>
          <w:ilvl w:val="0"/>
          <w:numId w:val="30"/>
        </w:numPr>
        <w:ind w:right="22" w:hanging="427"/>
      </w:pPr>
      <w:r>
        <w:t>Naimо P., О'Dоnnell С., Bassed R. The use оf соmputed tоmоgraphy in determining develоpm</w:t>
      </w:r>
      <w:r>
        <w:t>ental сhanges, anоmalies, andtrauma оf the thyrоid сartilage // Fоrensiс Sсi. Med. Pathоl. 2013. Vоl. 9. N. 3. Р. 377–385.</w:t>
      </w:r>
    </w:p>
    <w:p w:rsidR="004B6076" w:rsidRDefault="009E1091">
      <w:pPr>
        <w:numPr>
          <w:ilvl w:val="0"/>
          <w:numId w:val="30"/>
        </w:numPr>
        <w:ind w:right="22" w:hanging="427"/>
      </w:pPr>
      <w:r>
        <w:t xml:space="preserve">Newton V., McConnell J., Hibbert S. et al. Skin aging: molecular pathology, dermal remodelling and the imaging revolution //Giornale </w:t>
      </w:r>
      <w:r>
        <w:t>Italiano di Dermatologia e Venereologia. 2015. Vol. 150. N. 6. P. 665–674.</w:t>
      </w:r>
    </w:p>
    <w:p w:rsidR="004B6076" w:rsidRDefault="009E1091">
      <w:pPr>
        <w:numPr>
          <w:ilvl w:val="0"/>
          <w:numId w:val="30"/>
        </w:numPr>
        <w:ind w:right="22" w:hanging="427"/>
      </w:pPr>
      <w:r>
        <w:t>Nikita E., Xanthopoulou P., Kranioti E.F. An evaluation of Bayesian age estimation using the auricular surface in modern Greekmaterial // Forensic Sci. Intern. 2018. Vol. 291. P. 1–</w:t>
      </w:r>
      <w:r>
        <w:t>11.</w:t>
      </w:r>
    </w:p>
    <w:p w:rsidR="004B6076" w:rsidRDefault="009E1091">
      <w:pPr>
        <w:numPr>
          <w:ilvl w:val="0"/>
          <w:numId w:val="30"/>
        </w:numPr>
        <w:spacing w:after="13"/>
        <w:ind w:right="22" w:hanging="427"/>
      </w:pPr>
      <w:r>
        <w:t>Nikita E., Nikitas P. Skeletal age-at-death estimation: Bayesian versus regression methods // Forensic Sci. Intern. 2019. Vol. 297. P.</w:t>
      </w:r>
    </w:p>
    <w:p w:rsidR="004B6076" w:rsidRDefault="009E1091">
      <w:pPr>
        <w:spacing w:after="13"/>
        <w:ind w:left="-5" w:right="22"/>
      </w:pPr>
      <w:r>
        <w:t>1–11.</w:t>
      </w:r>
    </w:p>
    <w:p w:rsidR="004B6076" w:rsidRDefault="009E1091">
      <w:pPr>
        <w:numPr>
          <w:ilvl w:val="0"/>
          <w:numId w:val="30"/>
        </w:numPr>
        <w:ind w:right="22" w:hanging="427"/>
      </w:pPr>
      <w:r>
        <w:t>Nikolakis G., Zoschke C., Makrantonaki E. et al. Experimentelle Modelle humaner Hautalterung // Der Hautarzt. 2</w:t>
      </w:r>
      <w:r>
        <w:t>016. Vol. 67. N. 2. P. 93–98.</w:t>
      </w:r>
    </w:p>
    <w:p w:rsidR="004B6076" w:rsidRDefault="009E1091">
      <w:pPr>
        <w:numPr>
          <w:ilvl w:val="0"/>
          <w:numId w:val="30"/>
        </w:numPr>
        <w:spacing w:after="13"/>
        <w:ind w:right="22" w:hanging="427"/>
      </w:pPr>
      <w:r>
        <w:t>Nikоliс V., Jо-Оsvatiс A., Radié R. Mоrphоmetriс сharaсteristiсs оf thyrоid сartilage in peоple оf Eastern Сrоatia // Соll. Antrоpоl.</w:t>
      </w:r>
    </w:p>
    <w:p w:rsidR="004B6076" w:rsidRDefault="009E1091">
      <w:pPr>
        <w:ind w:left="-5" w:right="22"/>
      </w:pPr>
      <w:r>
        <w:t>2010. Vol. 34. N. 3. P. 1069–1073.</w:t>
      </w:r>
    </w:p>
    <w:p w:rsidR="004B6076" w:rsidRDefault="009E1091">
      <w:pPr>
        <w:numPr>
          <w:ilvl w:val="0"/>
          <w:numId w:val="31"/>
        </w:numPr>
        <w:ind w:right="22" w:hanging="427"/>
      </w:pPr>
      <w:r>
        <w:t>O’Bright L.? Peckmann T.R., Meek S. Is «Latin American» population-specific? Testing sex discriminant functions from the Mexicantibia on a Chilean sample // Forensic Sci. Intern. 2018. Vol. 287. P. 223.e1–223.e7.</w:t>
      </w:r>
    </w:p>
    <w:p w:rsidR="004B6076" w:rsidRDefault="009E1091">
      <w:pPr>
        <w:numPr>
          <w:ilvl w:val="0"/>
          <w:numId w:val="31"/>
        </w:numPr>
        <w:ind w:right="22" w:hanging="427"/>
      </w:pPr>
      <w:r>
        <w:t>Ott S.M., Oleksik A., Lu Y.L. et al. Bone h</w:t>
      </w:r>
      <w:r>
        <w:t>istomorphometric and biochemical marker results of a 2 year placebo-controlled trial ofraloxifene in postmenopausal women // J. Bone Miner. Res. 2002. Vol. 17. P. 341–348.</w:t>
      </w:r>
    </w:p>
    <w:p w:rsidR="004B6076" w:rsidRDefault="009E1091">
      <w:pPr>
        <w:numPr>
          <w:ilvl w:val="0"/>
          <w:numId w:val="31"/>
        </w:numPr>
        <w:spacing w:after="13"/>
        <w:ind w:right="22" w:hanging="427"/>
      </w:pPr>
      <w:r>
        <w:t>Pardoe H.R., Kuzniecky R. NAPR: a Cloud-Based Framework for Neuroanatomical Age Pred</w:t>
      </w:r>
      <w:r>
        <w:t>iction // Neuroinform. 2018. Vol. 16. N.</w:t>
      </w:r>
    </w:p>
    <w:p w:rsidR="004B6076" w:rsidRDefault="009E1091">
      <w:pPr>
        <w:ind w:left="-5" w:right="22"/>
      </w:pPr>
      <w:r>
        <w:t>1. P. 43–49.</w:t>
      </w:r>
    </w:p>
    <w:p w:rsidR="004B6076" w:rsidRDefault="009E1091">
      <w:pPr>
        <w:numPr>
          <w:ilvl w:val="0"/>
          <w:numId w:val="32"/>
        </w:numPr>
        <w:ind w:right="22" w:hanging="427"/>
      </w:pPr>
      <w:r>
        <w:t>Patel S., Bhardwaj R., Parmar P., Vaniya V.H. Mоrphоmetriс сharaсteristiс оf thyrоid сartilage in Gujarat regiоn — A сadaveriс study// J. Res. Med. Dental Sсi. 2016. Vol. 4. N. 2. P. 150–154.</w:t>
      </w:r>
    </w:p>
    <w:p w:rsidR="004B6076" w:rsidRDefault="009E1091">
      <w:pPr>
        <w:numPr>
          <w:ilvl w:val="0"/>
          <w:numId w:val="32"/>
        </w:numPr>
        <w:spacing w:after="13"/>
        <w:ind w:right="22" w:hanging="427"/>
      </w:pPr>
      <w:r>
        <w:t>Pearson O.</w:t>
      </w:r>
      <w:r>
        <w:t>M., Lieberman D.E. The aging of Wolff’s law: ontogeny and response to mechanical loading in cortical bone // Yearb.</w:t>
      </w:r>
    </w:p>
    <w:p w:rsidR="004B6076" w:rsidRDefault="009E1091">
      <w:pPr>
        <w:ind w:left="-5" w:right="22"/>
      </w:pPr>
      <w:r>
        <w:t>Phys. Anthropol. 47. 2004. Vol. 4. P. 63–99.</w:t>
      </w:r>
    </w:p>
    <w:p w:rsidR="004B6076" w:rsidRDefault="009E1091">
      <w:pPr>
        <w:numPr>
          <w:ilvl w:val="0"/>
          <w:numId w:val="32"/>
        </w:numPr>
        <w:ind w:right="22" w:hanging="427"/>
      </w:pPr>
      <w:r>
        <w:t>Penner M.R., Roth T.L., Chawla M.K. et al. Age-related changes in Arc transcription and DNA met</w:t>
      </w:r>
      <w:r>
        <w:t>hylation within the hippocampus //Neurobiol. Aging. 2011. Vol. 32. N. 12. P. 2198–2210.</w:t>
      </w:r>
    </w:p>
    <w:p w:rsidR="004B6076" w:rsidRDefault="009E1091">
      <w:pPr>
        <w:numPr>
          <w:ilvl w:val="0"/>
          <w:numId w:val="32"/>
        </w:numPr>
        <w:ind w:right="22" w:hanging="427"/>
      </w:pPr>
      <w:r>
        <w:t>Pfeiffer S., Heinrich J., Beresheim A., Alblas M. Cortical Bone Histomorphology of Known-Age Skeletons From the KirstenCollection, Stellen-bosch University South Africa</w:t>
      </w:r>
      <w:r>
        <w:t xml:space="preserve"> // Am. J. Phys. Anthropol. 2016. P. 1–11.</w:t>
      </w:r>
    </w:p>
    <w:p w:rsidR="004B6076" w:rsidRDefault="009E1091">
      <w:pPr>
        <w:numPr>
          <w:ilvl w:val="0"/>
          <w:numId w:val="32"/>
        </w:numPr>
        <w:ind w:right="22" w:hanging="427"/>
      </w:pPr>
      <w:r>
        <w:t>Poplin R., Varadarajan A.V., Blumer Y. et al. Prediction of Cardiovascular Risk Factors from Retinal Fundus Photographs via DeepLearning // Nat. Biomed. Eng. 2018. Vol. 2. N. 3. P. 158–164.</w:t>
      </w:r>
    </w:p>
    <w:p w:rsidR="004B6076" w:rsidRDefault="009E1091">
      <w:pPr>
        <w:numPr>
          <w:ilvl w:val="0"/>
          <w:numId w:val="32"/>
        </w:numPr>
        <w:spacing w:after="13"/>
        <w:ind w:right="22" w:hanging="427"/>
      </w:pPr>
      <w:r>
        <w:t>Priya E.S. Methods of S</w:t>
      </w:r>
      <w:r>
        <w:t>keletal Age Estimation used by Forensic Anthropologists in Adults: A Review // Forensic Res. Criminol. Int. J.</w:t>
      </w:r>
    </w:p>
    <w:p w:rsidR="004B6076" w:rsidRDefault="009E1091">
      <w:pPr>
        <w:ind w:left="-5" w:right="22"/>
      </w:pPr>
      <w:r>
        <w:t>2017. Vol. 4. N. 2–P. 41–51.</w:t>
      </w:r>
    </w:p>
    <w:p w:rsidR="004B6076" w:rsidRDefault="009E1091">
      <w:pPr>
        <w:numPr>
          <w:ilvl w:val="0"/>
          <w:numId w:val="33"/>
        </w:numPr>
        <w:ind w:right="22" w:hanging="427"/>
      </w:pPr>
      <w:r>
        <w:t>Puschmann S., Rahn C.D., Wenck H. et al. Approach to quantify human dermal skin aging using multiphoton laser scanni</w:t>
      </w:r>
      <w:r>
        <w:t>ngmicroscopy // J. Biomed. Opt. 2012. Vol. 3. N. 17. Р. 036005.</w:t>
      </w:r>
    </w:p>
    <w:p w:rsidR="004B6076" w:rsidRDefault="009E1091">
      <w:pPr>
        <w:numPr>
          <w:ilvl w:val="0"/>
          <w:numId w:val="33"/>
        </w:numPr>
        <w:ind w:right="22" w:hanging="427"/>
      </w:pPr>
      <w:r>
        <w:t>Ramadan N., Abd El-Salam M.H., Hanon A.F. et al. Identification of sex and age for Egyptians using computed tomography of thefirst lumbar vertebra // Egypt J. Forensic Sci. 2017. Vol. 7. N. 22</w:t>
      </w:r>
      <w:r>
        <w:t>. Р. 12–15.</w:t>
      </w:r>
    </w:p>
    <w:p w:rsidR="004B6076" w:rsidRDefault="009E1091">
      <w:pPr>
        <w:numPr>
          <w:ilvl w:val="0"/>
          <w:numId w:val="33"/>
        </w:numPr>
        <w:ind w:right="22" w:hanging="427"/>
      </w:pPr>
      <w:r>
        <w:t>Reijman M., Pols H.A.P., Bergink A.P. et al. Body mass index associated with onset and progression of osteoarthritis of the knee butnot of the hip: the Rotterdam study // Ann. Rheum. Dis. 2007. Vol. 66. P. 158–162.</w:t>
      </w:r>
    </w:p>
    <w:p w:rsidR="004B6076" w:rsidRDefault="009E1091">
      <w:pPr>
        <w:numPr>
          <w:ilvl w:val="0"/>
          <w:numId w:val="33"/>
        </w:numPr>
        <w:ind w:right="22" w:hanging="427"/>
      </w:pPr>
      <w:r>
        <w:t>Rissech C.A., Márquez-Grant N</w:t>
      </w:r>
      <w:r>
        <w:t>., Turbón D. Collation of Recently Published Western European Formulae for Age Estimation ofSubadult Skeletal Remains: Recommendations for Forensic Anthropology and Osteoarchaeology // J. Forensic Sci. 2013. Vol. 58. N. S1. P. 163–168.</w:t>
      </w:r>
    </w:p>
    <w:p w:rsidR="004B6076" w:rsidRDefault="009E1091">
      <w:pPr>
        <w:numPr>
          <w:ilvl w:val="0"/>
          <w:numId w:val="33"/>
        </w:numPr>
        <w:ind w:right="22" w:hanging="427"/>
      </w:pPr>
      <w:r>
        <w:t xml:space="preserve">Rivera-Sandoval J., </w:t>
      </w:r>
      <w:r>
        <w:t>Monsalve T., Cattaneo C. A test of four innominate bone age assessment methods in a modern skeletalcollection from Medellin, Colombia // Forensic Sci. Intern. 2018. Vol. 282. P. 232.e1–232.e8.</w:t>
      </w:r>
    </w:p>
    <w:p w:rsidR="004B6076" w:rsidRDefault="009E1091">
      <w:pPr>
        <w:numPr>
          <w:ilvl w:val="0"/>
          <w:numId w:val="33"/>
        </w:numPr>
        <w:ind w:right="22" w:hanging="427"/>
      </w:pPr>
      <w:r>
        <w:t xml:space="preserve">Robling A.G., Stout S.D. Histomorphometry of Human Cortical // </w:t>
      </w:r>
      <w:r>
        <w:t>Bone: Applications to Age Estimation. In: Biological Anthropology ofthe Human Skeleton: Second Edition. John Wiley &amp; Sons, 2007. Р. 149–182.</w:t>
      </w:r>
    </w:p>
    <w:p w:rsidR="004B6076" w:rsidRDefault="009E1091">
      <w:pPr>
        <w:numPr>
          <w:ilvl w:val="0"/>
          <w:numId w:val="33"/>
        </w:numPr>
        <w:ind w:right="22" w:hanging="427"/>
      </w:pPr>
      <w:r>
        <w:t>Rose D.C., Agnew A.M., Gocha T.P. et al. Technical note: The use of geographical information systems software for t</w:t>
      </w:r>
      <w:r>
        <w:t>he spatialanalysis of bone microstructure // Am. J. Phys. Anthropol. 2012. Vol. 148. N. 4. P. 648–654.</w:t>
      </w:r>
    </w:p>
    <w:p w:rsidR="004B6076" w:rsidRDefault="009E1091">
      <w:pPr>
        <w:numPr>
          <w:ilvl w:val="0"/>
          <w:numId w:val="33"/>
        </w:numPr>
        <w:ind w:right="22" w:hanging="427"/>
      </w:pPr>
      <w:r>
        <w:t>Rоss M.H., Pawlina W. Histоlоgy: A Text and Atlas: With Сell and Mоleсular Biоlоgy. Wоlters Kluwer, 2011.</w:t>
      </w:r>
    </w:p>
    <w:p w:rsidR="004B6076" w:rsidRDefault="009E1091">
      <w:pPr>
        <w:numPr>
          <w:ilvl w:val="0"/>
          <w:numId w:val="33"/>
        </w:numPr>
        <w:spacing w:after="13"/>
        <w:ind w:right="22" w:hanging="427"/>
      </w:pPr>
      <w:r>
        <w:t>Ruhli F.J., Muntener M., Henneberg M. Age-dependent changes of the normal human spine during adulthood // Am. J. Phys. Anthr.</w:t>
      </w:r>
    </w:p>
    <w:p w:rsidR="004B6076" w:rsidRDefault="009E1091">
      <w:pPr>
        <w:ind w:left="-5" w:right="22"/>
      </w:pPr>
      <w:r>
        <w:t>2005. Vol. 17. P. 460–469.</w:t>
      </w:r>
    </w:p>
    <w:p w:rsidR="004B6076" w:rsidRDefault="009E1091">
      <w:pPr>
        <w:numPr>
          <w:ilvl w:val="0"/>
          <w:numId w:val="34"/>
        </w:numPr>
        <w:ind w:right="22" w:hanging="427"/>
      </w:pPr>
      <w:r>
        <w:t>Sakuma A., Ohtani S., Saitoh H., Iwase H. Comparative analysis of aspartic acid racemization methods us</w:t>
      </w:r>
      <w:r>
        <w:t>ing whole-tooth and dentinsamples // Forensic Sci. Intern. 2012. Vol. 223. P. 198–220.</w:t>
      </w:r>
    </w:p>
    <w:p w:rsidR="004B6076" w:rsidRDefault="009E1091">
      <w:pPr>
        <w:numPr>
          <w:ilvl w:val="0"/>
          <w:numId w:val="34"/>
        </w:numPr>
        <w:ind w:right="22" w:hanging="427"/>
      </w:pPr>
      <w:r>
        <w:t>San-Millán M., Rissech C., Turbón D. Application of the recent SanMillán–Rissech acetabular adult aging method in a NorthAmerican sample // Int. J. Legal Med. 2019. Vol.</w:t>
      </w:r>
      <w:r>
        <w:t xml:space="preserve"> 133. N. 2. P. 909–920.</w:t>
      </w:r>
    </w:p>
    <w:p w:rsidR="004B6076" w:rsidRDefault="009E1091">
      <w:pPr>
        <w:numPr>
          <w:ilvl w:val="0"/>
          <w:numId w:val="34"/>
        </w:numPr>
        <w:spacing w:after="13"/>
        <w:ind w:right="22" w:hanging="427"/>
      </w:pPr>
      <w:r>
        <w:t>Satyanarayana N., Ramalingaswamy С., Ramadevi Y. Survey of classification techniques in data mining // IJISET — Int. J. Innov.</w:t>
      </w:r>
    </w:p>
    <w:p w:rsidR="004B6076" w:rsidRDefault="009E1091">
      <w:pPr>
        <w:ind w:left="-5" w:right="22"/>
      </w:pPr>
      <w:r>
        <w:t>Sci. Eng. Tech. 2014. Vol. 9. N. 1. Р. 268–278.</w:t>
      </w:r>
    </w:p>
    <w:p w:rsidR="004B6076" w:rsidRDefault="009E1091">
      <w:pPr>
        <w:numPr>
          <w:ilvl w:val="0"/>
          <w:numId w:val="34"/>
        </w:numPr>
        <w:ind w:right="22" w:hanging="427"/>
      </w:pPr>
      <w:r>
        <w:t xml:space="preserve">Schmeling A., Garamendi P., Prieto J., Landa M. Forensic </w:t>
      </w:r>
      <w:r>
        <w:t>age estimation in unaccompanied minors and young living adults //DNVIEIRA (Ed.), Forensic Medicine — From Old Problems to New Challenges. Intech Publishers, 2011. 45 р.</w:t>
      </w:r>
    </w:p>
    <w:p w:rsidR="004B6076" w:rsidRDefault="009E1091">
      <w:pPr>
        <w:numPr>
          <w:ilvl w:val="0"/>
          <w:numId w:val="34"/>
        </w:numPr>
        <w:ind w:right="22" w:hanging="427"/>
      </w:pPr>
      <w:r>
        <w:t xml:space="preserve">Schmitt A. Age-at-death assessment using the os pubis and the auricular surface of the </w:t>
      </w:r>
      <w:r>
        <w:t>ilium: a test on an identified Asian sample //Int. J. Osteoarchaeol. 2004. Vol. 14. P. 1–16.</w:t>
      </w:r>
    </w:p>
    <w:p w:rsidR="004B6076" w:rsidRDefault="009E1091">
      <w:pPr>
        <w:numPr>
          <w:ilvl w:val="0"/>
          <w:numId w:val="34"/>
        </w:numPr>
        <w:ind w:right="22" w:hanging="427"/>
      </w:pPr>
      <w:r>
        <w:t xml:space="preserve">Schmitt A., Murail P., Cunha E., Rouge D. Variability of the pattern of aging on the human skeleton: evidence from bone indicatorsand implications on age at death </w:t>
      </w:r>
      <w:r>
        <w:t>estimation // J. Forensic Sci. 2002. Vol. 47. N. 6. P. 1203–1209.</w:t>
      </w:r>
    </w:p>
    <w:p w:rsidR="004B6076" w:rsidRDefault="009E1091">
      <w:pPr>
        <w:numPr>
          <w:ilvl w:val="0"/>
          <w:numId w:val="34"/>
        </w:numPr>
        <w:ind w:right="22" w:hanging="427"/>
      </w:pPr>
      <w:r>
        <w:t>Seung-Ho Han, Sang-Hyun Kim, Yong-Woo Ahn et al. Microscopic Age Estimation from the Anterior Cortex of the Femur in KoreanAdults // J. Forensic. Sci. 2009. Vol. 54. N. 3. P. 519–522.</w:t>
      </w:r>
    </w:p>
    <w:p w:rsidR="004B6076" w:rsidRDefault="009E1091">
      <w:pPr>
        <w:numPr>
          <w:ilvl w:val="0"/>
          <w:numId w:val="34"/>
        </w:numPr>
        <w:spacing w:after="13"/>
        <w:ind w:right="22" w:hanging="427"/>
      </w:pPr>
      <w:r>
        <w:t>Sharma</w:t>
      </w:r>
      <w:r>
        <w:t xml:space="preserve"> L., Chang A. Overweight: advancing our understanding of its impact on the knee and the hip // Ann. Rheum. Dis. 2007. Vol.</w:t>
      </w:r>
    </w:p>
    <w:p w:rsidR="004B6076" w:rsidRDefault="009E1091">
      <w:pPr>
        <w:ind w:left="-5" w:right="22"/>
      </w:pPr>
      <w:r>
        <w:t>66. P. 141–142.</w:t>
      </w:r>
    </w:p>
    <w:p w:rsidR="004B6076" w:rsidRDefault="009E1091">
      <w:pPr>
        <w:numPr>
          <w:ilvl w:val="0"/>
          <w:numId w:val="35"/>
        </w:numPr>
        <w:spacing w:after="13"/>
        <w:ind w:right="22" w:hanging="427"/>
      </w:pPr>
      <w:r>
        <w:t>Sibille E. Molecular aging of the brain. Neuroplasticity, and vulnerability to depression and other brain-related dis</w:t>
      </w:r>
      <w:r>
        <w:t>orders // Dial. Clin.</w:t>
      </w:r>
    </w:p>
    <w:p w:rsidR="004B6076" w:rsidRDefault="009E1091">
      <w:pPr>
        <w:ind w:left="-5" w:right="22"/>
      </w:pPr>
      <w:r>
        <w:t>Neurosci. 2013. V. 15. N. 1. P. 53–65.</w:t>
      </w:r>
    </w:p>
    <w:p w:rsidR="004B6076" w:rsidRDefault="009E1091">
      <w:pPr>
        <w:numPr>
          <w:ilvl w:val="0"/>
          <w:numId w:val="35"/>
        </w:numPr>
        <w:spacing w:after="13"/>
        <w:ind w:right="22" w:hanging="427"/>
      </w:pPr>
      <w:r>
        <w:t>Singh I.J., Gunberg D.L. Estimation of age at death in human males from quantitative histology of bone fragments // Am. J. Phys.</w:t>
      </w:r>
    </w:p>
    <w:p w:rsidR="004B6076" w:rsidRDefault="009E1091">
      <w:pPr>
        <w:ind w:left="-5" w:right="22"/>
      </w:pPr>
      <w:r>
        <w:t>Anthropol. 1970. Vol. 33. P. 373–382.</w:t>
      </w:r>
    </w:p>
    <w:p w:rsidR="004B6076" w:rsidRDefault="009E1091">
      <w:pPr>
        <w:numPr>
          <w:ilvl w:val="0"/>
          <w:numId w:val="35"/>
        </w:numPr>
        <w:ind w:right="22" w:hanging="427"/>
      </w:pPr>
      <w:r>
        <w:t>Snodgrass J.J. Sex differenc</w:t>
      </w:r>
      <w:r>
        <w:t>es and aging of the vertebral column // J. Forensic Sci. 2004. Vol. 49. P. 458–463.</w:t>
      </w:r>
    </w:p>
    <w:p w:rsidR="004B6076" w:rsidRDefault="009E1091">
      <w:pPr>
        <w:numPr>
          <w:ilvl w:val="0"/>
          <w:numId w:val="35"/>
        </w:numPr>
        <w:ind w:right="22" w:hanging="427"/>
      </w:pPr>
      <w:r>
        <w:t>Sobol J., Ptaszyñska-Sarosiek I., Charuta A. et al. Estimation of age at death: Examination of variation in cortical bone histologywithin the human clavicle // Folia Morpho</w:t>
      </w:r>
      <w:r>
        <w:t>logica (Poland). 2015. Vol. 74. N. 3. P. 378–388.</w:t>
      </w:r>
    </w:p>
    <w:p w:rsidR="004B6076" w:rsidRDefault="009E1091">
      <w:pPr>
        <w:numPr>
          <w:ilvl w:val="0"/>
          <w:numId w:val="35"/>
        </w:numPr>
        <w:spacing w:after="13"/>
        <w:ind w:right="22" w:hanging="427"/>
      </w:pPr>
      <w:r>
        <w:t>Spalding K., Bergmann O., Alkass K. et al. Dynamics of hippocampal neurogenesis in adult humans // Cell. 2013. Vol. 153. N. 6. P.</w:t>
      </w:r>
    </w:p>
    <w:p w:rsidR="004B6076" w:rsidRDefault="009E1091">
      <w:pPr>
        <w:ind w:left="-5" w:right="22"/>
      </w:pPr>
      <w:r>
        <w:t>1219–1227.</w:t>
      </w:r>
    </w:p>
    <w:p w:rsidR="004B6076" w:rsidRDefault="009E1091">
      <w:pPr>
        <w:numPr>
          <w:ilvl w:val="0"/>
          <w:numId w:val="35"/>
        </w:numPr>
        <w:ind w:right="22" w:hanging="427"/>
      </w:pPr>
      <w:r>
        <w:t>Storey R. An elusive paleodemography? A comparison of two methods for estimating the adult age distribution of deaths at lateClassic Copan, Honduras // Am. J. Phys. Anthropol. 2007. N. 132. Р. 40–47.</w:t>
      </w:r>
    </w:p>
    <w:p w:rsidR="004B6076" w:rsidRDefault="009E1091">
      <w:pPr>
        <w:numPr>
          <w:ilvl w:val="0"/>
          <w:numId w:val="35"/>
        </w:numPr>
        <w:ind w:right="22" w:hanging="427"/>
      </w:pPr>
      <w:r>
        <w:t>Stout S.D. Bone remodeling, histomorphology and histomor</w:t>
      </w:r>
      <w:r>
        <w:t>metry. In: Crowder C., Stout S.D. et al. // Bone Biology. Ananthropological perspective. U.S.A.: CRC Press, 2012. P. 1–22.</w:t>
      </w:r>
    </w:p>
    <w:p w:rsidR="004B6076" w:rsidRDefault="009E1091">
      <w:pPr>
        <w:numPr>
          <w:ilvl w:val="0"/>
          <w:numId w:val="35"/>
        </w:numPr>
        <w:ind w:right="22" w:hanging="427"/>
      </w:pPr>
      <w:r>
        <w:t>Stout S.D., Porro M.A., Perotti B. Brief communication: a test and correction of the clavicle method of Stout and Paine for histologi</w:t>
      </w:r>
      <w:r>
        <w:t>calage estimation of skeletal remains // Am. J. Phys. Anthropol. 1996. Vol. 100. P. 139–142.</w:t>
      </w:r>
    </w:p>
    <w:p w:rsidR="004B6076" w:rsidRDefault="009E1091">
      <w:pPr>
        <w:numPr>
          <w:ilvl w:val="0"/>
          <w:numId w:val="35"/>
        </w:numPr>
        <w:ind w:right="22" w:hanging="427"/>
      </w:pPr>
      <w:r>
        <w:t>Stout S.D., Dietze W.H., Iscan M.Y., Loth S.R. Estimation of age at death using the cortical histomorphometry of the sternal end ofthe fourth rib // J. Forensic Sc</w:t>
      </w:r>
      <w:r>
        <w:t>i. 1994. Vol. 39. Р. 778–784.</w:t>
      </w:r>
    </w:p>
    <w:p w:rsidR="004B6076" w:rsidRDefault="009E1091">
      <w:pPr>
        <w:numPr>
          <w:ilvl w:val="0"/>
          <w:numId w:val="35"/>
        </w:numPr>
        <w:ind w:right="22" w:hanging="427"/>
      </w:pPr>
      <w:r>
        <w:t>Stoyanova D.K., Algee-Hewitt B.F.B., Kim J., Slice D.E. A Study on the Asymmetry of the Human Left and Right Pubic SymphysealSurfaces Using High-Definition Data Capture and Computational Shape Methods // J. Forensic Sci. 2019.</w:t>
      </w:r>
      <w:r>
        <w:t xml:space="preserve"> Vol. 64. P. 494–501.</w:t>
      </w:r>
    </w:p>
    <w:p w:rsidR="004B6076" w:rsidRDefault="009E1091">
      <w:pPr>
        <w:numPr>
          <w:ilvl w:val="0"/>
          <w:numId w:val="35"/>
        </w:numPr>
        <w:ind w:right="22" w:hanging="427"/>
      </w:pPr>
      <w:r>
        <w:t>Sullivan S., Flavel A., Franklin D. Age estimation in a sub-adult Western Australian population based on the analysis of the pelvicgirdle and proximal femur // Forensic Sci. Intern. 2017. Vol. 281. P. 185.e1–185.e10.</w:t>
      </w:r>
    </w:p>
    <w:p w:rsidR="004B6076" w:rsidRDefault="009E1091">
      <w:pPr>
        <w:numPr>
          <w:ilvl w:val="0"/>
          <w:numId w:val="35"/>
        </w:numPr>
        <w:spacing w:after="13"/>
        <w:ind w:right="22" w:hanging="427"/>
      </w:pPr>
      <w:r>
        <w:t>Swain U., Rao K.S</w:t>
      </w:r>
      <w:r>
        <w:t>. Age-dependent decline of DNA base excision repair activity in rat cortical neurons // Mech. Ageing Develop.</w:t>
      </w:r>
    </w:p>
    <w:p w:rsidR="004B6076" w:rsidRDefault="009E1091">
      <w:pPr>
        <w:ind w:left="-5" w:right="22"/>
      </w:pPr>
      <w:r>
        <w:t>2012. Vol. 133. N. 4. P. 186–194.</w:t>
      </w:r>
    </w:p>
    <w:p w:rsidR="004B6076" w:rsidRDefault="009E1091">
      <w:pPr>
        <w:numPr>
          <w:ilvl w:val="0"/>
          <w:numId w:val="36"/>
        </w:numPr>
        <w:ind w:right="22" w:hanging="427"/>
      </w:pPr>
      <w:r>
        <w:t>Tangmose S., Thevissen P., Lynnerup N. et al. Age estimation in the living: Transition analysis on developing th</w:t>
      </w:r>
      <w:r>
        <w:t>ird molars // ForensicSci. Intern. 2015. Vol. 257. P. 512.e1–512.e7.</w:t>
      </w:r>
    </w:p>
    <w:p w:rsidR="004B6076" w:rsidRDefault="009E1091">
      <w:pPr>
        <w:numPr>
          <w:ilvl w:val="0"/>
          <w:numId w:val="36"/>
        </w:numPr>
        <w:ind w:right="22" w:hanging="427"/>
      </w:pPr>
      <w:r>
        <w:t>Tanner J.M., Whitehouse R.H., Cameron N. et al. Assessment of skeletal maturity and prediction of adult height (TW2 method). London: Academic Press Limited, 1988.</w:t>
      </w:r>
    </w:p>
    <w:p w:rsidR="004B6076" w:rsidRDefault="009E1091">
      <w:pPr>
        <w:numPr>
          <w:ilvl w:val="0"/>
          <w:numId w:val="36"/>
        </w:numPr>
        <w:ind w:right="22" w:hanging="427"/>
      </w:pPr>
      <w:r>
        <w:t>Tarcan T., Park K., Gold</w:t>
      </w:r>
      <w:r>
        <w:t>stein I. et al. Histomorphometric analysis of age-related structural changes in human clitoral cavernosaltissue // J. Urol. 1999. N. 161. P. 940–944.</w:t>
      </w:r>
    </w:p>
    <w:p w:rsidR="004B6076" w:rsidRDefault="009E1091">
      <w:pPr>
        <w:numPr>
          <w:ilvl w:val="0"/>
          <w:numId w:val="36"/>
        </w:numPr>
        <w:spacing w:after="13"/>
        <w:ind w:right="22" w:hanging="427"/>
      </w:pPr>
      <w:r>
        <w:t>Thodberg H., Savendahl L. Validation and reference values of automated bone age determination for four eth</w:t>
      </w:r>
      <w:r>
        <w:t>nicities //Acad. Radiol.</w:t>
      </w:r>
    </w:p>
    <w:p w:rsidR="004B6076" w:rsidRDefault="009E1091">
      <w:pPr>
        <w:ind w:left="-5" w:right="22"/>
      </w:pPr>
      <w:r>
        <w:t>2010. Vol. 17. P. 1425–1432.</w:t>
      </w:r>
    </w:p>
    <w:p w:rsidR="004B6076" w:rsidRDefault="009E1091">
      <w:pPr>
        <w:numPr>
          <w:ilvl w:val="0"/>
          <w:numId w:val="37"/>
        </w:numPr>
        <w:ind w:right="22" w:hanging="427"/>
      </w:pPr>
      <w:r>
        <w:t>Todd T.W. Age changes in the pubic bone: I. The male white pubis // Am. J. Phys. Anthropol. 1920. Vol. 3. P. 285–334.</w:t>
      </w:r>
    </w:p>
    <w:p w:rsidR="004B6076" w:rsidRDefault="009E1091">
      <w:pPr>
        <w:numPr>
          <w:ilvl w:val="0"/>
          <w:numId w:val="37"/>
        </w:numPr>
        <w:ind w:right="22" w:hanging="427"/>
      </w:pPr>
      <w:r>
        <w:t>Tong X., Malo H., Inari Burton S. et al. Histomorphometric and osteocytic characteri</w:t>
      </w:r>
      <w:r>
        <w:t>stics of cortical bone in male subtrochantericfemoral shaft // J. Anat. 2017. Vol. 23. N. 6. Р. 708–717.</w:t>
      </w:r>
    </w:p>
    <w:p w:rsidR="004B6076" w:rsidRDefault="009E1091">
      <w:pPr>
        <w:numPr>
          <w:ilvl w:val="0"/>
          <w:numId w:val="37"/>
        </w:numPr>
        <w:ind w:right="22" w:hanging="427"/>
      </w:pPr>
      <w:r>
        <w:t>Tong X., Malo M., Tamminen I.S. et al. Development of new criteria for cortical bone histomorphometry in femoral neck: intra- andinter-observer reprodu</w:t>
      </w:r>
      <w:r>
        <w:t>cibility // J. Bone Miner. Metab. 2015. Vol. 33. Р. 109–118.</w:t>
      </w:r>
    </w:p>
    <w:p w:rsidR="004B6076" w:rsidRDefault="009E1091">
      <w:pPr>
        <w:numPr>
          <w:ilvl w:val="0"/>
          <w:numId w:val="37"/>
        </w:numPr>
        <w:ind w:right="22" w:hanging="427"/>
      </w:pPr>
      <w:r>
        <w:t>Tong X., Burton I., Jurvelin J. et al. Iliac crest histomorphometry and skeletal heterogeneity in men // Bone Rep. 2017. Vol. 6. Р. 9–16.</w:t>
      </w:r>
    </w:p>
    <w:p w:rsidR="004B6076" w:rsidRDefault="009E1091">
      <w:pPr>
        <w:numPr>
          <w:ilvl w:val="0"/>
          <w:numId w:val="38"/>
        </w:numPr>
        <w:spacing w:after="13"/>
        <w:ind w:right="22" w:hanging="427"/>
      </w:pPr>
      <w:r>
        <w:t>Trojahn C., Dobos G., Richter C. et al. Measuring skin ag</w:t>
      </w:r>
      <w:r>
        <w:t>ing using optical coherence tomography in vivo: a validation study // J.</w:t>
      </w:r>
    </w:p>
    <w:p w:rsidR="004B6076" w:rsidRDefault="009E1091">
      <w:pPr>
        <w:ind w:left="-5" w:right="22"/>
      </w:pPr>
      <w:r>
        <w:t>Biomed. Optics. 2015. Vol. 20. N. 4.</w:t>
      </w:r>
    </w:p>
    <w:p w:rsidR="004B6076" w:rsidRDefault="009E1091">
      <w:pPr>
        <w:numPr>
          <w:ilvl w:val="0"/>
          <w:numId w:val="38"/>
        </w:numPr>
        <w:spacing w:after="13"/>
        <w:ind w:right="22" w:hanging="427"/>
      </w:pPr>
      <w:r>
        <w:t>Trojahn C., Dobos G., Schario M. et al. Relation between skin microtopography, roughness, and skin age // Skin Res. Tech. 2015. N.</w:t>
      </w:r>
    </w:p>
    <w:p w:rsidR="004B6076" w:rsidRDefault="009E1091">
      <w:pPr>
        <w:ind w:left="-5" w:right="22"/>
      </w:pPr>
      <w:r>
        <w:t>21. P. 69–75.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Turk L.M., Hоgg D.A. Age сhanges in the human laryngeal сartilages // Сlin. Anat. 1993. Vоl. 6. N. 3. Р. 154–162.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 xml:space="preserve">Türkmen S., Сansu A., Türedi S. et al. Age-dependent struсtural and radiоlоgiсal сhanges in the larynx // Сlin. Radiоl. 2012. Vоl. 67. N. 11. </w:t>
      </w:r>
      <w:r>
        <w:t>Р. 22–26.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Tustison N.J., Cook P.A., Klein A. et al. Large-scale evaluation of {ants} and freesurfer cortical thickness measurements //NeuroImage. 2014. Vol. 99. Р. 166–79.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Ubelaker D.H. Recent advances in forensic anthropology // Forensic Sci. Res. 2018. V</w:t>
      </w:r>
      <w:r>
        <w:t>ol. 3. N. 4. Р. 275–277.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Ueda M. Combined multiphoton imaging and biaxial tissue extension for quantitative analysis of geometric fiber organization inhuman reticular dermis // Sci. Rep. 2019. Vol. 9. Р. 1–12.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Versteeg H.H., Heemskerk J.W.M., Levi M., Reit</w:t>
      </w:r>
      <w:r>
        <w:t>sma P.H. New Fundamentals in Hemostasis // Physiol. Rev. 2013. N. 93. Р. 327–358.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Villaa C., Hansena M.N., Buckberryb J. et al. Forensic age estimation based on the trabecular bone changes of the pelvic boneusing post-mortem CT // Forensic Sci. Intern. 201</w:t>
      </w:r>
      <w:r>
        <w:t>3. Vol. 233. N. 1–3. P. 393–402.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Waaijer M., Gunn D.A., Catt S.D. et al. Morphometric skin characteristics dependent on chronological and biological age: The LeidenLongevity Study // Age (Dordrecht. Netherlands). 2012. Vol. 34. N. 6. P. 1543–1552.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Wang H.,</w:t>
      </w:r>
      <w:r>
        <w:t xml:space="preserve"> Thomas S., Fevola M.J. et al. Age-related morphological changes of the dermal matrix in human skin documented in vivoby multiphoton microscopy // J. Biomed. Optics. 2018. Vol. 23. N. 3.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Williams P.L., Warwiсk R., Dysоn M. et al. Gray's Anatоmy. Lоndоn: Сh</w:t>
      </w:r>
      <w:r>
        <w:t>urсhill Livingstоne, 1989. P. 1249–1252</w:t>
      </w:r>
    </w:p>
    <w:tbl>
      <w:tblPr>
        <w:tblStyle w:val="TableGrid"/>
        <w:tblpPr w:vertAnchor="page" w:horzAnchor="page" w:tblpX="120" w:tblpY="9734"/>
        <w:tblOverlap w:val="never"/>
        <w:tblW w:w="11655" w:type="dxa"/>
        <w:tblInd w:w="0" w:type="dxa"/>
        <w:tblCellMar>
          <w:top w:w="124" w:type="dxa"/>
          <w:left w:w="36" w:type="dxa"/>
          <w:bottom w:w="0" w:type="dxa"/>
          <w:right w:w="37" w:type="dxa"/>
        </w:tblCellMar>
        <w:tblLook w:val="04A0" w:firstRow="1" w:lastRow="0" w:firstColumn="1" w:lastColumn="0" w:noHBand="0" w:noVBand="1"/>
      </w:tblPr>
      <w:tblGrid>
        <w:gridCol w:w="3637"/>
        <w:gridCol w:w="504"/>
        <w:gridCol w:w="3649"/>
        <w:gridCol w:w="504"/>
        <w:gridCol w:w="2809"/>
        <w:gridCol w:w="552"/>
      </w:tblGrid>
      <w:tr w:rsidR="004B6076">
        <w:trPr>
          <w:trHeight w:val="804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Средняя площадь жировой ткани,</w:t>
            </w:r>
          </w:p>
          <w:p w:rsidR="004B6076" w:rsidRDefault="009E1091">
            <w:pPr>
              <w:spacing w:after="0" w:line="259" w:lineRule="auto"/>
              <w:ind w:left="384" w:firstLine="0"/>
            </w:pPr>
            <w:r>
              <w:rPr>
                <w:b/>
                <w:sz w:val="16"/>
              </w:rPr>
              <w:t>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мкм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Ранг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Средняя площадь жировой ткани,</w:t>
            </w:r>
          </w:p>
          <w:p w:rsidR="004B6076" w:rsidRDefault="009E1091">
            <w:pPr>
              <w:spacing w:after="0" w:line="259" w:lineRule="auto"/>
              <w:ind w:left="384" w:firstLine="0"/>
            </w:pPr>
            <w:r>
              <w:rPr>
                <w:b/>
                <w:sz w:val="16"/>
              </w:rPr>
              <w:t>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мкм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Ранг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34" w:lineRule="auto"/>
              <w:ind w:left="0" w:right="341" w:firstLine="0"/>
            </w:pPr>
            <w:r>
              <w:rPr>
                <w:b/>
              </w:rPr>
              <w:t>Средняя площадь жировой ткани,</w:t>
            </w:r>
          </w:p>
          <w:p w:rsidR="004B6076" w:rsidRDefault="009E1091">
            <w:pPr>
              <w:spacing w:after="0" w:line="259" w:lineRule="auto"/>
              <w:ind w:left="384" w:firstLine="0"/>
            </w:pPr>
            <w:r>
              <w:rPr>
                <w:b/>
                <w:sz w:val="16"/>
              </w:rPr>
              <w:t>2</w:t>
            </w:r>
          </w:p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мкм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Ранг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0,71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53,0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17,20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89,0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0,74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54,0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91,0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0,08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55,0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18,30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92,0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0,09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0,87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56,0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18,90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93,0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13,0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0,90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57,0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19,10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94,0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14,0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0,92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58,0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19,30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95,5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15,5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1,05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59,0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19,50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97,0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0,24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17,0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1,15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60,0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19,60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99,0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1,30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61,0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19,80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101,0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0,26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20,5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1,70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62,0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20,10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102,0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0,27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22,0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1,90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63,0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22,20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103,0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0,28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23,0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1,92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64,0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23,10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104,0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0,29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24,0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2,07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65,0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23,40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105,0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0,31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25,5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2,10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66,0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23,50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106,0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27,0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2,26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67,0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24,20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105,0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0,33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28,0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2,60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68,0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26,10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106,0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0,34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29,0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2,70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69,0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27,30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107,0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0,37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30,0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2,82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70,0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27,40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108,0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0,39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31,0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2,90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71,0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27,90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109,0</w:t>
            </w:r>
          </w:p>
        </w:tc>
      </w:tr>
      <w:tr w:rsidR="004B6076">
        <w:trPr>
          <w:trHeight w:val="378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0,41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32,0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3,05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72,0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28,30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110,0</w:t>
            </w:r>
          </w:p>
        </w:tc>
      </w:tr>
      <w:tr w:rsidR="004B6076">
        <w:trPr>
          <w:trHeight w:val="222"/>
        </w:trPr>
        <w:tc>
          <w:tcPr>
            <w:tcW w:w="11655" w:type="dxa"/>
            <w:gridSpan w:val="6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4B6076" w:rsidRDefault="004B6076">
            <w:pPr>
              <w:spacing w:after="160" w:line="259" w:lineRule="auto"/>
              <w:ind w:left="0" w:firstLine="0"/>
            </w:pPr>
          </w:p>
        </w:tc>
      </w:tr>
    </w:tbl>
    <w:p w:rsidR="004B6076" w:rsidRDefault="009E1091">
      <w:pPr>
        <w:numPr>
          <w:ilvl w:val="0"/>
          <w:numId w:val="39"/>
        </w:numPr>
        <w:ind w:right="22" w:hanging="427"/>
      </w:pPr>
      <w:r>
        <w:t>Witte M., Jaspers S., Wenck H. et al. General method for classification of fiber families in fiber-reinforced materials: application to invivo human skin images // Sci. Rep. 2020. Vol. 10. N. 1. Р. 10888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Wluka A.E., Wang Y., Davies S.R., Cicuttini F. Tibia</w:t>
      </w:r>
      <w:r>
        <w:t>l plateau size is related to grade of joint space narrowing and osteophytes inhealthy women and in women with osteoarthritis // Ann. Rheum. Dis. 2005. Vol. 64. P. 1033–1037.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Wuelling M. Transcriptional networks controlling chondrocyte proliferation and dif</w:t>
      </w:r>
      <w:r>
        <w:t>ferentiation during endochondral ossification //Vortkamp Pediatr. Nephrol. 2010. Vol. 25. Р. 625–631.</w:t>
      </w:r>
    </w:p>
    <w:p w:rsidR="004B6076" w:rsidRDefault="009E1091">
      <w:pPr>
        <w:numPr>
          <w:ilvl w:val="0"/>
          <w:numId w:val="39"/>
        </w:numPr>
        <w:ind w:right="22" w:hanging="427"/>
      </w:pPr>
      <w:r>
        <w:t>Xanthopoulou P., Valakos E., Youlatos D., Nikita E. Assessing the accuracy of cranial and pelvic ageing methods on human skeletalremains from a modern Gre</w:t>
      </w:r>
      <w:r>
        <w:t>ek assemblage // Forensic Sci. Intern. 2018. Vol. 286. P. 266.e1–266.e8.</w:t>
      </w:r>
    </w:p>
    <w:p w:rsidR="004B6076" w:rsidRDefault="009E1091">
      <w:pPr>
        <w:spacing w:after="400"/>
        <w:ind w:left="-5" w:right="9810"/>
      </w:pPr>
      <w:r>
        <w:t>tab not found: 0014 tab not found: 0015 tab not found: 0016</w:t>
      </w:r>
    </w:p>
    <w:p w:rsidR="004B6076" w:rsidRDefault="009E1091">
      <w:pPr>
        <w:pStyle w:val="Heading1"/>
        <w:spacing w:after="82"/>
        <w:ind w:left="-5"/>
      </w:pPr>
      <w:r>
        <w:t>Приложения</w:t>
      </w:r>
    </w:p>
    <w:p w:rsidR="004B6076" w:rsidRDefault="009E1091">
      <w:pPr>
        <w:spacing w:after="0" w:line="259" w:lineRule="auto"/>
        <w:ind w:left="0" w:right="698" w:firstLine="0"/>
        <w:jc w:val="right"/>
      </w:pPr>
      <w:r>
        <w:rPr>
          <w:b/>
          <w:sz w:val="24"/>
        </w:rPr>
        <w:t>2</w:t>
      </w:r>
    </w:p>
    <w:p w:rsidR="004B6076" w:rsidRDefault="009E1091">
      <w:pPr>
        <w:spacing w:after="128" w:line="248" w:lineRule="auto"/>
        <w:ind w:left="-5"/>
      </w:pPr>
      <w:r>
        <w:rPr>
          <w:b/>
          <w:sz w:val="29"/>
        </w:rPr>
        <w:t>Приложение А. Таблица пересчета величины площади жировой ткани (мкм ) в ранг</w:t>
      </w:r>
    </w:p>
    <w:p w:rsidR="004B6076" w:rsidRDefault="009E1091">
      <w:pPr>
        <w:spacing w:after="0" w:line="259" w:lineRule="auto"/>
        <w:ind w:left="9242" w:firstLine="0"/>
      </w:pPr>
      <w:r>
        <w:rPr>
          <w:b/>
          <w:sz w:val="24"/>
        </w:rPr>
        <w:t>2</w:t>
      </w:r>
    </w:p>
    <w:tbl>
      <w:tblPr>
        <w:tblStyle w:val="TableGrid"/>
        <w:tblpPr w:vertAnchor="page" w:horzAnchor="page" w:tblpX="120" w:tblpY="6"/>
        <w:tblOverlap w:val="never"/>
        <w:tblW w:w="11655" w:type="dxa"/>
        <w:tblInd w:w="0" w:type="dxa"/>
        <w:tblCellMar>
          <w:top w:w="106" w:type="dxa"/>
          <w:left w:w="36" w:type="dxa"/>
          <w:bottom w:w="0" w:type="dxa"/>
          <w:right w:w="37" w:type="dxa"/>
        </w:tblCellMar>
        <w:tblLook w:val="04A0" w:firstRow="1" w:lastRow="0" w:firstColumn="1" w:lastColumn="0" w:noHBand="0" w:noVBand="1"/>
      </w:tblPr>
      <w:tblGrid>
        <w:gridCol w:w="3637"/>
        <w:gridCol w:w="504"/>
        <w:gridCol w:w="3649"/>
        <w:gridCol w:w="504"/>
        <w:gridCol w:w="2809"/>
        <w:gridCol w:w="552"/>
      </w:tblGrid>
      <w:tr w:rsidR="004B6076">
        <w:trPr>
          <w:trHeight w:val="282"/>
        </w:trPr>
        <w:tc>
          <w:tcPr>
            <w:tcW w:w="363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0,43</w:t>
            </w:r>
          </w:p>
        </w:tc>
        <w:tc>
          <w:tcPr>
            <w:tcW w:w="504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33,0</w:t>
            </w:r>
          </w:p>
        </w:tc>
        <w:tc>
          <w:tcPr>
            <w:tcW w:w="3649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3,20</w:t>
            </w:r>
          </w:p>
        </w:tc>
        <w:tc>
          <w:tcPr>
            <w:tcW w:w="504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73,0</w:t>
            </w:r>
          </w:p>
        </w:tc>
        <w:tc>
          <w:tcPr>
            <w:tcW w:w="2809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28,40</w:t>
            </w:r>
          </w:p>
        </w:tc>
        <w:tc>
          <w:tcPr>
            <w:tcW w:w="552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111,0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0,44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34,0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74,0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29,50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112,5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35,5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4,02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75,0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30,10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114,0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0,46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37,0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6,70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76,0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30,80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115,0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0,47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38,5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7,30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77,0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32,10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116,0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0,51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40,5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9,60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78,0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32,50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117,0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0,55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42,5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11,47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79,0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33,40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118,0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0,56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44,5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14,03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80,0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33,50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119,0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0,64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46,0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14,60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81,0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34,10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120,0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0,65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47,0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14,80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82,0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35,10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121,0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0,68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48,5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15,10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84,0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35,20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125,0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0,69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50,5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16,10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86,0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35,80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126,0</w:t>
            </w:r>
          </w:p>
        </w:tc>
      </w:tr>
      <w:tr w:rsidR="004B6076">
        <w:trPr>
          <w:trHeight w:val="300"/>
        </w:trPr>
        <w:tc>
          <w:tcPr>
            <w:tcW w:w="363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52,0</w:t>
            </w:r>
          </w:p>
        </w:tc>
        <w:tc>
          <w:tcPr>
            <w:tcW w:w="364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16,90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87,0</w:t>
            </w:r>
          </w:p>
        </w:tc>
        <w:tc>
          <w:tcPr>
            <w:tcW w:w="28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36,20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127,0</w:t>
            </w:r>
          </w:p>
        </w:tc>
      </w:tr>
    </w:tbl>
    <w:tbl>
      <w:tblPr>
        <w:tblStyle w:val="TableGrid"/>
        <w:tblpPr w:vertAnchor="page" w:horzAnchor="page" w:tblpX="120" w:tblpY="14104"/>
        <w:tblOverlap w:val="never"/>
        <w:tblW w:w="8042" w:type="dxa"/>
        <w:tblInd w:w="0" w:type="dxa"/>
        <w:tblCellMar>
          <w:top w:w="124" w:type="dxa"/>
          <w:left w:w="36" w:type="dxa"/>
          <w:bottom w:w="0" w:type="dxa"/>
          <w:right w:w="27" w:type="dxa"/>
        </w:tblCellMar>
        <w:tblLook w:val="04A0" w:firstRow="1" w:lastRow="0" w:firstColumn="1" w:lastColumn="0" w:noHBand="0" w:noVBand="1"/>
      </w:tblPr>
      <w:tblGrid>
        <w:gridCol w:w="3517"/>
        <w:gridCol w:w="504"/>
        <w:gridCol w:w="3517"/>
        <w:gridCol w:w="504"/>
      </w:tblGrid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Максимальная длина трабекул, мкм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Ранг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Максимальная длина трабекул, мкм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Ранг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0,00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71,00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0,80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0,03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74,00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0,85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0,06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75,00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0,89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0,12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79,00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0,90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10,00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0,14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83,00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0,91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0,15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84,00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0,92</w:t>
            </w:r>
          </w:p>
        </w:tc>
      </w:tr>
      <w:tr w:rsidR="004B6076">
        <w:trPr>
          <w:trHeight w:val="45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0,24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85,00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0,94</w:t>
            </w:r>
          </w:p>
        </w:tc>
      </w:tr>
      <w:tr w:rsidR="004B6076">
        <w:trPr>
          <w:trHeight w:val="186"/>
        </w:trPr>
        <w:tc>
          <w:tcPr>
            <w:tcW w:w="8042" w:type="dxa"/>
            <w:gridSpan w:val="4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4B6076" w:rsidRDefault="004B6076">
            <w:pPr>
              <w:spacing w:after="160" w:line="259" w:lineRule="auto"/>
              <w:ind w:left="0" w:firstLine="0"/>
            </w:pPr>
          </w:p>
        </w:tc>
      </w:tr>
    </w:tbl>
    <w:p w:rsidR="004B6076" w:rsidRDefault="009E1091">
      <w:pPr>
        <w:pStyle w:val="Heading2"/>
        <w:spacing w:after="13"/>
        <w:ind w:left="-5"/>
      </w:pPr>
      <w:r>
        <w:t>Приложение Б. Таблица пересчета площади костной ткани (мкм ) в ранг</w:t>
      </w:r>
    </w:p>
    <w:tbl>
      <w:tblPr>
        <w:tblStyle w:val="TableGrid"/>
        <w:tblW w:w="10347" w:type="dxa"/>
        <w:tblInd w:w="24" w:type="dxa"/>
        <w:tblCellMar>
          <w:top w:w="113" w:type="dxa"/>
          <w:left w:w="36" w:type="dxa"/>
          <w:bottom w:w="0" w:type="dxa"/>
          <w:right w:w="34" w:type="dxa"/>
        </w:tblCellMar>
        <w:tblLook w:val="04A0" w:firstRow="1" w:lastRow="0" w:firstColumn="1" w:lastColumn="0" w:noHBand="0" w:noVBand="1"/>
      </w:tblPr>
      <w:tblGrid>
        <w:gridCol w:w="2929"/>
        <w:gridCol w:w="504"/>
        <w:gridCol w:w="2929"/>
        <w:gridCol w:w="504"/>
        <w:gridCol w:w="2929"/>
        <w:gridCol w:w="552"/>
      </w:tblGrid>
      <w:tr w:rsidR="004B6076">
        <w:trPr>
          <w:trHeight w:val="348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2773"/>
              <w:jc w:val="both"/>
            </w:pPr>
            <w:r>
              <w:rPr>
                <w:b/>
                <w:sz w:val="16"/>
              </w:rPr>
              <w:t xml:space="preserve">2 </w:t>
            </w:r>
            <w:r>
              <w:rPr>
                <w:b/>
              </w:rPr>
              <w:t>Площадь костной ткани, мкм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Ранг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2773"/>
              <w:jc w:val="both"/>
            </w:pPr>
            <w:r>
              <w:rPr>
                <w:b/>
                <w:sz w:val="16"/>
              </w:rPr>
              <w:t xml:space="preserve">2 </w:t>
            </w:r>
            <w:r>
              <w:rPr>
                <w:b/>
              </w:rPr>
              <w:t>Площадь костной ткани, мкм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Ранг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2773"/>
              <w:jc w:val="both"/>
            </w:pPr>
            <w:r>
              <w:rPr>
                <w:b/>
                <w:sz w:val="16"/>
              </w:rPr>
              <w:t xml:space="preserve">2 </w:t>
            </w:r>
            <w:r>
              <w:rPr>
                <w:b/>
              </w:rPr>
              <w:t>Площадь костной ткани, мкм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Ранг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3,80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56,0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33,70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86,0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1,10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3,90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58,0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35,05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87,0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1,20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59,0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35,20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88,0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1,30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14,0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4,10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60,5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35,30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89,0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15,0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4,20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62,5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35,60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90,0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1,60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16,0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64,0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36,30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91,0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1,80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17,0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4,60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65,0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37,70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92,0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1,90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4,72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66,0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39,10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93,0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2,20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20,5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4,80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67,0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39,90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94,0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2,35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22,0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4,90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68,5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40,20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95,0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23,0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5,10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70,0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40,50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96,0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2,70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24,5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6,20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71,0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42,30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97,5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2,73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26,0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6,80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72,0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43,80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99,0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2,80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28,5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6,90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73,0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44,20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100,5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2,82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31,0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7,20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74,0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45,10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102,0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2,90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33,0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7,42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75,0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47,10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103,0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3,04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35,0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10,80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77,0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47,40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104,0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3,10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37,0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12,80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78,0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47,60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105,0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3,15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39,0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14,90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79,0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48,30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106,0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3,20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40,5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22,00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80,0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68,10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125,0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3,22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42,0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22,10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81,0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68,60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126,0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3,30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43,5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22,30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82,0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69,40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127,0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3,40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45,5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28,80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83,0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70,10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128,0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48,0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32,20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84,0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79,40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129,0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3,56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50,0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32,30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85,0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80,20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t>130,0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3,60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51,5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3,70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53,5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292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52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</w:tbl>
    <w:p w:rsidR="004B6076" w:rsidRDefault="009E1091">
      <w:pPr>
        <w:spacing w:after="13" w:line="248" w:lineRule="auto"/>
        <w:ind w:left="-5"/>
      </w:pPr>
      <w:r>
        <w:rPr>
          <w:b/>
          <w:sz w:val="29"/>
        </w:rPr>
        <w:t xml:space="preserve">Приложение В. Таблица пересчета максимальной длины трабекулы (мкм) в ранг </w:t>
      </w:r>
      <w:r>
        <w:rPr>
          <w:b/>
          <w:sz w:val="29"/>
        </w:rPr>
        <w:t>Приложение Г. Таблица пересчета среднего количества молодых хондроцитов</w:t>
      </w:r>
    </w:p>
    <w:tbl>
      <w:tblPr>
        <w:tblStyle w:val="TableGrid"/>
        <w:tblpPr w:vertAnchor="page" w:horzAnchor="page" w:tblpX="120" w:tblpY="6"/>
        <w:tblOverlap w:val="never"/>
        <w:tblW w:w="8042" w:type="dxa"/>
        <w:tblInd w:w="0" w:type="dxa"/>
        <w:tblCellMar>
          <w:top w:w="106" w:type="dxa"/>
          <w:left w:w="36" w:type="dxa"/>
          <w:bottom w:w="0" w:type="dxa"/>
          <w:right w:w="95" w:type="dxa"/>
        </w:tblCellMar>
        <w:tblLook w:val="04A0" w:firstRow="1" w:lastRow="0" w:firstColumn="1" w:lastColumn="0" w:noHBand="0" w:noVBand="1"/>
      </w:tblPr>
      <w:tblGrid>
        <w:gridCol w:w="3517"/>
        <w:gridCol w:w="504"/>
        <w:gridCol w:w="3517"/>
        <w:gridCol w:w="504"/>
      </w:tblGrid>
      <w:tr w:rsidR="004B6076">
        <w:trPr>
          <w:trHeight w:val="282"/>
        </w:trPr>
        <w:tc>
          <w:tcPr>
            <w:tcW w:w="351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13,50</w:t>
            </w:r>
          </w:p>
        </w:tc>
        <w:tc>
          <w:tcPr>
            <w:tcW w:w="504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0,25</w:t>
            </w:r>
          </w:p>
        </w:tc>
        <w:tc>
          <w:tcPr>
            <w:tcW w:w="351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86,00</w:t>
            </w:r>
          </w:p>
        </w:tc>
        <w:tc>
          <w:tcPr>
            <w:tcW w:w="504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0,96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15,50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0,29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88,50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0,98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17,50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0,30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93,50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1,02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20,50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0,31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97,50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1,03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24,00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0,32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100,50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1,05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27,50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0,35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103,50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1,06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30,00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0,36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106,00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1,08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31,50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0,37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108,50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1,09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33,00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0,38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113,00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1,10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34,00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0,39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117,00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1,12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35,50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0,40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118,00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1,19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38,00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0,41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120,50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1,30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40,00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0,42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123,00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1,35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41,50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0,43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124,00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1,50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44,00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0,44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125,50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1,60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46,00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0,45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127,00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1,65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47,50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0,47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128,00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1,84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49,00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0,48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129,00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1,87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51,00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0,50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130,00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2,85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53,50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0,52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55,00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0,53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56,00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0,54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57,00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0,57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58,00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0,58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59,50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0,60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61,00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0,64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62,50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0,68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64,50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0,70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66,00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0,71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67,00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0,74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68,00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0,78</w:t>
            </w:r>
          </w:p>
        </w:tc>
        <w:tc>
          <w:tcPr>
            <w:tcW w:w="3517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</w:tbl>
    <w:p w:rsidR="004B6076" w:rsidRDefault="009E1091">
      <w:pPr>
        <w:pStyle w:val="Heading2"/>
        <w:spacing w:after="13"/>
        <w:ind w:left="-5"/>
      </w:pPr>
      <w:r>
        <w:t>(ед.) в ранг</w:t>
      </w:r>
    </w:p>
    <w:tbl>
      <w:tblPr>
        <w:tblStyle w:val="TableGrid"/>
        <w:tblW w:w="11655" w:type="dxa"/>
        <w:tblInd w:w="24" w:type="dxa"/>
        <w:tblCellMar>
          <w:top w:w="124" w:type="dxa"/>
          <w:left w:w="36" w:type="dxa"/>
          <w:bottom w:w="0" w:type="dxa"/>
          <w:right w:w="38" w:type="dxa"/>
        </w:tblCellMar>
        <w:tblLook w:val="04A0" w:firstRow="1" w:lastRow="0" w:firstColumn="1" w:lastColumn="0" w:noHBand="0" w:noVBand="1"/>
      </w:tblPr>
      <w:tblGrid>
        <w:gridCol w:w="3433"/>
        <w:gridCol w:w="504"/>
        <w:gridCol w:w="3409"/>
        <w:gridCol w:w="504"/>
        <w:gridCol w:w="3301"/>
        <w:gridCol w:w="504"/>
      </w:tblGrid>
      <w:tr w:rsidR="004B6076">
        <w:trPr>
          <w:trHeight w:val="528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Среднее количество молодых хондроцитов, ед.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Ранг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Среднее количество молодых хондроцитов, ед.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Ранг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rPr>
                <w:b/>
              </w:rPr>
              <w:t>Среднее количество молодых хондроцитов, ед.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:rsidR="004B6076" w:rsidRDefault="009E1091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Ранг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84,5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16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127,0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400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94,5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17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128,0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510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8,5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101,0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18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129,0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630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106,0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19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130,0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897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16,0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110,0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20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22,0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113,5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21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29,5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10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117,0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22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39,5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119,5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23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52,0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121,0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24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61,5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13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122,5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25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67,0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14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124,0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31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74,0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15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125,0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90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  <w:tr w:rsidR="004B6076">
        <w:trPr>
          <w:trHeight w:val="300"/>
        </w:trPr>
        <w:tc>
          <w:tcPr>
            <w:tcW w:w="3433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84,5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16</w:t>
            </w:r>
          </w:p>
        </w:tc>
        <w:tc>
          <w:tcPr>
            <w:tcW w:w="3409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126,0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300</w:t>
            </w:r>
          </w:p>
        </w:tc>
        <w:tc>
          <w:tcPr>
            <w:tcW w:w="3301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  <w:tc>
          <w:tcPr>
            <w:tcW w:w="504" w:type="dxa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:rsidR="004B6076" w:rsidRDefault="009E1091">
            <w:pPr>
              <w:spacing w:after="0" w:line="259" w:lineRule="auto"/>
              <w:ind w:left="0" w:firstLine="0"/>
            </w:pPr>
            <w:r>
              <w:t>–</w:t>
            </w:r>
          </w:p>
        </w:tc>
      </w:tr>
    </w:tbl>
    <w:p w:rsidR="004B6076" w:rsidRDefault="009E1091">
      <w:pPr>
        <w:spacing w:after="400"/>
        <w:ind w:left="-5" w:right="9810"/>
      </w:pPr>
      <w:r>
        <w:t>tab not found: 0005 tab not found: 0006 tab not found: 0007</w:t>
      </w:r>
    </w:p>
    <w:p w:rsidR="004B6076" w:rsidRDefault="009E1091">
      <w:pPr>
        <w:spacing w:after="50" w:line="259" w:lineRule="auto"/>
        <w:ind w:left="-5"/>
      </w:pPr>
      <w:r>
        <w:rPr>
          <w:b/>
          <w:sz w:val="38"/>
        </w:rPr>
        <w:t>Страница не найдена</w:t>
      </w:r>
    </w:p>
    <w:p w:rsidR="004B6076" w:rsidRDefault="009E1091">
      <w:pPr>
        <w:pStyle w:val="Heading1"/>
        <w:ind w:left="-5"/>
      </w:pPr>
      <w:r>
        <w:t>Internal Server Error</w:t>
      </w:r>
    </w:p>
    <w:p w:rsidR="004B6076" w:rsidRDefault="009E1091">
      <w:pPr>
        <w:ind w:left="-5" w:right="22"/>
      </w:pPr>
      <w:r>
        <w:t>The server encountered an internal error or misconfiguration and was unable to complete your request.</w:t>
      </w:r>
    </w:p>
    <w:p w:rsidR="004B6076" w:rsidRDefault="009E1091">
      <w:pPr>
        <w:ind w:left="-5" w:right="22"/>
      </w:pPr>
      <w:r>
        <w:t>Please contact the server administrator at shishkin@geotar.ru to inform them of the time this error occurred, and the actions you performed just before this error.</w:t>
      </w:r>
    </w:p>
    <w:p w:rsidR="004B6076" w:rsidRDefault="009E1091">
      <w:pPr>
        <w:spacing w:after="13"/>
        <w:ind w:left="-5" w:right="22"/>
      </w:pPr>
      <w:r>
        <w:t>More information about this error may be available in the server error log.</w:t>
      </w:r>
    </w:p>
    <w:p w:rsidR="004B6076" w:rsidRDefault="009E1091">
      <w:pPr>
        <w:spacing w:after="184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7431375" cy="15244"/>
                <wp:effectExtent l="0" t="0" r="0" b="0"/>
                <wp:docPr id="133579" name="Group 133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31375" cy="15244"/>
                          <a:chOff x="0" y="0"/>
                          <a:chExt cx="7431375" cy="15244"/>
                        </a:xfrm>
                      </wpg:grpSpPr>
                      <wps:wsp>
                        <wps:cNvPr id="14157" name="Shape 14157"/>
                        <wps:cNvSpPr/>
                        <wps:spPr>
                          <a:xfrm>
                            <a:off x="0" y="0"/>
                            <a:ext cx="7431375" cy="76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31375" h="7622">
                                <a:moveTo>
                                  <a:pt x="0" y="0"/>
                                </a:moveTo>
                                <a:lnTo>
                                  <a:pt x="7431375" y="0"/>
                                </a:lnTo>
                                <a:lnTo>
                                  <a:pt x="7423753" y="7622"/>
                                </a:lnTo>
                                <a:lnTo>
                                  <a:pt x="0" y="76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58" name="Shape 14158"/>
                        <wps:cNvSpPr/>
                        <wps:spPr>
                          <a:xfrm>
                            <a:off x="0" y="7622"/>
                            <a:ext cx="7431375" cy="76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31375" h="7622">
                                <a:moveTo>
                                  <a:pt x="7622" y="0"/>
                                </a:moveTo>
                                <a:lnTo>
                                  <a:pt x="7431375" y="0"/>
                                </a:lnTo>
                                <a:lnTo>
                                  <a:pt x="7431375" y="7622"/>
                                </a:lnTo>
                                <a:lnTo>
                                  <a:pt x="0" y="7622"/>
                                </a:lnTo>
                                <a:lnTo>
                                  <a:pt x="76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59" name="Shape 14159"/>
                        <wps:cNvSpPr/>
                        <wps:spPr>
                          <a:xfrm>
                            <a:off x="0" y="0"/>
                            <a:ext cx="7622" cy="15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2" h="15244">
                                <a:moveTo>
                                  <a:pt x="0" y="0"/>
                                </a:moveTo>
                                <a:lnTo>
                                  <a:pt x="7622" y="0"/>
                                </a:lnTo>
                                <a:lnTo>
                                  <a:pt x="7622" y="7622"/>
                                </a:lnTo>
                                <a:lnTo>
                                  <a:pt x="0" y="152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60" name="Shape 14160"/>
                        <wps:cNvSpPr/>
                        <wps:spPr>
                          <a:xfrm>
                            <a:off x="7423753" y="0"/>
                            <a:ext cx="7622" cy="15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2" h="15244">
                                <a:moveTo>
                                  <a:pt x="7622" y="0"/>
                                </a:moveTo>
                                <a:lnTo>
                                  <a:pt x="7622" y="15244"/>
                                </a:lnTo>
                                <a:lnTo>
                                  <a:pt x="0" y="15244"/>
                                </a:lnTo>
                                <a:lnTo>
                                  <a:pt x="0" y="7622"/>
                                </a:lnTo>
                                <a:lnTo>
                                  <a:pt x="76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33579" style="width:585.148pt;height:1.2003pt;mso-position-horizontal-relative:char;mso-position-vertical-relative:line" coordsize="74313,152">
                <v:shape id="Shape 14157" style="position:absolute;width:74313;height:76;left:0;top:0;" coordsize="7431375,7622" path="m0,0l7431375,0l7423753,7622l0,7622l0,0x">
                  <v:stroke weight="0pt" endcap="flat" joinstyle="miter" miterlimit="10" on="false" color="#000000" opacity="0"/>
                  <v:fill on="true" color="#9a9a9a"/>
                </v:shape>
                <v:shape id="Shape 14158" style="position:absolute;width:74313;height:76;left:0;top:76;" coordsize="7431375,7622" path="m7622,0l7431375,0l7431375,7622l0,7622l7622,0x">
                  <v:stroke weight="0pt" endcap="flat" joinstyle="miter" miterlimit="10" on="false" color="#000000" opacity="0"/>
                  <v:fill on="true" color="#eeeeee"/>
                </v:shape>
                <v:shape id="Shape 14159" style="position:absolute;width:76;height:152;left:0;top:0;" coordsize="7622,15244" path="m0,0l7622,0l7622,7622l0,15244l0,0x">
                  <v:stroke weight="0pt" endcap="flat" joinstyle="miter" miterlimit="10" on="false" color="#000000" opacity="0"/>
                  <v:fill on="true" color="#9a9a9a"/>
                </v:shape>
                <v:shape id="Shape 14160" style="position:absolute;width:76;height:152;left:74237;top:0;" coordsize="7622,15244" path="m7622,0l7622,15244l0,15244l0,7622l7622,0x">
                  <v:stroke weight="0pt" endcap="flat" joinstyle="miter" miterlimit="10" on="false" color="#000000" opacity="0"/>
                  <v:fill on="true" color="#eeeeee"/>
                </v:shape>
              </v:group>
            </w:pict>
          </mc:Fallback>
        </mc:AlternateContent>
      </w:r>
    </w:p>
    <w:p w:rsidR="004B6076" w:rsidRDefault="009E1091">
      <w:pPr>
        <w:spacing w:after="378" w:line="265" w:lineRule="auto"/>
        <w:ind w:left="-5"/>
      </w:pPr>
      <w:r>
        <w:rPr>
          <w:i/>
        </w:rPr>
        <w:t>Apache/2.4.37 (centos) Server at www.studentlibrary.ru Port 443</w:t>
      </w:r>
    </w:p>
    <w:p w:rsidR="004B6076" w:rsidRDefault="009E1091">
      <w:pPr>
        <w:pStyle w:val="Heading1"/>
        <w:ind w:left="-5"/>
      </w:pPr>
      <w:r>
        <w:t>Internal Server Error</w:t>
      </w:r>
    </w:p>
    <w:p w:rsidR="004B6076" w:rsidRDefault="009E1091">
      <w:pPr>
        <w:ind w:left="-5" w:right="22"/>
      </w:pPr>
      <w:r>
        <w:t>The server encountered an internal error or misconfiguration and was unable to complete your request.</w:t>
      </w:r>
    </w:p>
    <w:p w:rsidR="004B6076" w:rsidRDefault="009E1091">
      <w:pPr>
        <w:ind w:left="-5" w:right="22"/>
      </w:pPr>
      <w:r>
        <w:t>Please contact the server administrator at shishkin@geotar.ru to inf</w:t>
      </w:r>
      <w:r>
        <w:t>orm them of the time this error occurred, and the actions you performed just before this error.</w:t>
      </w:r>
    </w:p>
    <w:p w:rsidR="004B6076" w:rsidRDefault="009E1091">
      <w:pPr>
        <w:spacing w:after="13"/>
        <w:ind w:left="-5" w:right="22"/>
      </w:pPr>
      <w:r>
        <w:t>More information about this error may be available in the server error log.</w:t>
      </w:r>
    </w:p>
    <w:p w:rsidR="004B6076" w:rsidRDefault="009E1091">
      <w:pPr>
        <w:spacing w:after="184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7431375" cy="15244"/>
                <wp:effectExtent l="0" t="0" r="0" b="0"/>
                <wp:docPr id="133580" name="Group 1335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31375" cy="15244"/>
                          <a:chOff x="0" y="0"/>
                          <a:chExt cx="7431375" cy="15244"/>
                        </a:xfrm>
                      </wpg:grpSpPr>
                      <wps:wsp>
                        <wps:cNvPr id="14161" name="Shape 14161"/>
                        <wps:cNvSpPr/>
                        <wps:spPr>
                          <a:xfrm>
                            <a:off x="0" y="0"/>
                            <a:ext cx="7431375" cy="76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31375" h="7622">
                                <a:moveTo>
                                  <a:pt x="0" y="0"/>
                                </a:moveTo>
                                <a:lnTo>
                                  <a:pt x="7431375" y="0"/>
                                </a:lnTo>
                                <a:lnTo>
                                  <a:pt x="7423753" y="7622"/>
                                </a:lnTo>
                                <a:lnTo>
                                  <a:pt x="0" y="76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62" name="Shape 14162"/>
                        <wps:cNvSpPr/>
                        <wps:spPr>
                          <a:xfrm>
                            <a:off x="0" y="7622"/>
                            <a:ext cx="7431375" cy="76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31375" h="7622">
                                <a:moveTo>
                                  <a:pt x="7622" y="0"/>
                                </a:moveTo>
                                <a:lnTo>
                                  <a:pt x="7431375" y="0"/>
                                </a:lnTo>
                                <a:lnTo>
                                  <a:pt x="7431375" y="7622"/>
                                </a:lnTo>
                                <a:lnTo>
                                  <a:pt x="0" y="7622"/>
                                </a:lnTo>
                                <a:lnTo>
                                  <a:pt x="76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63" name="Shape 14163"/>
                        <wps:cNvSpPr/>
                        <wps:spPr>
                          <a:xfrm>
                            <a:off x="0" y="0"/>
                            <a:ext cx="7622" cy="15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2" h="15244">
                                <a:moveTo>
                                  <a:pt x="0" y="0"/>
                                </a:moveTo>
                                <a:lnTo>
                                  <a:pt x="7622" y="0"/>
                                </a:lnTo>
                                <a:lnTo>
                                  <a:pt x="7622" y="7622"/>
                                </a:lnTo>
                                <a:lnTo>
                                  <a:pt x="0" y="152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64" name="Shape 14164"/>
                        <wps:cNvSpPr/>
                        <wps:spPr>
                          <a:xfrm>
                            <a:off x="7423753" y="0"/>
                            <a:ext cx="7622" cy="15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2" h="15244">
                                <a:moveTo>
                                  <a:pt x="7622" y="0"/>
                                </a:moveTo>
                                <a:lnTo>
                                  <a:pt x="7622" y="15244"/>
                                </a:lnTo>
                                <a:lnTo>
                                  <a:pt x="0" y="15244"/>
                                </a:lnTo>
                                <a:lnTo>
                                  <a:pt x="0" y="7622"/>
                                </a:lnTo>
                                <a:lnTo>
                                  <a:pt x="76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33580" style="width:585.148pt;height:1.2003pt;mso-position-horizontal-relative:char;mso-position-vertical-relative:line" coordsize="74313,152">
                <v:shape id="Shape 14161" style="position:absolute;width:74313;height:76;left:0;top:0;" coordsize="7431375,7622" path="m0,0l7431375,0l7423753,7622l0,7622l0,0x">
                  <v:stroke weight="0pt" endcap="flat" joinstyle="miter" miterlimit="10" on="false" color="#000000" opacity="0"/>
                  <v:fill on="true" color="#9a9a9a"/>
                </v:shape>
                <v:shape id="Shape 14162" style="position:absolute;width:74313;height:76;left:0;top:76;" coordsize="7431375,7622" path="m7622,0l7431375,0l7431375,7622l0,7622l7622,0x">
                  <v:stroke weight="0pt" endcap="flat" joinstyle="miter" miterlimit="10" on="false" color="#000000" opacity="0"/>
                  <v:fill on="true" color="#eeeeee"/>
                </v:shape>
                <v:shape id="Shape 14163" style="position:absolute;width:76;height:152;left:0;top:0;" coordsize="7622,15244" path="m0,0l7622,0l7622,7622l0,15244l0,0x">
                  <v:stroke weight="0pt" endcap="flat" joinstyle="miter" miterlimit="10" on="false" color="#000000" opacity="0"/>
                  <v:fill on="true" color="#9a9a9a"/>
                </v:shape>
                <v:shape id="Shape 14164" style="position:absolute;width:76;height:152;left:74237;top:0;" coordsize="7622,15244" path="m7622,0l7622,15244l0,15244l0,7622l7622,0x">
                  <v:stroke weight="0pt" endcap="flat" joinstyle="miter" miterlimit="10" on="false" color="#000000" opacity="0"/>
                  <v:fill on="true" color="#eeeeee"/>
                </v:shape>
              </v:group>
            </w:pict>
          </mc:Fallback>
        </mc:AlternateContent>
      </w:r>
    </w:p>
    <w:p w:rsidR="004B6076" w:rsidRDefault="009E1091">
      <w:pPr>
        <w:spacing w:after="378" w:line="265" w:lineRule="auto"/>
        <w:ind w:left="-5"/>
      </w:pPr>
      <w:r>
        <w:rPr>
          <w:i/>
        </w:rPr>
        <w:t>Apache/2.4.37 (centos) Server at www.studentlibrary.ru Port 443</w:t>
      </w:r>
    </w:p>
    <w:p w:rsidR="004B6076" w:rsidRDefault="009E1091">
      <w:pPr>
        <w:pStyle w:val="Heading1"/>
        <w:ind w:left="-5"/>
      </w:pPr>
      <w:r>
        <w:t>Internal Server Er</w:t>
      </w:r>
      <w:r>
        <w:t>ror</w:t>
      </w:r>
    </w:p>
    <w:p w:rsidR="004B6076" w:rsidRDefault="009E1091">
      <w:pPr>
        <w:ind w:left="-5" w:right="22"/>
      </w:pPr>
      <w:r>
        <w:t>The server encountered an internal error or misconfiguration and was unable to complete your request.</w:t>
      </w:r>
    </w:p>
    <w:p w:rsidR="004B6076" w:rsidRDefault="009E1091">
      <w:pPr>
        <w:ind w:left="-5" w:right="22"/>
      </w:pPr>
      <w:r>
        <w:t>Please contact the server administrator at shishkin@geotar.ru to inform them of the time this error occurred, and the actions you performed just befor</w:t>
      </w:r>
      <w:r>
        <w:t>e this error.</w:t>
      </w:r>
    </w:p>
    <w:p w:rsidR="004B6076" w:rsidRDefault="009E1091">
      <w:pPr>
        <w:spacing w:after="13"/>
        <w:ind w:left="-5" w:right="22"/>
      </w:pPr>
      <w:r>
        <w:t>More information about this error may be available in the server error log.</w:t>
      </w:r>
    </w:p>
    <w:p w:rsidR="004B6076" w:rsidRDefault="009E1091">
      <w:pPr>
        <w:spacing w:after="184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7431375" cy="15244"/>
                <wp:effectExtent l="0" t="0" r="0" b="0"/>
                <wp:docPr id="133581" name="Group 1335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31375" cy="15244"/>
                          <a:chOff x="0" y="0"/>
                          <a:chExt cx="7431375" cy="15244"/>
                        </a:xfrm>
                      </wpg:grpSpPr>
                      <wps:wsp>
                        <wps:cNvPr id="14165" name="Shape 14165"/>
                        <wps:cNvSpPr/>
                        <wps:spPr>
                          <a:xfrm>
                            <a:off x="0" y="0"/>
                            <a:ext cx="7431375" cy="76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31375" h="7622">
                                <a:moveTo>
                                  <a:pt x="0" y="0"/>
                                </a:moveTo>
                                <a:lnTo>
                                  <a:pt x="7431375" y="0"/>
                                </a:lnTo>
                                <a:lnTo>
                                  <a:pt x="7423753" y="7622"/>
                                </a:lnTo>
                                <a:lnTo>
                                  <a:pt x="0" y="76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66" name="Shape 14166"/>
                        <wps:cNvSpPr/>
                        <wps:spPr>
                          <a:xfrm>
                            <a:off x="0" y="7622"/>
                            <a:ext cx="7431375" cy="76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31375" h="7622">
                                <a:moveTo>
                                  <a:pt x="7622" y="0"/>
                                </a:moveTo>
                                <a:lnTo>
                                  <a:pt x="7431375" y="0"/>
                                </a:lnTo>
                                <a:lnTo>
                                  <a:pt x="7431375" y="7622"/>
                                </a:lnTo>
                                <a:lnTo>
                                  <a:pt x="0" y="7622"/>
                                </a:lnTo>
                                <a:lnTo>
                                  <a:pt x="76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67" name="Shape 14167"/>
                        <wps:cNvSpPr/>
                        <wps:spPr>
                          <a:xfrm>
                            <a:off x="0" y="0"/>
                            <a:ext cx="7622" cy="15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2" h="15244">
                                <a:moveTo>
                                  <a:pt x="0" y="0"/>
                                </a:moveTo>
                                <a:lnTo>
                                  <a:pt x="7622" y="0"/>
                                </a:lnTo>
                                <a:lnTo>
                                  <a:pt x="7622" y="7622"/>
                                </a:lnTo>
                                <a:lnTo>
                                  <a:pt x="0" y="152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68" name="Shape 14168"/>
                        <wps:cNvSpPr/>
                        <wps:spPr>
                          <a:xfrm>
                            <a:off x="7423753" y="0"/>
                            <a:ext cx="7622" cy="15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2" h="15244">
                                <a:moveTo>
                                  <a:pt x="7622" y="0"/>
                                </a:moveTo>
                                <a:lnTo>
                                  <a:pt x="7622" y="15244"/>
                                </a:lnTo>
                                <a:lnTo>
                                  <a:pt x="0" y="15244"/>
                                </a:lnTo>
                                <a:lnTo>
                                  <a:pt x="0" y="7622"/>
                                </a:lnTo>
                                <a:lnTo>
                                  <a:pt x="76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33581" style="width:585.148pt;height:1.20032pt;mso-position-horizontal-relative:char;mso-position-vertical-relative:line" coordsize="74313,152">
                <v:shape id="Shape 14165" style="position:absolute;width:74313;height:76;left:0;top:0;" coordsize="7431375,7622" path="m0,0l7431375,0l7423753,7622l0,7622l0,0x">
                  <v:stroke weight="0pt" endcap="flat" joinstyle="miter" miterlimit="10" on="false" color="#000000" opacity="0"/>
                  <v:fill on="true" color="#9a9a9a"/>
                </v:shape>
                <v:shape id="Shape 14166" style="position:absolute;width:74313;height:76;left:0;top:76;" coordsize="7431375,7622" path="m7622,0l7431375,0l7431375,7622l0,7622l7622,0x">
                  <v:stroke weight="0pt" endcap="flat" joinstyle="miter" miterlimit="10" on="false" color="#000000" opacity="0"/>
                  <v:fill on="true" color="#eeeeee"/>
                </v:shape>
                <v:shape id="Shape 14167" style="position:absolute;width:76;height:152;left:0;top:0;" coordsize="7622,15244" path="m0,0l7622,0l7622,7622l0,15244l0,0x">
                  <v:stroke weight="0pt" endcap="flat" joinstyle="miter" miterlimit="10" on="false" color="#000000" opacity="0"/>
                  <v:fill on="true" color="#9a9a9a"/>
                </v:shape>
                <v:shape id="Shape 14168" style="position:absolute;width:76;height:152;left:74237;top:0;" coordsize="7622,15244" path="m7622,0l7622,15244l0,15244l0,7622l7622,0x">
                  <v:stroke weight="0pt" endcap="flat" joinstyle="miter" miterlimit="10" on="false" color="#000000" opacity="0"/>
                  <v:fill on="true" color="#eeeeee"/>
                </v:shape>
              </v:group>
            </w:pict>
          </mc:Fallback>
        </mc:AlternateContent>
      </w:r>
    </w:p>
    <w:p w:rsidR="004B6076" w:rsidRDefault="009E1091">
      <w:pPr>
        <w:spacing w:after="162" w:line="265" w:lineRule="auto"/>
        <w:ind w:left="-5"/>
      </w:pPr>
      <w:r>
        <w:rPr>
          <w:i/>
        </w:rPr>
        <w:t>Apache/2.4.37 (centos) Server at www.studentlibrary.ru Port 443</w:t>
      </w:r>
    </w:p>
    <w:sectPr w:rsidR="004B6076">
      <w:headerReference w:type="even" r:id="rId172"/>
      <w:headerReference w:type="default" r:id="rId173"/>
      <w:headerReference w:type="first" r:id="rId174"/>
      <w:pgSz w:w="11900" w:h="16840"/>
      <w:pgMar w:top="6" w:right="75" w:bottom="0" w:left="96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9E1091">
      <w:pPr>
        <w:spacing w:after="0" w:line="240" w:lineRule="auto"/>
      </w:pPr>
      <w:r>
        <w:separator/>
      </w:r>
    </w:p>
  </w:endnote>
  <w:endnote w:type="continuationSeparator" w:id="0">
    <w:p w:rsidR="00000000" w:rsidRDefault="009E10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9E1091">
      <w:pPr>
        <w:spacing w:after="0" w:line="240" w:lineRule="auto"/>
      </w:pPr>
      <w:r>
        <w:separator/>
      </w:r>
    </w:p>
  </w:footnote>
  <w:footnote w:type="continuationSeparator" w:id="0">
    <w:p w:rsidR="00000000" w:rsidRDefault="009E10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6076" w:rsidRDefault="004B6076">
    <w:pPr>
      <w:spacing w:after="160" w:line="259" w:lineRule="auto"/>
      <w:ind w:left="0" w:firstLine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6076" w:rsidRDefault="004B6076">
    <w:pPr>
      <w:spacing w:after="160" w:line="259" w:lineRule="auto"/>
      <w:ind w:left="0" w:firstLine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6076" w:rsidRDefault="004B6076">
    <w:pPr>
      <w:spacing w:after="160" w:line="259" w:lineRule="auto"/>
      <w:ind w:left="0"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6076" w:rsidRDefault="009E1091">
    <w:pPr>
      <w:spacing w:after="0" w:line="259" w:lineRule="auto"/>
      <w:ind w:left="-96" w:right="5312" w:firstLine="0"/>
    </w:pPr>
    <w:r>
      <w:rPr>
        <w:noProof/>
        <w:sz w:val="22"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60975</wp:posOffset>
              </wp:positionH>
              <wp:positionV relativeFrom="page">
                <wp:posOffset>0</wp:posOffset>
              </wp:positionV>
              <wp:extent cx="4062485" cy="7590"/>
              <wp:effectExtent l="0" t="0" r="0" b="0"/>
              <wp:wrapSquare wrapText="bothSides"/>
              <wp:docPr id="150488" name="Group 15048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062485" cy="7590"/>
                        <a:chOff x="0" y="0"/>
                        <a:chExt cx="4062485" cy="7590"/>
                      </a:xfrm>
                    </wpg:grpSpPr>
                    <wps:wsp>
                      <wps:cNvPr id="150489" name="Shape 150489"/>
                      <wps:cNvSpPr/>
                      <wps:spPr>
                        <a:xfrm>
                          <a:off x="7622" y="3820"/>
                          <a:ext cx="404724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047241">
                              <a:moveTo>
                                <a:pt x="0" y="0"/>
                              </a:moveTo>
                              <a:lnTo>
                                <a:pt x="4047241" y="0"/>
                              </a:lnTo>
                            </a:path>
                          </a:pathLst>
                        </a:custGeom>
                        <a:ln w="7622" cap="flat">
                          <a:custDash>
                            <a:ds d="60015" sp="60015"/>
                          </a:custDash>
                          <a:bevel/>
                        </a:ln>
                      </wps:spPr>
                      <wps:style>
                        <a:lnRef idx="1">
                          <a:srgbClr val="C0C0C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58671" name="Shape 158671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C0C0C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58672" name="Shape 158672"/>
                      <wps:cNvSpPr/>
                      <wps:spPr>
                        <a:xfrm>
                          <a:off x="4054863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C0C0C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50488" style="width:319.881pt;height:0.597656pt;position:absolute;mso-position-horizontal-relative:page;mso-position-horizontal:absolute;margin-left:4.80121pt;mso-position-vertical-relative:page;margin-top:0pt;" coordsize="40624,75">
              <v:shape id="Shape 150489" style="position:absolute;width:40472;height:0;left:76;top:38;" coordsize="4047241,0" path="m0,0l4047241,0">
                <v:stroke weight="0.600151pt" endcap="flat" dashstyle="1 1" joinstyle="bevel" on="true" color="#c0c0c0"/>
                <v:fill on="false" color="#000000" opacity="0"/>
              </v:shape>
              <v:shape id="Shape 158673" style="position:absolute;width:91;height:91;left:0;top:0;" coordsize="9144,9144" path="m0,0l9144,0l9144,9144l0,9144l0,0">
                <v:stroke weight="0pt" endcap="flat" joinstyle="miter" miterlimit="10" on="false" color="#000000" opacity="0"/>
                <v:fill on="true" color="#c0c0c0"/>
              </v:shape>
              <v:shape id="Shape 158674" style="position:absolute;width:91;height:91;left:40548;top:0;" coordsize="9144,9144" path="m0,0l9144,0l9144,9144l0,9144l0,0">
                <v:stroke weight="0pt" endcap="flat" joinstyle="miter" miterlimit="10" on="false" color="#000000" opacity="0"/>
                <v:fill on="true" color="#c0c0c0"/>
              </v:shape>
              <w10:wrap type="square"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6076" w:rsidRDefault="009E1091">
    <w:pPr>
      <w:spacing w:after="0" w:line="259" w:lineRule="auto"/>
      <w:ind w:left="-96" w:right="5312" w:firstLine="0"/>
    </w:pPr>
    <w:r>
      <w:rPr>
        <w:noProof/>
        <w:sz w:val="22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60975</wp:posOffset>
              </wp:positionH>
              <wp:positionV relativeFrom="page">
                <wp:posOffset>0</wp:posOffset>
              </wp:positionV>
              <wp:extent cx="4062485" cy="7590"/>
              <wp:effectExtent l="0" t="0" r="0" b="0"/>
              <wp:wrapSquare wrapText="bothSides"/>
              <wp:docPr id="150480" name="Group 1504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062485" cy="7590"/>
                        <a:chOff x="0" y="0"/>
                        <a:chExt cx="4062485" cy="7590"/>
                      </a:xfrm>
                    </wpg:grpSpPr>
                    <wps:wsp>
                      <wps:cNvPr id="150481" name="Shape 150481"/>
                      <wps:cNvSpPr/>
                      <wps:spPr>
                        <a:xfrm>
                          <a:off x="7622" y="3820"/>
                          <a:ext cx="404724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047241">
                              <a:moveTo>
                                <a:pt x="0" y="0"/>
                              </a:moveTo>
                              <a:lnTo>
                                <a:pt x="4047241" y="0"/>
                              </a:lnTo>
                            </a:path>
                          </a:pathLst>
                        </a:custGeom>
                        <a:ln w="7622" cap="flat">
                          <a:custDash>
                            <a:ds d="60015" sp="60015"/>
                          </a:custDash>
                          <a:bevel/>
                        </a:ln>
                      </wps:spPr>
                      <wps:style>
                        <a:lnRef idx="1">
                          <a:srgbClr val="C0C0C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58667" name="Shape 158667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C0C0C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58668" name="Shape 158668"/>
                      <wps:cNvSpPr/>
                      <wps:spPr>
                        <a:xfrm>
                          <a:off x="4054863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C0C0C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50480" style="width:319.881pt;height:0.597656pt;position:absolute;mso-position-horizontal-relative:page;mso-position-horizontal:absolute;margin-left:4.80121pt;mso-position-vertical-relative:page;margin-top:0pt;" coordsize="40624,75">
              <v:shape id="Shape 150481" style="position:absolute;width:40472;height:0;left:76;top:38;" coordsize="4047241,0" path="m0,0l4047241,0">
                <v:stroke weight="0.600151pt" endcap="flat" dashstyle="1 1" joinstyle="bevel" on="true" color="#c0c0c0"/>
                <v:fill on="false" color="#000000" opacity="0"/>
              </v:shape>
              <v:shape id="Shape 158669" style="position:absolute;width:91;height:91;left:0;top:0;" coordsize="9144,9144" path="m0,0l9144,0l9144,9144l0,9144l0,0">
                <v:stroke weight="0pt" endcap="flat" joinstyle="miter" miterlimit="10" on="false" color="#000000" opacity="0"/>
                <v:fill on="true" color="#c0c0c0"/>
              </v:shape>
              <v:shape id="Shape 158670" style="position:absolute;width:91;height:91;left:40548;top:0;" coordsize="9144,9144" path="m0,0l9144,0l9144,9144l0,9144l0,0">
                <v:stroke weight="0pt" endcap="flat" joinstyle="miter" miterlimit="10" on="false" color="#000000" opacity="0"/>
                <v:fill on="true" color="#c0c0c0"/>
              </v:shape>
              <w10:wrap type="square"/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6076" w:rsidRDefault="009E1091">
    <w:pPr>
      <w:spacing w:after="0" w:line="259" w:lineRule="auto"/>
      <w:ind w:left="-96" w:right="5312" w:firstLine="0"/>
    </w:pPr>
    <w:r>
      <w:rPr>
        <w:noProof/>
        <w:sz w:val="22"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60975</wp:posOffset>
              </wp:positionH>
              <wp:positionV relativeFrom="page">
                <wp:posOffset>0</wp:posOffset>
              </wp:positionV>
              <wp:extent cx="4062485" cy="7590"/>
              <wp:effectExtent l="0" t="0" r="0" b="0"/>
              <wp:wrapSquare wrapText="bothSides"/>
              <wp:docPr id="150472" name="Group 15047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062485" cy="7590"/>
                        <a:chOff x="0" y="0"/>
                        <a:chExt cx="4062485" cy="7590"/>
                      </a:xfrm>
                    </wpg:grpSpPr>
                    <wps:wsp>
                      <wps:cNvPr id="150473" name="Shape 150473"/>
                      <wps:cNvSpPr/>
                      <wps:spPr>
                        <a:xfrm>
                          <a:off x="7622" y="3820"/>
                          <a:ext cx="404724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047241">
                              <a:moveTo>
                                <a:pt x="0" y="0"/>
                              </a:moveTo>
                              <a:lnTo>
                                <a:pt x="4047241" y="0"/>
                              </a:lnTo>
                            </a:path>
                          </a:pathLst>
                        </a:custGeom>
                        <a:ln w="7622" cap="flat">
                          <a:custDash>
                            <a:ds d="60015" sp="60015"/>
                          </a:custDash>
                          <a:bevel/>
                        </a:ln>
                      </wps:spPr>
                      <wps:style>
                        <a:lnRef idx="1">
                          <a:srgbClr val="C0C0C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58663" name="Shape 158663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C0C0C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58664" name="Shape 158664"/>
                      <wps:cNvSpPr/>
                      <wps:spPr>
                        <a:xfrm>
                          <a:off x="4054863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C0C0C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50472" style="width:319.881pt;height:0.597656pt;position:absolute;mso-position-horizontal-relative:page;mso-position-horizontal:absolute;margin-left:4.80121pt;mso-position-vertical-relative:page;margin-top:0pt;" coordsize="40624,75">
              <v:shape id="Shape 150473" style="position:absolute;width:40472;height:0;left:76;top:38;" coordsize="4047241,0" path="m0,0l4047241,0">
                <v:stroke weight="0.600151pt" endcap="flat" dashstyle="1 1" joinstyle="bevel" on="true" color="#c0c0c0"/>
                <v:fill on="false" color="#000000" opacity="0"/>
              </v:shape>
              <v:shape id="Shape 158665" style="position:absolute;width:91;height:91;left:0;top:0;" coordsize="9144,9144" path="m0,0l9144,0l9144,9144l0,9144l0,0">
                <v:stroke weight="0pt" endcap="flat" joinstyle="miter" miterlimit="10" on="false" color="#000000" opacity="0"/>
                <v:fill on="true" color="#c0c0c0"/>
              </v:shape>
              <v:shape id="Shape 158666" style="position:absolute;width:91;height:91;left:40548;top:0;" coordsize="9144,9144" path="m0,0l9144,0l9144,9144l0,9144l0,0">
                <v:stroke weight="0pt" endcap="flat" joinstyle="miter" miterlimit="10" on="false" color="#000000" opacity="0"/>
                <v:fill on="true" color="#c0c0c0"/>
              </v:shape>
              <w10:wrap type="square"/>
            </v:group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6076" w:rsidRDefault="004B6076">
    <w:pPr>
      <w:spacing w:after="160" w:line="259" w:lineRule="auto"/>
      <w:ind w:left="0" w:firstLine="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6076" w:rsidRDefault="004B6076">
    <w:pPr>
      <w:spacing w:after="160" w:line="259" w:lineRule="auto"/>
      <w:ind w:left="0" w:firstLine="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6076" w:rsidRDefault="004B6076">
    <w:pPr>
      <w:spacing w:after="160" w:line="259" w:lineRule="auto"/>
      <w:ind w:left="0"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BE7922"/>
    <w:multiLevelType w:val="hybridMultilevel"/>
    <w:tmpl w:val="9E5EF67E"/>
    <w:lvl w:ilvl="0" w:tplc="04AA63A8">
      <w:start w:val="347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967EF7DA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15CCB98E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091CFC8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89AC160C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0CDCB7F0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F8DCD5E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6C96513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D13A483A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21F7ECE"/>
    <w:multiLevelType w:val="hybridMultilevel"/>
    <w:tmpl w:val="E6C8125C"/>
    <w:lvl w:ilvl="0" w:tplc="BA3868D2">
      <w:start w:val="1"/>
      <w:numFmt w:val="decimal"/>
      <w:lvlText w:val="%1."/>
      <w:lvlJc w:val="left"/>
      <w:pPr>
        <w:ind w:left="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A666269C">
      <w:start w:val="1"/>
      <w:numFmt w:val="lowerLetter"/>
      <w:lvlText w:val="%2"/>
      <w:lvlJc w:val="left"/>
      <w:pPr>
        <w:ind w:left="129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9384A1A6">
      <w:start w:val="1"/>
      <w:numFmt w:val="lowerRoman"/>
      <w:lvlText w:val="%3"/>
      <w:lvlJc w:val="left"/>
      <w:pPr>
        <w:ind w:left="20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0FAA52A6">
      <w:start w:val="1"/>
      <w:numFmt w:val="decimal"/>
      <w:lvlText w:val="%4"/>
      <w:lvlJc w:val="left"/>
      <w:pPr>
        <w:ind w:left="273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F9E44918">
      <w:start w:val="1"/>
      <w:numFmt w:val="lowerLetter"/>
      <w:lvlText w:val="%5"/>
      <w:lvlJc w:val="left"/>
      <w:pPr>
        <w:ind w:left="345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6CC8CCF2">
      <w:start w:val="1"/>
      <w:numFmt w:val="lowerRoman"/>
      <w:lvlText w:val="%6"/>
      <w:lvlJc w:val="left"/>
      <w:pPr>
        <w:ind w:left="417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D7242676">
      <w:start w:val="1"/>
      <w:numFmt w:val="decimal"/>
      <w:lvlText w:val="%7"/>
      <w:lvlJc w:val="left"/>
      <w:pPr>
        <w:ind w:left="489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FB14CCC6">
      <w:start w:val="1"/>
      <w:numFmt w:val="lowerLetter"/>
      <w:lvlText w:val="%8"/>
      <w:lvlJc w:val="left"/>
      <w:pPr>
        <w:ind w:left="56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3D80E2B0">
      <w:start w:val="1"/>
      <w:numFmt w:val="lowerRoman"/>
      <w:lvlText w:val="%9"/>
      <w:lvlJc w:val="left"/>
      <w:pPr>
        <w:ind w:left="633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2703426"/>
    <w:multiLevelType w:val="hybridMultilevel"/>
    <w:tmpl w:val="B65457E0"/>
    <w:lvl w:ilvl="0" w:tplc="7E726326">
      <w:start w:val="233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28CC954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E85A598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03D8E920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210E8ED8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695E983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83B88EC4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6E6A6BAE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6916FD4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432209E"/>
    <w:multiLevelType w:val="hybridMultilevel"/>
    <w:tmpl w:val="24B8134C"/>
    <w:lvl w:ilvl="0" w:tplc="BEF429D0">
      <w:start w:val="6"/>
      <w:numFmt w:val="decimal"/>
      <w:lvlText w:val="%1."/>
      <w:lvlJc w:val="left"/>
      <w:pPr>
        <w:ind w:left="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8AE60CB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66C8772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9FAAA9E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F2788AEC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E2D21D3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90A6AD5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699CF4C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E200DA0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586121F"/>
    <w:multiLevelType w:val="hybridMultilevel"/>
    <w:tmpl w:val="EC1A5EDC"/>
    <w:lvl w:ilvl="0" w:tplc="786ADB3A">
      <w:start w:val="266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E6C601D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FD0A2F86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71A8CD4E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C5D4FC7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5944DEF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3F1C683E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6BEE257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A3706D2E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B765AAE"/>
    <w:multiLevelType w:val="hybridMultilevel"/>
    <w:tmpl w:val="256AC292"/>
    <w:lvl w:ilvl="0" w:tplc="DA3EFE4C">
      <w:start w:val="1"/>
      <w:numFmt w:val="decimal"/>
      <w:lvlText w:val="%1."/>
      <w:lvlJc w:val="left"/>
      <w:pPr>
        <w:ind w:left="21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5E16E3E6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768C70E2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1CA2CF2C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67A819C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38C06A04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B19A0E3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F710B25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E2C2DA3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0EE50F1E"/>
    <w:multiLevelType w:val="hybridMultilevel"/>
    <w:tmpl w:val="38520B84"/>
    <w:lvl w:ilvl="0" w:tplc="0A8A9DD0">
      <w:start w:val="155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DED88CB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AABED2F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017A2128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7C6243F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1C8A4D7E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56ECF8C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E6E808C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C40462CA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2A90E17"/>
    <w:multiLevelType w:val="hybridMultilevel"/>
    <w:tmpl w:val="511E5CC2"/>
    <w:lvl w:ilvl="0" w:tplc="FDB248FA">
      <w:start w:val="208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3170FC2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63AC4F0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3C8E8B50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000AB5C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5784E084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C9D803B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AC9A3242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9AC87FF8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3B24CEE"/>
    <w:multiLevelType w:val="hybridMultilevel"/>
    <w:tmpl w:val="39B41400"/>
    <w:lvl w:ilvl="0" w:tplc="B9546E02">
      <w:start w:val="305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DE0AD88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EED4C0E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666225D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9CD8ABBA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A81E3ABE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D4683C02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828A4862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24D8F32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3D92589"/>
    <w:multiLevelType w:val="hybridMultilevel"/>
    <w:tmpl w:val="64A47C10"/>
    <w:lvl w:ilvl="0" w:tplc="EE586E22">
      <w:start w:val="224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A2C2550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559CD6E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618CCCE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A35EB756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1464B19E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845C207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EFD8B6D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7926277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4274AF1"/>
    <w:multiLevelType w:val="hybridMultilevel"/>
    <w:tmpl w:val="87321CB4"/>
    <w:lvl w:ilvl="0" w:tplc="9A041248">
      <w:start w:val="245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D95E9DC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44DC041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C44ACE7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7BBAEF3A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2A60086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24C8889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A358DA16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2270ADB8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18122925"/>
    <w:multiLevelType w:val="hybridMultilevel"/>
    <w:tmpl w:val="5B86980A"/>
    <w:lvl w:ilvl="0" w:tplc="5B764F16">
      <w:start w:val="1"/>
      <w:numFmt w:val="decimal"/>
      <w:lvlText w:val="%1."/>
      <w:lvlJc w:val="left"/>
      <w:pPr>
        <w:ind w:left="1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883E1F04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389E587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200A707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5254E1F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731C52E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F792682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27509EA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C6403DF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19B854CE"/>
    <w:multiLevelType w:val="hybridMultilevel"/>
    <w:tmpl w:val="4BB824C8"/>
    <w:lvl w:ilvl="0" w:tplc="7AB01E32">
      <w:start w:val="2"/>
      <w:numFmt w:val="decimal"/>
      <w:lvlText w:val="%1"/>
      <w:lvlJc w:val="left"/>
      <w:pPr>
        <w:ind w:left="6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C9C082E2">
      <w:start w:val="1"/>
      <w:numFmt w:val="lowerLetter"/>
      <w:lvlText w:val="%2"/>
      <w:lvlJc w:val="left"/>
      <w:pPr>
        <w:ind w:left="36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BE72A792">
      <w:start w:val="1"/>
      <w:numFmt w:val="lowerRoman"/>
      <w:lvlText w:val="%3"/>
      <w:lvlJc w:val="left"/>
      <w:pPr>
        <w:ind w:left="43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2FA2BB02">
      <w:start w:val="1"/>
      <w:numFmt w:val="decimal"/>
      <w:lvlText w:val="%4"/>
      <w:lvlJc w:val="left"/>
      <w:pPr>
        <w:ind w:left="504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F3D8601E">
      <w:start w:val="1"/>
      <w:numFmt w:val="lowerLetter"/>
      <w:lvlText w:val="%5"/>
      <w:lvlJc w:val="left"/>
      <w:pPr>
        <w:ind w:left="576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F448EFAC">
      <w:start w:val="1"/>
      <w:numFmt w:val="lowerRoman"/>
      <w:lvlText w:val="%6"/>
      <w:lvlJc w:val="left"/>
      <w:pPr>
        <w:ind w:left="648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6372991C">
      <w:start w:val="1"/>
      <w:numFmt w:val="decimal"/>
      <w:lvlText w:val="%7"/>
      <w:lvlJc w:val="left"/>
      <w:pPr>
        <w:ind w:left="72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6EA4F00A">
      <w:start w:val="1"/>
      <w:numFmt w:val="lowerLetter"/>
      <w:lvlText w:val="%8"/>
      <w:lvlJc w:val="left"/>
      <w:pPr>
        <w:ind w:left="79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6A98C932">
      <w:start w:val="1"/>
      <w:numFmt w:val="lowerRoman"/>
      <w:lvlText w:val="%9"/>
      <w:lvlJc w:val="left"/>
      <w:pPr>
        <w:ind w:left="864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1C186A7F"/>
    <w:multiLevelType w:val="hybridMultilevel"/>
    <w:tmpl w:val="BFBAE348"/>
    <w:lvl w:ilvl="0" w:tplc="F6E68348">
      <w:start w:val="350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E2D8F92A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8A6CDC0E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92F4194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6A9685E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61F8F18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C9A45720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DA8E0CCE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79DAFE8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1D6B40A9"/>
    <w:multiLevelType w:val="hybridMultilevel"/>
    <w:tmpl w:val="CF487CEA"/>
    <w:lvl w:ilvl="0" w:tplc="C0FE7FBE">
      <w:start w:val="169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1F7E7A56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D4B4960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505C408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6E229F0A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A97807E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E9AACE5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0F582666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62C8304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1D725E33"/>
    <w:multiLevelType w:val="hybridMultilevel"/>
    <w:tmpl w:val="14FEA2AE"/>
    <w:lvl w:ilvl="0" w:tplc="91585B46">
      <w:start w:val="115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EE4C647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E6ECA70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6234E69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EC22994C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A41A2C2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5DFCF0C2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F25683C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9F60D71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41572CA"/>
    <w:multiLevelType w:val="hybridMultilevel"/>
    <w:tmpl w:val="F066F88E"/>
    <w:lvl w:ilvl="0" w:tplc="182A8264">
      <w:start w:val="1"/>
      <w:numFmt w:val="decimal"/>
      <w:lvlText w:val="%1."/>
      <w:lvlJc w:val="left"/>
      <w:pPr>
        <w:ind w:left="267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9C2E0E8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94D2C22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81D66DB0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589A7B6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26B0772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B18CE704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261E94F6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1736B19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A6406C3"/>
    <w:multiLevelType w:val="hybridMultilevel"/>
    <w:tmpl w:val="28C20D5E"/>
    <w:lvl w:ilvl="0" w:tplc="47305B94">
      <w:start w:val="171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AF68965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F4888AF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1452F2D0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BB50671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F5CE841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AAE0F1B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F196C63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22B83142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2B6B7211"/>
    <w:multiLevelType w:val="hybridMultilevel"/>
    <w:tmpl w:val="7AE2AFEE"/>
    <w:lvl w:ilvl="0" w:tplc="B9A68A30">
      <w:start w:val="226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D03AF79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B4F49F3E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BEEA8A4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D024AB0A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2528D89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D10AF994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405EE236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CCE066B8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2CAC71CB"/>
    <w:multiLevelType w:val="hybridMultilevel"/>
    <w:tmpl w:val="721AE946"/>
    <w:lvl w:ilvl="0" w:tplc="A942EF96">
      <w:start w:val="1"/>
      <w:numFmt w:val="decimal"/>
      <w:lvlText w:val="%1."/>
      <w:lvlJc w:val="left"/>
      <w:pPr>
        <w:ind w:left="213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D024916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E9F02CC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B01EFDF0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6C5EC736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F3440FF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329E3A6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2E1C776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95B6CEA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3BE33E05"/>
    <w:multiLevelType w:val="hybridMultilevel"/>
    <w:tmpl w:val="1E063892"/>
    <w:lvl w:ilvl="0" w:tplc="AF1C46A2">
      <w:start w:val="329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2B9EB8C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901E69F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DFD0EF9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9A12375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9AC4B8D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6B4EF3D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3FB0D4F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ED7EB62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3DCD109B"/>
    <w:multiLevelType w:val="hybridMultilevel"/>
    <w:tmpl w:val="71869CAA"/>
    <w:lvl w:ilvl="0" w:tplc="B5945DEE">
      <w:numFmt w:val="decimal"/>
      <w:lvlText w:val="%1"/>
      <w:lvlJc w:val="left"/>
      <w:pPr>
        <w:ind w:left="1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EC9A7420">
      <w:start w:val="1"/>
      <w:numFmt w:val="lowerLetter"/>
      <w:lvlText w:val="%2"/>
      <w:lvlJc w:val="left"/>
      <w:pPr>
        <w:ind w:left="249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721C3B70">
      <w:start w:val="1"/>
      <w:numFmt w:val="lowerRoman"/>
      <w:lvlText w:val="%3"/>
      <w:lvlJc w:val="left"/>
      <w:pPr>
        <w:ind w:left="32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8F9CDE78">
      <w:start w:val="1"/>
      <w:numFmt w:val="decimal"/>
      <w:lvlText w:val="%4"/>
      <w:lvlJc w:val="left"/>
      <w:pPr>
        <w:ind w:left="393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1ABCE4DA">
      <w:start w:val="1"/>
      <w:numFmt w:val="lowerLetter"/>
      <w:lvlText w:val="%5"/>
      <w:lvlJc w:val="left"/>
      <w:pPr>
        <w:ind w:left="465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13702314">
      <w:start w:val="1"/>
      <w:numFmt w:val="lowerRoman"/>
      <w:lvlText w:val="%6"/>
      <w:lvlJc w:val="left"/>
      <w:pPr>
        <w:ind w:left="537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2EC47FEC">
      <w:start w:val="1"/>
      <w:numFmt w:val="decimal"/>
      <w:lvlText w:val="%7"/>
      <w:lvlJc w:val="left"/>
      <w:pPr>
        <w:ind w:left="609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F5BCCC72">
      <w:start w:val="1"/>
      <w:numFmt w:val="lowerLetter"/>
      <w:lvlText w:val="%8"/>
      <w:lvlJc w:val="left"/>
      <w:pPr>
        <w:ind w:left="68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E50CAAD6">
      <w:start w:val="1"/>
      <w:numFmt w:val="lowerRoman"/>
      <w:lvlText w:val="%9"/>
      <w:lvlJc w:val="left"/>
      <w:pPr>
        <w:ind w:left="753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404012F3"/>
    <w:multiLevelType w:val="hybridMultilevel"/>
    <w:tmpl w:val="71287C2C"/>
    <w:lvl w:ilvl="0" w:tplc="16566406">
      <w:start w:val="337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AABC735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B564531E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3A8EAC1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117AE976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11F8CA8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74C656A2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EE64FDB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A0FC69D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439F7430"/>
    <w:multiLevelType w:val="hybridMultilevel"/>
    <w:tmpl w:val="337C9488"/>
    <w:lvl w:ilvl="0" w:tplc="B2702574">
      <w:start w:val="1"/>
      <w:numFmt w:val="decimal"/>
      <w:lvlText w:val="%1."/>
      <w:lvlJc w:val="left"/>
      <w:pPr>
        <w:ind w:left="213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5888BF36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26BAF93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037875BC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3D9E43C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DC3C78C4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78F278D2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7D20C1B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AC12B6F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/>
        <w:bCs/>
        <w:i/>
        <w:iCs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443E38AC"/>
    <w:multiLevelType w:val="hybridMultilevel"/>
    <w:tmpl w:val="AB8CAB86"/>
    <w:lvl w:ilvl="0" w:tplc="D99E3986">
      <w:start w:val="396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499C7334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ED9AC51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E370D86C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5450F9FC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DC22BDC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32B8463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A008F7C2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6DC6BF4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48297FE5"/>
    <w:multiLevelType w:val="hybridMultilevel"/>
    <w:tmpl w:val="A27AAA38"/>
    <w:lvl w:ilvl="0" w:tplc="B91285D4">
      <w:start w:val="373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BEB22EB6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7C68068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5CF0FCC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89A64E58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E016653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40E85FA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6AA80E06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4FC6B8B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4E500B6D"/>
    <w:multiLevelType w:val="hybridMultilevel"/>
    <w:tmpl w:val="FA74C128"/>
    <w:lvl w:ilvl="0" w:tplc="D5CCAB04">
      <w:start w:val="119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50C04E56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C25A850C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876CBB3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E33C35E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6B32BC6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B21C92EE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18386726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9A4851B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57B44C87"/>
    <w:multiLevelType w:val="hybridMultilevel"/>
    <w:tmpl w:val="4CCC9DA0"/>
    <w:lvl w:ilvl="0" w:tplc="8F10F5E2">
      <w:start w:val="339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81704044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E348FBB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EAC429C0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1FFA22A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980A37F4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05862F8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2BA2306E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6E1E102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A9D069C"/>
    <w:multiLevelType w:val="hybridMultilevel"/>
    <w:tmpl w:val="78AAA7EA"/>
    <w:lvl w:ilvl="0" w:tplc="39DC3A32">
      <w:start w:val="60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11E6EE44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4AF8730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C6DA319E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D0F27BB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D4A8BF5E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1186B22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487660F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012EA75E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5BC55DA1"/>
    <w:multiLevelType w:val="hybridMultilevel"/>
    <w:tmpl w:val="809C8418"/>
    <w:lvl w:ilvl="0" w:tplc="13644EF8">
      <w:start w:val="220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E3BC66B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F53CC62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BBD0A5E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CD164E4A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C1C0991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514ADBD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EFC6492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BDA8785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63284B00"/>
    <w:multiLevelType w:val="hybridMultilevel"/>
    <w:tmpl w:val="10D622B8"/>
    <w:lvl w:ilvl="0" w:tplc="609A8B1E">
      <w:start w:val="216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63E22B56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F300E876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AD74BBA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16504C4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BBCAB5D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429EF6C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B4966C82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314CB03E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64AF590E"/>
    <w:multiLevelType w:val="hybridMultilevel"/>
    <w:tmpl w:val="4EE4F8D8"/>
    <w:lvl w:ilvl="0" w:tplc="0D084618">
      <w:start w:val="365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7B1A0AF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27DEDCBC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BB0660C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54D258F6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5CAE18D0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688AFDB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C596A48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CD5E0F7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6B1A2326"/>
    <w:multiLevelType w:val="hybridMultilevel"/>
    <w:tmpl w:val="437E9F36"/>
    <w:lvl w:ilvl="0" w:tplc="6D7CD0EC">
      <w:start w:val="394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92E0414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05DAD2E2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A4B4FEF8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3E52278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8152A54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6FF0DC4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9E247582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79FE82C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6F2D721C"/>
    <w:multiLevelType w:val="hybridMultilevel"/>
    <w:tmpl w:val="C3DC616E"/>
    <w:lvl w:ilvl="0" w:tplc="26E2F806">
      <w:start w:val="389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A826409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52482F8E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DF8E0D5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F11C817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C12C5DE0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E37CA782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C660FD0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DBD62CE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727A7198"/>
    <w:multiLevelType w:val="hybridMultilevel"/>
    <w:tmpl w:val="5A0A9BEC"/>
    <w:lvl w:ilvl="0" w:tplc="4EA2FC50">
      <w:start w:val="356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0DBADC3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F2B49132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C84A6F5E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D1D8C55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01067A4E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8BC474CE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74100F9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8C283BA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743F5AEF"/>
    <w:multiLevelType w:val="hybridMultilevel"/>
    <w:tmpl w:val="82184260"/>
    <w:lvl w:ilvl="0" w:tplc="C9287BB8">
      <w:start w:val="277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DF6605D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6DD2A23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B45A6118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65F04766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71D8E8D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F5C05FE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60C8773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9F56225E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7652E66"/>
    <w:multiLevelType w:val="hybridMultilevel"/>
    <w:tmpl w:val="8472ABC6"/>
    <w:lvl w:ilvl="0" w:tplc="5D8416DC">
      <w:start w:val="385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3E0EFE9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56462D2C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67B4CD3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84B6DE6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E74CFB0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F870764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2B560802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9CC4726A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A352889"/>
    <w:multiLevelType w:val="hybridMultilevel"/>
    <w:tmpl w:val="AC2A59A6"/>
    <w:lvl w:ilvl="0" w:tplc="9C644DEA">
      <w:start w:val="1"/>
      <w:numFmt w:val="decimal"/>
      <w:lvlText w:val="%1."/>
      <w:lvlJc w:val="left"/>
      <w:pPr>
        <w:ind w:left="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5C0E00B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EF56747C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4932787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59129A7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6E38CBF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32985BD0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C6AAF186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48E2634E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7DF44CE1"/>
    <w:multiLevelType w:val="hybridMultilevel"/>
    <w:tmpl w:val="3F2E16D6"/>
    <w:lvl w:ilvl="0" w:tplc="7ACEC1B8">
      <w:start w:val="301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498C109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A8B239E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AD2ACAA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6CAA132C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ED764B8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76842582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3D368FA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AE80F0BE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12"/>
  </w:num>
  <w:num w:numId="3">
    <w:abstractNumId w:val="11"/>
  </w:num>
  <w:num w:numId="4">
    <w:abstractNumId w:val="16"/>
  </w:num>
  <w:num w:numId="5">
    <w:abstractNumId w:val="21"/>
  </w:num>
  <w:num w:numId="6">
    <w:abstractNumId w:val="23"/>
  </w:num>
  <w:num w:numId="7">
    <w:abstractNumId w:val="19"/>
  </w:num>
  <w:num w:numId="8">
    <w:abstractNumId w:val="37"/>
  </w:num>
  <w:num w:numId="9">
    <w:abstractNumId w:val="5"/>
  </w:num>
  <w:num w:numId="10">
    <w:abstractNumId w:val="3"/>
  </w:num>
  <w:num w:numId="11">
    <w:abstractNumId w:val="28"/>
  </w:num>
  <w:num w:numId="12">
    <w:abstractNumId w:val="15"/>
  </w:num>
  <w:num w:numId="13">
    <w:abstractNumId w:val="26"/>
  </w:num>
  <w:num w:numId="14">
    <w:abstractNumId w:val="6"/>
  </w:num>
  <w:num w:numId="15">
    <w:abstractNumId w:val="14"/>
  </w:num>
  <w:num w:numId="16">
    <w:abstractNumId w:val="17"/>
  </w:num>
  <w:num w:numId="17">
    <w:abstractNumId w:val="7"/>
  </w:num>
  <w:num w:numId="18">
    <w:abstractNumId w:val="30"/>
  </w:num>
  <w:num w:numId="19">
    <w:abstractNumId w:val="29"/>
  </w:num>
  <w:num w:numId="20">
    <w:abstractNumId w:val="9"/>
  </w:num>
  <w:num w:numId="21">
    <w:abstractNumId w:val="18"/>
  </w:num>
  <w:num w:numId="22">
    <w:abstractNumId w:val="2"/>
  </w:num>
  <w:num w:numId="23">
    <w:abstractNumId w:val="10"/>
  </w:num>
  <w:num w:numId="24">
    <w:abstractNumId w:val="4"/>
  </w:num>
  <w:num w:numId="25">
    <w:abstractNumId w:val="35"/>
  </w:num>
  <w:num w:numId="26">
    <w:abstractNumId w:val="38"/>
  </w:num>
  <w:num w:numId="27">
    <w:abstractNumId w:val="8"/>
  </w:num>
  <w:num w:numId="28">
    <w:abstractNumId w:val="20"/>
  </w:num>
  <w:num w:numId="29">
    <w:abstractNumId w:val="22"/>
  </w:num>
  <w:num w:numId="30">
    <w:abstractNumId w:val="27"/>
  </w:num>
  <w:num w:numId="31">
    <w:abstractNumId w:val="0"/>
  </w:num>
  <w:num w:numId="32">
    <w:abstractNumId w:val="13"/>
  </w:num>
  <w:num w:numId="33">
    <w:abstractNumId w:val="34"/>
  </w:num>
  <w:num w:numId="34">
    <w:abstractNumId w:val="31"/>
  </w:num>
  <w:num w:numId="35">
    <w:abstractNumId w:val="25"/>
  </w:num>
  <w:num w:numId="36">
    <w:abstractNumId w:val="36"/>
  </w:num>
  <w:num w:numId="37">
    <w:abstractNumId w:val="33"/>
  </w:num>
  <w:num w:numId="38">
    <w:abstractNumId w:val="32"/>
  </w:num>
  <w:num w:numId="3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6076"/>
    <w:rsid w:val="004B6076"/>
    <w:rsid w:val="009E1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E0CF9192-6AE6-4D73-951B-A6DAF2E253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83" w:line="243" w:lineRule="auto"/>
      <w:ind w:left="10" w:hanging="10"/>
    </w:pPr>
    <w:rPr>
      <w:rFonts w:ascii="Calibri" w:eastAsia="Calibri" w:hAnsi="Calibri" w:cs="Calibri"/>
      <w:color w:val="000000"/>
      <w:sz w:val="19"/>
    </w:rPr>
  </w:style>
  <w:style w:type="paragraph" w:styleId="Heading1">
    <w:name w:val="heading 1"/>
    <w:next w:val="Normal"/>
    <w:link w:val="Heading1Char"/>
    <w:uiPriority w:val="9"/>
    <w:unhideWhenUsed/>
    <w:qFormat/>
    <w:pPr>
      <w:keepNext/>
      <w:keepLines/>
      <w:spacing w:after="50"/>
      <w:ind w:left="10" w:hanging="10"/>
      <w:outlineLvl w:val="0"/>
    </w:pPr>
    <w:rPr>
      <w:rFonts w:ascii="Calibri" w:eastAsia="Calibri" w:hAnsi="Calibri" w:cs="Calibri"/>
      <w:b/>
      <w:color w:val="000000"/>
      <w:sz w:val="38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spacing w:after="128" w:line="248" w:lineRule="auto"/>
      <w:ind w:left="10" w:hanging="10"/>
      <w:outlineLvl w:val="1"/>
    </w:pPr>
    <w:rPr>
      <w:rFonts w:ascii="Calibri" w:eastAsia="Calibri" w:hAnsi="Calibri" w:cs="Calibri"/>
      <w:b/>
      <w:color w:val="000000"/>
      <w:sz w:val="2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Pr>
      <w:rFonts w:ascii="Calibri" w:eastAsia="Calibri" w:hAnsi="Calibri" w:cs="Calibri"/>
      <w:b/>
      <w:color w:val="000000"/>
      <w:sz w:val="38"/>
    </w:rPr>
  </w:style>
  <w:style w:type="character" w:customStyle="1" w:styleId="Heading2Char">
    <w:name w:val="Heading 2 Char"/>
    <w:link w:val="Heading2"/>
    <w:rPr>
      <w:rFonts w:ascii="Calibri" w:eastAsia="Calibri" w:hAnsi="Calibri" w:cs="Calibri"/>
      <w:b/>
      <w:color w:val="000000"/>
      <w:sz w:val="29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3.jpg"/><Relationship Id="rId21" Type="http://schemas.openxmlformats.org/officeDocument/2006/relationships/image" Target="media/image10.jpg"/><Relationship Id="rId42" Type="http://schemas.openxmlformats.org/officeDocument/2006/relationships/image" Target="media/image290.jpg"/><Relationship Id="rId63" Type="http://schemas.openxmlformats.org/officeDocument/2006/relationships/image" Target="media/image40.jpg"/><Relationship Id="rId84" Type="http://schemas.openxmlformats.org/officeDocument/2006/relationships/image" Target="media/image58.jpg"/><Relationship Id="rId138" Type="http://schemas.openxmlformats.org/officeDocument/2006/relationships/image" Target="media/image94.jpg"/><Relationship Id="rId159" Type="http://schemas.openxmlformats.org/officeDocument/2006/relationships/image" Target="media/image1030.jpg"/><Relationship Id="rId170" Type="http://schemas.openxmlformats.org/officeDocument/2006/relationships/image" Target="media/image109.jpg"/><Relationship Id="rId107" Type="http://schemas.openxmlformats.org/officeDocument/2006/relationships/image" Target="media/image78.jpg"/><Relationship Id="rId11" Type="http://schemas.openxmlformats.org/officeDocument/2006/relationships/image" Target="media/image5.jpg"/><Relationship Id="rId32" Type="http://schemas.openxmlformats.org/officeDocument/2006/relationships/image" Target="media/image21.jpg"/><Relationship Id="rId53" Type="http://schemas.openxmlformats.org/officeDocument/2006/relationships/image" Target="media/image350.jpg"/><Relationship Id="rId74" Type="http://schemas.openxmlformats.org/officeDocument/2006/relationships/image" Target="media/image48.jpg"/><Relationship Id="rId128" Type="http://schemas.openxmlformats.org/officeDocument/2006/relationships/image" Target="media/image890.jpg"/><Relationship Id="rId149" Type="http://schemas.openxmlformats.org/officeDocument/2006/relationships/image" Target="media/image980.jpg"/><Relationship Id="rId5" Type="http://schemas.openxmlformats.org/officeDocument/2006/relationships/footnotes" Target="footnotes.xml"/><Relationship Id="rId95" Type="http://schemas.openxmlformats.org/officeDocument/2006/relationships/image" Target="media/image69.jpg"/><Relationship Id="rId160" Type="http://schemas.openxmlformats.org/officeDocument/2006/relationships/image" Target="media/image105.jpg"/><Relationship Id="rId22" Type="http://schemas.openxmlformats.org/officeDocument/2006/relationships/image" Target="media/image11.jpg"/><Relationship Id="rId43" Type="http://schemas.openxmlformats.org/officeDocument/2006/relationships/image" Target="media/image31.jpg"/><Relationship Id="rId64" Type="http://schemas.openxmlformats.org/officeDocument/2006/relationships/image" Target="media/image42.jpg"/><Relationship Id="rId118" Type="http://schemas.openxmlformats.org/officeDocument/2006/relationships/image" Target="media/image84.jpg"/><Relationship Id="rId139" Type="http://schemas.openxmlformats.org/officeDocument/2006/relationships/image" Target="media/image930.jpg"/><Relationship Id="rId85" Type="http://schemas.openxmlformats.org/officeDocument/2006/relationships/image" Target="media/image59.jpg"/><Relationship Id="rId150" Type="http://schemas.openxmlformats.org/officeDocument/2006/relationships/image" Target="media/image100.jpg"/><Relationship Id="rId171" Type="http://schemas.openxmlformats.org/officeDocument/2006/relationships/image" Target="media/image1080.jpg"/><Relationship Id="rId33" Type="http://schemas.openxmlformats.org/officeDocument/2006/relationships/image" Target="media/image22.jpg"/><Relationship Id="rId108" Type="http://schemas.openxmlformats.org/officeDocument/2006/relationships/image" Target="media/image770.jpg"/><Relationship Id="rId129" Type="http://schemas.openxmlformats.org/officeDocument/2006/relationships/image" Target="media/image91.jpg"/><Relationship Id="rId54" Type="http://schemas.openxmlformats.org/officeDocument/2006/relationships/image" Target="media/image37.jpg"/><Relationship Id="rId75" Type="http://schemas.openxmlformats.org/officeDocument/2006/relationships/image" Target="media/image49.jpg"/><Relationship Id="rId96" Type="http://schemas.openxmlformats.org/officeDocument/2006/relationships/image" Target="media/image70.jpg"/><Relationship Id="rId140" Type="http://schemas.openxmlformats.org/officeDocument/2006/relationships/image" Target="media/image95.jpg"/><Relationship Id="rId161" Type="http://schemas.openxmlformats.org/officeDocument/2006/relationships/image" Target="media/image1040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2.jpg"/><Relationship Id="rId28" Type="http://schemas.openxmlformats.org/officeDocument/2006/relationships/image" Target="media/image17.jpg"/><Relationship Id="rId49" Type="http://schemas.openxmlformats.org/officeDocument/2006/relationships/image" Target="media/image34.jpg"/><Relationship Id="rId114" Type="http://schemas.openxmlformats.org/officeDocument/2006/relationships/image" Target="media/image82.jpg"/><Relationship Id="rId119" Type="http://schemas.openxmlformats.org/officeDocument/2006/relationships/image" Target="media/image85.jpg"/><Relationship Id="rId44" Type="http://schemas.openxmlformats.org/officeDocument/2006/relationships/image" Target="media/image300.jpg"/><Relationship Id="rId60" Type="http://schemas.openxmlformats.org/officeDocument/2006/relationships/image" Target="media/image40.png"/><Relationship Id="rId65" Type="http://schemas.openxmlformats.org/officeDocument/2006/relationships/image" Target="media/image43.jpg"/><Relationship Id="rId81" Type="http://schemas.openxmlformats.org/officeDocument/2006/relationships/image" Target="media/image55.jpg"/><Relationship Id="rId86" Type="http://schemas.openxmlformats.org/officeDocument/2006/relationships/image" Target="media/image60.jpg"/><Relationship Id="rId130" Type="http://schemas.openxmlformats.org/officeDocument/2006/relationships/image" Target="media/image900.jpg"/><Relationship Id="rId135" Type="http://schemas.openxmlformats.org/officeDocument/2006/relationships/image" Target="media/image910.jpg"/><Relationship Id="rId151" Type="http://schemas.openxmlformats.org/officeDocument/2006/relationships/image" Target="media/image990.jpg"/><Relationship Id="rId156" Type="http://schemas.openxmlformats.org/officeDocument/2006/relationships/image" Target="media/image103.jpg"/><Relationship Id="rId172" Type="http://schemas.openxmlformats.org/officeDocument/2006/relationships/header" Target="header7.xml"/><Relationship Id="rId18" Type="http://schemas.openxmlformats.org/officeDocument/2006/relationships/image" Target="media/image610.jpg"/><Relationship Id="rId39" Type="http://schemas.openxmlformats.org/officeDocument/2006/relationships/image" Target="media/image28.jpg"/><Relationship Id="rId109" Type="http://schemas.openxmlformats.org/officeDocument/2006/relationships/image" Target="media/image79.jpg"/><Relationship Id="rId34" Type="http://schemas.openxmlformats.org/officeDocument/2006/relationships/image" Target="media/image23.jpg"/><Relationship Id="rId50" Type="http://schemas.openxmlformats.org/officeDocument/2006/relationships/image" Target="media/image330.jpg"/><Relationship Id="rId55" Type="http://schemas.openxmlformats.org/officeDocument/2006/relationships/image" Target="media/image360.jpg"/><Relationship Id="rId76" Type="http://schemas.openxmlformats.org/officeDocument/2006/relationships/image" Target="media/image50.jpg"/><Relationship Id="rId97" Type="http://schemas.openxmlformats.org/officeDocument/2006/relationships/image" Target="media/image71.jpg"/><Relationship Id="rId104" Type="http://schemas.openxmlformats.org/officeDocument/2006/relationships/image" Target="media/image750.jpg"/><Relationship Id="rId120" Type="http://schemas.openxmlformats.org/officeDocument/2006/relationships/image" Target="media/image86.jpg"/><Relationship Id="rId125" Type="http://schemas.openxmlformats.org/officeDocument/2006/relationships/image" Target="media/image89.jpg"/><Relationship Id="rId141" Type="http://schemas.openxmlformats.org/officeDocument/2006/relationships/image" Target="media/image940.jpg"/><Relationship Id="rId146" Type="http://schemas.openxmlformats.org/officeDocument/2006/relationships/image" Target="media/image98.jpg"/><Relationship Id="rId167" Type="http://schemas.openxmlformats.org/officeDocument/2006/relationships/header" Target="header6.xml"/><Relationship Id="rId7" Type="http://schemas.openxmlformats.org/officeDocument/2006/relationships/image" Target="media/image1.jpg"/><Relationship Id="rId71" Type="http://schemas.openxmlformats.org/officeDocument/2006/relationships/image" Target="media/image450.jpg"/><Relationship Id="rId92" Type="http://schemas.openxmlformats.org/officeDocument/2006/relationships/image" Target="media/image66.jpg"/><Relationship Id="rId162" Type="http://schemas.openxmlformats.org/officeDocument/2006/relationships/image" Target="media/image106.jpg"/><Relationship Id="rId2" Type="http://schemas.openxmlformats.org/officeDocument/2006/relationships/styles" Target="styles.xml"/><Relationship Id="rId29" Type="http://schemas.openxmlformats.org/officeDocument/2006/relationships/image" Target="media/image18.jpg"/><Relationship Id="rId24" Type="http://schemas.openxmlformats.org/officeDocument/2006/relationships/image" Target="media/image13.jpg"/><Relationship Id="rId40" Type="http://schemas.openxmlformats.org/officeDocument/2006/relationships/image" Target="media/image29.jpg"/><Relationship Id="rId45" Type="http://schemas.openxmlformats.org/officeDocument/2006/relationships/image" Target="media/image32.jpg"/><Relationship Id="rId66" Type="http://schemas.openxmlformats.org/officeDocument/2006/relationships/image" Target="media/image430.jpg"/><Relationship Id="rId87" Type="http://schemas.openxmlformats.org/officeDocument/2006/relationships/image" Target="media/image61.jpg"/><Relationship Id="rId110" Type="http://schemas.openxmlformats.org/officeDocument/2006/relationships/image" Target="media/image780.jpg"/><Relationship Id="rId115" Type="http://schemas.openxmlformats.org/officeDocument/2006/relationships/image" Target="media/image800.jpg"/><Relationship Id="rId131" Type="http://schemas.openxmlformats.org/officeDocument/2006/relationships/header" Target="header1.xml"/><Relationship Id="rId136" Type="http://schemas.openxmlformats.org/officeDocument/2006/relationships/image" Target="media/image93.jpg"/><Relationship Id="rId157" Type="http://schemas.openxmlformats.org/officeDocument/2006/relationships/image" Target="media/image1020.jpg"/><Relationship Id="rId61" Type="http://schemas.openxmlformats.org/officeDocument/2006/relationships/image" Target="media/image39.png"/><Relationship Id="rId82" Type="http://schemas.openxmlformats.org/officeDocument/2006/relationships/image" Target="media/image56.jpg"/><Relationship Id="rId152" Type="http://schemas.openxmlformats.org/officeDocument/2006/relationships/image" Target="media/image101.jpg"/><Relationship Id="rId173" Type="http://schemas.openxmlformats.org/officeDocument/2006/relationships/header" Target="header8.xml"/><Relationship Id="rId19" Type="http://schemas.openxmlformats.org/officeDocument/2006/relationships/image" Target="media/image8.jpg"/><Relationship Id="rId14" Type="http://schemas.openxmlformats.org/officeDocument/2006/relationships/image" Target="media/image410.jpg"/><Relationship Id="rId30" Type="http://schemas.openxmlformats.org/officeDocument/2006/relationships/image" Target="media/image19.jpg"/><Relationship Id="rId35" Type="http://schemas.openxmlformats.org/officeDocument/2006/relationships/image" Target="media/image24.jpg"/><Relationship Id="rId56" Type="http://schemas.openxmlformats.org/officeDocument/2006/relationships/image" Target="media/image38.jpg"/><Relationship Id="rId77" Type="http://schemas.openxmlformats.org/officeDocument/2006/relationships/image" Target="media/image51.jpg"/><Relationship Id="rId100" Type="http://schemas.openxmlformats.org/officeDocument/2006/relationships/image" Target="media/image74.jpg"/><Relationship Id="rId105" Type="http://schemas.openxmlformats.org/officeDocument/2006/relationships/image" Target="media/image77.jpg"/><Relationship Id="rId126" Type="http://schemas.openxmlformats.org/officeDocument/2006/relationships/image" Target="media/image880.jpg"/><Relationship Id="rId147" Type="http://schemas.openxmlformats.org/officeDocument/2006/relationships/image" Target="media/image970.jpg"/><Relationship Id="rId168" Type="http://schemas.openxmlformats.org/officeDocument/2006/relationships/image" Target="media/image108.jpg"/><Relationship Id="rId8" Type="http://schemas.openxmlformats.org/officeDocument/2006/relationships/image" Target="media/image2.jpg"/><Relationship Id="rId51" Type="http://schemas.openxmlformats.org/officeDocument/2006/relationships/image" Target="media/image35.jpg"/><Relationship Id="rId72" Type="http://schemas.openxmlformats.org/officeDocument/2006/relationships/image" Target="media/image47.jpg"/><Relationship Id="rId93" Type="http://schemas.openxmlformats.org/officeDocument/2006/relationships/image" Target="media/image67.jpg"/><Relationship Id="rId98" Type="http://schemas.openxmlformats.org/officeDocument/2006/relationships/image" Target="media/image72.jpg"/><Relationship Id="rId121" Type="http://schemas.openxmlformats.org/officeDocument/2006/relationships/image" Target="media/image850.jpg"/><Relationship Id="rId142" Type="http://schemas.openxmlformats.org/officeDocument/2006/relationships/image" Target="media/image96.jpg"/><Relationship Id="rId163" Type="http://schemas.openxmlformats.org/officeDocument/2006/relationships/image" Target="media/image1050.jpg"/><Relationship Id="rId3" Type="http://schemas.openxmlformats.org/officeDocument/2006/relationships/settings" Target="settings.xml"/><Relationship Id="rId25" Type="http://schemas.openxmlformats.org/officeDocument/2006/relationships/image" Target="media/image14.jpg"/><Relationship Id="rId46" Type="http://schemas.openxmlformats.org/officeDocument/2006/relationships/image" Target="media/image310.jpg"/><Relationship Id="rId67" Type="http://schemas.openxmlformats.org/officeDocument/2006/relationships/image" Target="media/image44.jpg"/><Relationship Id="rId116" Type="http://schemas.openxmlformats.org/officeDocument/2006/relationships/image" Target="media/image810.jpg"/><Relationship Id="rId137" Type="http://schemas.openxmlformats.org/officeDocument/2006/relationships/image" Target="media/image920.jpg"/><Relationship Id="rId158" Type="http://schemas.openxmlformats.org/officeDocument/2006/relationships/image" Target="media/image104.jpg"/><Relationship Id="rId20" Type="http://schemas.openxmlformats.org/officeDocument/2006/relationships/image" Target="media/image9.jpg"/><Relationship Id="rId41" Type="http://schemas.openxmlformats.org/officeDocument/2006/relationships/image" Target="media/image30.jpg"/><Relationship Id="rId62" Type="http://schemas.openxmlformats.org/officeDocument/2006/relationships/image" Target="media/image41.jpg"/><Relationship Id="rId83" Type="http://schemas.openxmlformats.org/officeDocument/2006/relationships/image" Target="media/image57.jpg"/><Relationship Id="rId88" Type="http://schemas.openxmlformats.org/officeDocument/2006/relationships/image" Target="media/image62.jpg"/><Relationship Id="rId111" Type="http://schemas.openxmlformats.org/officeDocument/2006/relationships/image" Target="media/image80.jpg"/><Relationship Id="rId132" Type="http://schemas.openxmlformats.org/officeDocument/2006/relationships/header" Target="header2.xml"/><Relationship Id="rId153" Type="http://schemas.openxmlformats.org/officeDocument/2006/relationships/image" Target="media/image1000.jpg"/><Relationship Id="rId174" Type="http://schemas.openxmlformats.org/officeDocument/2006/relationships/header" Target="header9.xml"/><Relationship Id="rId15" Type="http://schemas.openxmlformats.org/officeDocument/2006/relationships/image" Target="media/image6.jpg"/><Relationship Id="rId36" Type="http://schemas.openxmlformats.org/officeDocument/2006/relationships/image" Target="media/image25.jpg"/><Relationship Id="rId57" Type="http://schemas.openxmlformats.org/officeDocument/2006/relationships/image" Target="media/image370.jpg"/><Relationship Id="rId106" Type="http://schemas.openxmlformats.org/officeDocument/2006/relationships/image" Target="media/image760.jpg"/><Relationship Id="rId127" Type="http://schemas.openxmlformats.org/officeDocument/2006/relationships/image" Target="media/image90.jpg"/><Relationship Id="rId10" Type="http://schemas.openxmlformats.org/officeDocument/2006/relationships/image" Target="media/image4.jpg"/><Relationship Id="rId31" Type="http://schemas.openxmlformats.org/officeDocument/2006/relationships/image" Target="media/image20.jpg"/><Relationship Id="rId52" Type="http://schemas.openxmlformats.org/officeDocument/2006/relationships/image" Target="media/image36.jpg"/><Relationship Id="rId73" Type="http://schemas.openxmlformats.org/officeDocument/2006/relationships/image" Target="media/image460.jpg"/><Relationship Id="rId78" Type="http://schemas.openxmlformats.org/officeDocument/2006/relationships/image" Target="media/image52.jpg"/><Relationship Id="rId94" Type="http://schemas.openxmlformats.org/officeDocument/2006/relationships/image" Target="media/image68.jpg"/><Relationship Id="rId99" Type="http://schemas.openxmlformats.org/officeDocument/2006/relationships/image" Target="media/image73.jpg"/><Relationship Id="rId101" Type="http://schemas.openxmlformats.org/officeDocument/2006/relationships/image" Target="media/image75.jpg"/><Relationship Id="rId122" Type="http://schemas.openxmlformats.org/officeDocument/2006/relationships/image" Target="media/image87.jpg"/><Relationship Id="rId143" Type="http://schemas.openxmlformats.org/officeDocument/2006/relationships/image" Target="media/image950.jpg"/><Relationship Id="rId148" Type="http://schemas.openxmlformats.org/officeDocument/2006/relationships/image" Target="media/image99.jpg"/><Relationship Id="rId164" Type="http://schemas.openxmlformats.org/officeDocument/2006/relationships/image" Target="media/image107.jpg"/><Relationship Id="rId169" Type="http://schemas.openxmlformats.org/officeDocument/2006/relationships/image" Target="media/image1070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26" Type="http://schemas.openxmlformats.org/officeDocument/2006/relationships/image" Target="media/image15.jpg"/><Relationship Id="rId47" Type="http://schemas.openxmlformats.org/officeDocument/2006/relationships/image" Target="media/image33.jpg"/><Relationship Id="rId68" Type="http://schemas.openxmlformats.org/officeDocument/2006/relationships/image" Target="media/image45.jpg"/><Relationship Id="rId89" Type="http://schemas.openxmlformats.org/officeDocument/2006/relationships/image" Target="media/image63.jpg"/><Relationship Id="rId112" Type="http://schemas.openxmlformats.org/officeDocument/2006/relationships/image" Target="media/image790.jpg"/><Relationship Id="rId133" Type="http://schemas.openxmlformats.org/officeDocument/2006/relationships/header" Target="header3.xml"/><Relationship Id="rId154" Type="http://schemas.openxmlformats.org/officeDocument/2006/relationships/image" Target="media/image102.jpg"/><Relationship Id="rId175" Type="http://schemas.openxmlformats.org/officeDocument/2006/relationships/fontTable" Target="fontTable.xml"/><Relationship Id="rId16" Type="http://schemas.openxmlformats.org/officeDocument/2006/relationships/image" Target="media/image510.jpg"/><Relationship Id="rId37" Type="http://schemas.openxmlformats.org/officeDocument/2006/relationships/image" Target="media/image26.jpg"/><Relationship Id="rId58" Type="http://schemas.openxmlformats.org/officeDocument/2006/relationships/image" Target="media/image39.jpg"/><Relationship Id="rId79" Type="http://schemas.openxmlformats.org/officeDocument/2006/relationships/image" Target="media/image53.jpg"/><Relationship Id="rId102" Type="http://schemas.openxmlformats.org/officeDocument/2006/relationships/image" Target="media/image740.jpg"/><Relationship Id="rId123" Type="http://schemas.openxmlformats.org/officeDocument/2006/relationships/image" Target="media/image860.jpg"/><Relationship Id="rId144" Type="http://schemas.openxmlformats.org/officeDocument/2006/relationships/image" Target="media/image97.jpg"/><Relationship Id="rId90" Type="http://schemas.openxmlformats.org/officeDocument/2006/relationships/image" Target="media/image64.jpg"/><Relationship Id="rId165" Type="http://schemas.openxmlformats.org/officeDocument/2006/relationships/header" Target="header4.xml"/><Relationship Id="rId27" Type="http://schemas.openxmlformats.org/officeDocument/2006/relationships/image" Target="media/image16.jpg"/><Relationship Id="rId48" Type="http://schemas.openxmlformats.org/officeDocument/2006/relationships/image" Target="media/image320.jpg"/><Relationship Id="rId69" Type="http://schemas.openxmlformats.org/officeDocument/2006/relationships/image" Target="media/image440.jpg"/><Relationship Id="rId113" Type="http://schemas.openxmlformats.org/officeDocument/2006/relationships/image" Target="media/image81.jpg"/><Relationship Id="rId134" Type="http://schemas.openxmlformats.org/officeDocument/2006/relationships/image" Target="media/image92.jpg"/><Relationship Id="rId80" Type="http://schemas.openxmlformats.org/officeDocument/2006/relationships/image" Target="media/image54.jpg"/><Relationship Id="rId155" Type="http://schemas.openxmlformats.org/officeDocument/2006/relationships/image" Target="media/image1010.jpg"/><Relationship Id="rId176" Type="http://schemas.openxmlformats.org/officeDocument/2006/relationships/theme" Target="theme/theme1.xml"/><Relationship Id="rId17" Type="http://schemas.openxmlformats.org/officeDocument/2006/relationships/image" Target="media/image7.jpg"/><Relationship Id="rId38" Type="http://schemas.openxmlformats.org/officeDocument/2006/relationships/image" Target="media/image27.jpg"/><Relationship Id="rId59" Type="http://schemas.openxmlformats.org/officeDocument/2006/relationships/image" Target="media/image380.jpg"/><Relationship Id="rId103" Type="http://schemas.openxmlformats.org/officeDocument/2006/relationships/image" Target="media/image76.jpg"/><Relationship Id="rId124" Type="http://schemas.openxmlformats.org/officeDocument/2006/relationships/image" Target="media/image88.jpg"/><Relationship Id="rId70" Type="http://schemas.openxmlformats.org/officeDocument/2006/relationships/image" Target="media/image46.jpg"/><Relationship Id="rId91" Type="http://schemas.openxmlformats.org/officeDocument/2006/relationships/image" Target="media/image65.jpg"/><Relationship Id="rId145" Type="http://schemas.openxmlformats.org/officeDocument/2006/relationships/image" Target="media/image960.jpg"/><Relationship Id="rId166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50510</Words>
  <Characters>287913</Characters>
  <Application>Microsoft Office Word</Application>
  <DocSecurity>4</DocSecurity>
  <Lines>2399</Lines>
  <Paragraphs>675</Paragraphs>
  <ScaleCrop>false</ScaleCrop>
  <Company/>
  <LinksUpToDate>false</LinksUpToDate>
  <CharactersWithSpaces>337748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Документ</dc:title>
  <dc:subject/>
  <dc:creator>word</dc:creator>
  <cp:keywords/>
  <cp:lastModifiedBy>word</cp:lastModifiedBy>
  <cp:revision>2</cp:revision>
  <dcterms:created xsi:type="dcterms:W3CDTF">2023-11-09T22:23:00Z</dcterms:created>
  <dcterms:modified xsi:type="dcterms:W3CDTF">2023-11-09T22:23:00Z</dcterms:modified>
</cp:coreProperties>
</file>