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9B6" w:rsidRDefault="00C57378">
      <w:pPr>
        <w:spacing w:after="111" w:line="256" w:lineRule="auto"/>
        <w:ind w:left="-5" w:right="21"/>
      </w:pPr>
      <w:bookmarkStart w:id="0" w:name="_GoBack"/>
      <w:bookmarkEnd w:id="0"/>
      <w:r>
        <w:rPr>
          <w:b/>
          <w:sz w:val="14"/>
        </w:rPr>
        <w:t>DOI:</w:t>
      </w:r>
      <w:r>
        <w:rPr>
          <w:sz w:val="14"/>
        </w:rPr>
        <w:t xml:space="preserve"> 10.18027 / 2224-5057-2023-13-3s2-1-356-374</w:t>
      </w:r>
    </w:p>
    <w:p w:rsidR="007129B6" w:rsidRDefault="00C57378">
      <w:pPr>
        <w:spacing w:after="405" w:line="256" w:lineRule="auto"/>
        <w:ind w:left="-5" w:right="21"/>
      </w:pPr>
      <w:r>
        <w:rPr>
          <w:b/>
          <w:sz w:val="14"/>
        </w:rPr>
        <w:t>Цитирование:</w:t>
      </w:r>
      <w:r>
        <w:rPr>
          <w:sz w:val="14"/>
        </w:rPr>
        <w:t xml:space="preserve">  Егоренков В. В., Бохян А. Ю., Конев А. А., Нестерова А. И., Тарарыкова А. А., Тюляндина А. С. и соавт. Практические рекомендации по лекарственному лечению сарком мягких тканей. Практические рекомендации RUSSCO, часть 1. Злокачественные опухоли, 2023 (то</w:t>
      </w:r>
      <w:r>
        <w:rPr>
          <w:sz w:val="14"/>
        </w:rPr>
        <w:t>м 13), #3s2, стр. 356–374.</w:t>
      </w:r>
    </w:p>
    <w:p w:rsidR="007129B6" w:rsidRDefault="00C57378">
      <w:pPr>
        <w:pStyle w:val="Heading1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</wp:posOffset>
                </wp:positionH>
                <wp:positionV relativeFrom="paragraph">
                  <wp:posOffset>49789</wp:posOffset>
                </wp:positionV>
                <wp:extent cx="71996" cy="728942"/>
                <wp:effectExtent l="0" t="0" r="0" b="0"/>
                <wp:wrapSquare wrapText="bothSides"/>
                <wp:docPr id="18485" name="Group 18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96" cy="728942"/>
                          <a:chOff x="0" y="0"/>
                          <a:chExt cx="71996" cy="728942"/>
                        </a:xfrm>
                      </wpg:grpSpPr>
                      <wps:wsp>
                        <wps:cNvPr id="26567" name="Shape 26567"/>
                        <wps:cNvSpPr/>
                        <wps:spPr>
                          <a:xfrm>
                            <a:off x="0" y="0"/>
                            <a:ext cx="71996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192024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192024"/>
                                </a:lnTo>
                                <a:lnTo>
                                  <a:pt x="0" y="19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68" name="Shape 26568"/>
                        <wps:cNvSpPr/>
                        <wps:spPr>
                          <a:xfrm>
                            <a:off x="0" y="90932"/>
                            <a:ext cx="71996" cy="276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276009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276009"/>
                                </a:lnTo>
                                <a:lnTo>
                                  <a:pt x="0" y="2760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69" name="Shape 26569"/>
                        <wps:cNvSpPr/>
                        <wps:spPr>
                          <a:xfrm>
                            <a:off x="0" y="325933"/>
                            <a:ext cx="71996" cy="403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403009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403009"/>
                                </a:lnTo>
                                <a:lnTo>
                                  <a:pt x="0" y="4030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8485" style="width:5.669pt;height:57.397pt;position:absolute;mso-position-horizontal-relative:text;mso-position-horizontal:absolute;margin-left:0.00574875pt;mso-position-vertical-relative:text;margin-top:3.92038pt;" coordsize="719,7289">
                <v:shape id="Shape 26570" style="position:absolute;width:719;height:1920;left:0;top:0;" coordsize="71996,192024" path="m0,0l71996,0l71996,192024l0,192024l0,0">
                  <v:stroke weight="0pt" endcap="flat" joinstyle="miter" miterlimit="10" on="false" color="#000000" opacity="0"/>
                  <v:fill on="true" color="#000000"/>
                </v:shape>
                <v:shape id="Shape 26571" style="position:absolute;width:719;height:2760;left:0;top:909;" coordsize="71996,276009" path="m0,0l71996,0l71996,276009l0,276009l0,0">
                  <v:stroke weight="0pt" endcap="flat" joinstyle="miter" miterlimit="10" on="false" color="#000000" opacity="0"/>
                  <v:fill on="true" color="#000000"/>
                </v:shape>
                <v:shape id="Shape 26572" style="position:absolute;width:719;height:4030;left:0;top:3259;" coordsize="71996,403009" path="m0,0l71996,0l71996,403009l0,403009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САРКОМЫ МЯГКИХ ТКАНЕЙ</w:t>
      </w:r>
    </w:p>
    <w:p w:rsidR="007129B6" w:rsidRDefault="00C57378">
      <w:pPr>
        <w:pStyle w:val="Heading2"/>
        <w:spacing w:after="155" w:line="265" w:lineRule="auto"/>
      </w:pPr>
      <w:r>
        <w:rPr>
          <w:sz w:val="16"/>
        </w:rPr>
        <w:t>Рекомендации восточно-европейской группы по изучению сарком</w:t>
      </w:r>
    </w:p>
    <w:p w:rsidR="007129B6" w:rsidRDefault="00C57378">
      <w:pPr>
        <w:spacing w:after="157"/>
        <w:ind w:right="26"/>
      </w:pPr>
      <w:r>
        <w:rPr>
          <w:b/>
        </w:rPr>
        <w:t>Коллектив авторов:</w:t>
      </w:r>
      <w:r>
        <w:t xml:space="preserve"> Егоренков В. В., Бохян А. Ю., Конев А. А., Нестерова А. И., Тарарыкова А. А., Тюляндина А. С., Шарабура Т. М., Шелехова К. В.,</w:t>
      </w:r>
      <w:r>
        <w:t xml:space="preserve"> Феденко А. А.</w:t>
      </w:r>
    </w:p>
    <w:p w:rsidR="007129B6" w:rsidRDefault="00C57378">
      <w:pPr>
        <w:spacing w:after="289"/>
        <w:ind w:right="26"/>
      </w:pPr>
      <w:r>
        <w:rPr>
          <w:b/>
        </w:rPr>
        <w:t>Ключевые слова:</w:t>
      </w:r>
      <w:r>
        <w:t xml:space="preserve"> саркомы мягких тканей, диагностика, лечение</w:t>
      </w:r>
    </w:p>
    <w:p w:rsidR="007129B6" w:rsidRDefault="00C57378">
      <w:pPr>
        <w:spacing w:after="367"/>
        <w:ind w:left="0" w:right="26" w:firstLine="283"/>
      </w:pPr>
      <w:r>
        <w:t>Саркомы мягких тканей (СМТ) — группа злокачественных опухолей, развивающихся в мягких соединительных тканях организма, включая мышцы, нервы, сухожилия, жир и стенки кровеносных и ли</w:t>
      </w:r>
      <w:r>
        <w:t>мфатических сосудов. Могут возникать практически в любом месте тела, включая голову, шею и туловище, но чаще всего встречаются на руках, ногах и в забрюшинном пространстве.</w:t>
      </w:r>
    </w:p>
    <w:p w:rsidR="007129B6" w:rsidRDefault="00C57378">
      <w:pPr>
        <w:pStyle w:val="Heading2"/>
        <w:ind w:left="-4"/>
      </w:pPr>
      <w:r>
        <w:t>1. TNM И СТАДИРОВАНИЕ</w:t>
      </w:r>
    </w:p>
    <w:p w:rsidR="007129B6" w:rsidRDefault="00C57378">
      <w:pPr>
        <w:pStyle w:val="Heading3"/>
        <w:ind w:left="-5" w:right="38"/>
      </w:pPr>
      <w:r>
        <w:t>1.1. Определение pT</w:t>
      </w:r>
    </w:p>
    <w:p w:rsidR="007129B6" w:rsidRDefault="00C57378">
      <w:pPr>
        <w:spacing w:after="174"/>
        <w:ind w:left="0" w:right="26" w:firstLine="283"/>
      </w:pPr>
      <w:r>
        <w:t>В действующей классификации критерий разм</w:t>
      </w:r>
      <w:r>
        <w:t>ера опухоли варьирует в зависимости от анатомической локализации.</w:t>
      </w:r>
    </w:p>
    <w:p w:rsidR="007129B6" w:rsidRDefault="00C57378">
      <w:pPr>
        <w:pStyle w:val="Heading4"/>
      </w:pPr>
      <w:r>
        <w:t>Первичная опухоль (pT): конечности, туловище и забрюшинное пространство</w:t>
      </w:r>
    </w:p>
    <w:p w:rsidR="007129B6" w:rsidRDefault="00C57378">
      <w:pPr>
        <w:ind w:left="294" w:right="26"/>
      </w:pPr>
      <w:r>
        <w:t>_pTх: первичная опухоль не может быть определена;</w:t>
      </w:r>
    </w:p>
    <w:p w:rsidR="007129B6" w:rsidRDefault="00C57378">
      <w:pPr>
        <w:ind w:left="294" w:right="26"/>
      </w:pPr>
      <w:r>
        <w:t>_pT0: нет признаков первичной опухоли;</w:t>
      </w:r>
    </w:p>
    <w:p w:rsidR="007129B6" w:rsidRDefault="00C57378">
      <w:pPr>
        <w:ind w:left="294" w:right="26"/>
      </w:pPr>
      <w:r>
        <w:t xml:space="preserve">_pT1: опухоль 5 см и менее в </w:t>
      </w:r>
      <w:r>
        <w:t>наибольшем измерении;</w:t>
      </w:r>
    </w:p>
    <w:p w:rsidR="007129B6" w:rsidRDefault="00C57378">
      <w:pPr>
        <w:spacing w:after="170" w:line="270" w:lineRule="auto"/>
        <w:ind w:left="279" w:right="826"/>
        <w:jc w:val="left"/>
      </w:pPr>
      <w:r>
        <w:t>_pT2: опухоль более 5 см, но менее 10 см в наибольшем измерении; _pT3: опухоль более 10 см, но не более 15 см в наибольшем измерении; _pT4: опухоль более 15 см в наибольшем измерении.</w:t>
      </w:r>
    </w:p>
    <w:p w:rsidR="007129B6" w:rsidRDefault="00C57378">
      <w:pPr>
        <w:pStyle w:val="Heading4"/>
      </w:pPr>
      <w:r>
        <w:t>Первичная опухоль (pT): голова и шея</w:t>
      </w:r>
    </w:p>
    <w:p w:rsidR="007129B6" w:rsidRDefault="00C57378">
      <w:pPr>
        <w:ind w:left="294" w:right="26"/>
      </w:pPr>
      <w:r>
        <w:t>_pTх: первичная опухоль не может быть определена;</w:t>
      </w:r>
    </w:p>
    <w:p w:rsidR="007129B6" w:rsidRDefault="00C57378">
      <w:pPr>
        <w:ind w:left="294" w:right="26"/>
      </w:pPr>
      <w:r>
        <w:t>_pT0: нет признаков первичной опухоли;</w:t>
      </w:r>
    </w:p>
    <w:p w:rsidR="007129B6" w:rsidRDefault="00C57378">
      <w:pPr>
        <w:ind w:left="294" w:right="26"/>
      </w:pPr>
      <w:r>
        <w:t>_pT1: опухоль 2 см и менее в наибольшем измерении;</w:t>
      </w:r>
    </w:p>
    <w:p w:rsidR="007129B6" w:rsidRDefault="00C57378">
      <w:pPr>
        <w:ind w:left="294" w:right="26"/>
      </w:pPr>
      <w:r>
        <w:t>_pT2: опухоль более 2 см, но менее 4 см в наибольшем измерении;</w:t>
      </w:r>
    </w:p>
    <w:p w:rsidR="007129B6" w:rsidRDefault="00C57378">
      <w:pPr>
        <w:ind w:left="294" w:right="26"/>
      </w:pPr>
      <w:r>
        <w:t>_pT3: опухоль более 4 см в наибольшем измерении;</w:t>
      </w:r>
    </w:p>
    <w:p w:rsidR="007129B6" w:rsidRDefault="00C57378">
      <w:pPr>
        <w:ind w:left="567" w:right="26" w:hanging="283"/>
      </w:pPr>
      <w:r>
        <w:lastRenderedPageBreak/>
        <w:t>_pT</w:t>
      </w:r>
      <w:r>
        <w:t>4а: опухоль инвазирует в ткани орбиты, основания черепа и твердую мозговую оболочку, центральный висцеральный компартмент</w:t>
      </w:r>
      <w:r>
        <w:rPr>
          <w:b/>
          <w:sz w:val="14"/>
          <w:vertAlign w:val="superscript"/>
        </w:rPr>
        <w:footnoteReference w:id="1"/>
      </w:r>
      <w:r>
        <w:t>, лицевой скелет и / или крыловидную мышцу;</w:t>
      </w:r>
    </w:p>
    <w:p w:rsidR="007129B6" w:rsidRDefault="00C57378">
      <w:pPr>
        <w:spacing w:after="170" w:line="270" w:lineRule="auto"/>
        <w:ind w:left="552" w:hanging="283"/>
        <w:jc w:val="left"/>
      </w:pPr>
      <w:r>
        <w:t>_pT4б: опухоль инвазирует в паренхиму мозга, вовлекает сонную артерию, инвазирует в превер</w:t>
      </w:r>
      <w:r>
        <w:t>тебральные мышцы и вовлекает ЦНС путем периневрального распространения.</w:t>
      </w:r>
    </w:p>
    <w:p w:rsidR="007129B6" w:rsidRDefault="00C57378">
      <w:pPr>
        <w:pStyle w:val="Heading4"/>
      </w:pPr>
      <w:r>
        <w:t>Первичная опухоль (pT): органы грудной и брюшной полости</w:t>
      </w:r>
    </w:p>
    <w:p w:rsidR="007129B6" w:rsidRDefault="00C57378">
      <w:pPr>
        <w:ind w:left="294" w:right="26"/>
      </w:pPr>
      <w:r>
        <w:t>_pTх: первичная опухоль не может быть определена;</w:t>
      </w:r>
    </w:p>
    <w:p w:rsidR="007129B6" w:rsidRDefault="00C57378">
      <w:pPr>
        <w:ind w:left="294" w:right="26"/>
      </w:pPr>
      <w:r>
        <w:t>_pT0: нет признаков первичной опухоли;</w:t>
      </w:r>
    </w:p>
    <w:p w:rsidR="007129B6" w:rsidRDefault="00C57378">
      <w:pPr>
        <w:ind w:left="294" w:right="26"/>
      </w:pPr>
      <w:r>
        <w:t>_pT1: опухоль ограничена одним органом</w:t>
      </w:r>
      <w:r>
        <w:t>;</w:t>
      </w:r>
    </w:p>
    <w:p w:rsidR="007129B6" w:rsidRDefault="00C57378">
      <w:pPr>
        <w:ind w:left="294" w:right="26"/>
      </w:pPr>
      <w:r>
        <w:t>_pT2а: опухоль инвазирует в серозу или висцеральный перитонеум;</w:t>
      </w:r>
    </w:p>
    <w:p w:rsidR="007129B6" w:rsidRDefault="00C57378">
      <w:pPr>
        <w:ind w:left="294" w:right="26"/>
      </w:pPr>
      <w:r>
        <w:t>_pT2б: опухоль с микроскопическим распространением за пределы серозы;</w:t>
      </w:r>
    </w:p>
    <w:p w:rsidR="007129B6" w:rsidRDefault="00C57378">
      <w:pPr>
        <w:ind w:left="567" w:right="26" w:hanging="283"/>
      </w:pPr>
      <w:r>
        <w:t>_pT3: опухоль инвазирует в другие органы и макроскопически распространяется за пределы серозы;</w:t>
      </w:r>
    </w:p>
    <w:p w:rsidR="007129B6" w:rsidRDefault="00C57378">
      <w:pPr>
        <w:ind w:left="294" w:right="26"/>
      </w:pPr>
      <w:r>
        <w:t>_pT4а: мультифокальная оп</w:t>
      </w:r>
      <w:r>
        <w:t>ухоль вовлекает не более 2 участков в одном органе;</w:t>
      </w:r>
    </w:p>
    <w:p w:rsidR="007129B6" w:rsidRDefault="00C57378">
      <w:pPr>
        <w:ind w:left="568" w:right="26" w:hanging="284"/>
      </w:pPr>
      <w:r>
        <w:t>_pT4б: мультифокальная опухоль вовлекает более 2, но менее 5 участков в одном органе;</w:t>
      </w:r>
    </w:p>
    <w:p w:rsidR="007129B6" w:rsidRDefault="00C57378">
      <w:pPr>
        <w:spacing w:after="272"/>
        <w:ind w:left="294" w:right="26"/>
      </w:pPr>
      <w:r>
        <w:t>_pT4с: мультифокальная опухоль вовлекает более 5 участков.</w:t>
      </w:r>
    </w:p>
    <w:p w:rsidR="007129B6" w:rsidRDefault="00C57378">
      <w:pPr>
        <w:pStyle w:val="Heading3"/>
        <w:ind w:left="-5" w:right="38"/>
      </w:pPr>
      <w:r>
        <w:t>1.2. Глубина</w:t>
      </w:r>
    </w:p>
    <w:p w:rsidR="007129B6" w:rsidRDefault="00C57378">
      <w:pPr>
        <w:spacing w:after="270"/>
        <w:ind w:left="0" w:right="26" w:firstLine="284"/>
      </w:pPr>
      <w:r>
        <w:t>В 8‑й редакции классификации TNM критерий глубины больше не используется из‑за ограниченного влияния на прогноз. В предыдущих изданиях глубина расположения опухоли оценивалась относительно той или иной фасции конечности или туловища. Поверхностные образова</w:t>
      </w:r>
      <w:r>
        <w:t>ния определялись как лишенные любого вовлечения поверхностной окружающей мышечной фасции конечности или туловища. Для стадирования все забрюшинные и висцеральные новообразования расценивались как глубокие.</w:t>
      </w:r>
    </w:p>
    <w:p w:rsidR="007129B6" w:rsidRDefault="00C57378">
      <w:pPr>
        <w:pStyle w:val="Heading3"/>
        <w:ind w:left="-5" w:right="38"/>
      </w:pPr>
      <w:r>
        <w:t>1.3. Региональные лимфатические узлы</w:t>
      </w:r>
    </w:p>
    <w:p w:rsidR="007129B6" w:rsidRDefault="00C57378">
      <w:pPr>
        <w:ind w:left="0" w:right="26" w:firstLine="283"/>
      </w:pPr>
      <w:r>
        <w:t>Метастазы СМТ</w:t>
      </w:r>
      <w:r>
        <w:t xml:space="preserve"> взрослых в лимфатических узлах редки, но, когда встречаются, делают прогноз крайне неблагоприятным. Наличие позитивных лимфатических узлов (N1) в отсутствие отдаленных метастазов классифицируется как IIIВ стадия. Клинически или патоморфологически негативн</w:t>
      </w:r>
      <w:r>
        <w:t>ые лимфоузлы должны обозначаться как N0; характеристика Nx использоваться не должна.</w:t>
      </w:r>
    </w:p>
    <w:p w:rsidR="007129B6" w:rsidRDefault="00C57378">
      <w:pPr>
        <w:pStyle w:val="Heading4"/>
      </w:pPr>
      <w:r>
        <w:t>Региональные лимфатические узлы (pN)</w:t>
      </w:r>
    </w:p>
    <w:p w:rsidR="007129B6" w:rsidRDefault="00C57378">
      <w:pPr>
        <w:spacing w:after="267" w:line="270" w:lineRule="auto"/>
        <w:ind w:left="279" w:right="1015"/>
        <w:jc w:val="left"/>
      </w:pPr>
      <w:r>
        <w:t>_pNx: региональные лимфатические узлы не могут быть определены; _pN0: нет метастазов в региональных лимфатических узлах; _pN1: метаста</w:t>
      </w:r>
      <w:r>
        <w:t>зы в региональных лимфатических узлах.</w:t>
      </w:r>
    </w:p>
    <w:p w:rsidR="007129B6" w:rsidRDefault="00C57378">
      <w:pPr>
        <w:pStyle w:val="Heading3"/>
        <w:ind w:left="-5" w:right="38"/>
      </w:pPr>
      <w:r>
        <w:t>1.4. Рестадирование рецидивных опухолей</w:t>
      </w:r>
    </w:p>
    <w:p w:rsidR="007129B6" w:rsidRDefault="00C57378">
      <w:pPr>
        <w:spacing w:after="270"/>
        <w:ind w:left="0" w:right="26" w:firstLine="283"/>
      </w:pPr>
      <w:r>
        <w:t>Аналогичный принцип должен применяться при рестадировании в случае рецидива саркомы. В таких заключениях необходимо точно указывать, имеетcя ли первичная опухоль или рецидив ран</w:t>
      </w:r>
      <w:r>
        <w:t>ее пролеченного новообразования. По возможности, следует указывать предполагаемый этиологический фактор, например, радиация, врожденные или приобретенные генетические синдромы.</w:t>
      </w:r>
    </w:p>
    <w:p w:rsidR="007129B6" w:rsidRDefault="00C57378">
      <w:pPr>
        <w:pStyle w:val="Heading3"/>
        <w:ind w:left="-5" w:right="38"/>
      </w:pPr>
      <w:r>
        <w:t>1.5. TNM классификация</w:t>
      </w:r>
    </w:p>
    <w:p w:rsidR="007129B6" w:rsidRDefault="00C57378">
      <w:pPr>
        <w:ind w:left="0" w:right="26" w:firstLine="283"/>
      </w:pPr>
      <w:r>
        <w:t>Для идентификации особенных случаев TNM или pTNM классиф</w:t>
      </w:r>
      <w:r>
        <w:t>икаций используются суффикс “m” и префиксы “y” и “r” . Они указывают на то, что случай нуждается в отдельном анализе.</w:t>
      </w:r>
    </w:p>
    <w:p w:rsidR="007129B6" w:rsidRDefault="00C57378">
      <w:pPr>
        <w:ind w:left="0" w:right="26" w:firstLine="283"/>
      </w:pPr>
      <w:r>
        <w:t>Суффикс “m” указывает на наличие множественной первичной опухоли одной локализации и записывается в круглых скобках: pT (m) NM.</w:t>
      </w:r>
    </w:p>
    <w:p w:rsidR="007129B6" w:rsidRDefault="00C57378">
      <w:pPr>
        <w:ind w:left="0" w:right="26" w:firstLine="283"/>
      </w:pPr>
      <w:r>
        <w:t>Префикс “y</w:t>
      </w:r>
      <w:r>
        <w:t>” обозначает те случаи, когда стадирование проводится во время или после комплексного лечения. Категория “y” не оценивает опухоль до лечения.</w:t>
      </w:r>
    </w:p>
    <w:p w:rsidR="007129B6" w:rsidRDefault="00C57378">
      <w:pPr>
        <w:spacing w:after="270"/>
        <w:ind w:left="0" w:right="26" w:firstLine="283"/>
      </w:pPr>
      <w:r>
        <w:t>Префикс “r” указывает на рецидивную опухоль после документированного безопухолевого интервала и обозначается как r</w:t>
      </w:r>
      <w:r>
        <w:t>TNM.</w:t>
      </w:r>
    </w:p>
    <w:p w:rsidR="007129B6" w:rsidRDefault="00C57378">
      <w:pPr>
        <w:pStyle w:val="Heading3"/>
        <w:ind w:left="-5" w:right="38"/>
      </w:pPr>
      <w:r>
        <w:t>1.6. Обобщение по категории М</w:t>
      </w:r>
    </w:p>
    <w:p w:rsidR="007129B6" w:rsidRDefault="00C57378">
      <w:pPr>
        <w:spacing w:after="9" w:line="259" w:lineRule="auto"/>
        <w:ind w:left="0" w:right="37" w:firstLine="0"/>
        <w:jc w:val="right"/>
      </w:pPr>
      <w:r>
        <w:t xml:space="preserve">рМх и рМ0 (отсутствие отдаленных метастазов) не несут значимой информации </w:t>
      </w:r>
    </w:p>
    <w:p w:rsidR="007129B6" w:rsidRDefault="00C57378">
      <w:pPr>
        <w:spacing w:after="272"/>
        <w:ind w:right="26"/>
      </w:pPr>
      <w:r>
        <w:t>для клиницистов и статистиков и иногда могут создать путаницу в стадировании.</w:t>
      </w:r>
    </w:p>
    <w:p w:rsidR="007129B6" w:rsidRDefault="00C57378">
      <w:pPr>
        <w:pStyle w:val="Heading3"/>
        <w:spacing w:after="100"/>
        <w:ind w:left="-5" w:right="38"/>
      </w:pPr>
      <w:r>
        <w:t>1.7. Группировка по стадиям</w:t>
      </w:r>
    </w:p>
    <w:p w:rsidR="007129B6" w:rsidRDefault="00C57378">
      <w:pPr>
        <w:spacing w:after="74" w:line="259" w:lineRule="auto"/>
        <w:ind w:left="-5" w:right="704"/>
        <w:jc w:val="left"/>
      </w:pPr>
      <w:r>
        <w:rPr>
          <w:b/>
          <w:sz w:val="20"/>
        </w:rPr>
        <w:t>1.7.1. СМТ головы и шеи, висцеральных органов брюшной и грудной полостей, орбиты</w:t>
      </w:r>
    </w:p>
    <w:p w:rsidR="007129B6" w:rsidRDefault="00C57378">
      <w:pPr>
        <w:spacing w:after="232"/>
        <w:ind w:left="293" w:right="26"/>
      </w:pPr>
      <w:r>
        <w:t>Нет системы группировки по стадиям</w:t>
      </w:r>
    </w:p>
    <w:p w:rsidR="007129B6" w:rsidRDefault="00C57378">
      <w:pPr>
        <w:pStyle w:val="Heading4"/>
        <w:spacing w:after="74" w:line="259" w:lineRule="auto"/>
        <w:ind w:left="-5"/>
      </w:pPr>
      <w:r>
        <w:rPr>
          <w:sz w:val="20"/>
        </w:rPr>
        <w:t>1.7.2. СМТ туловища, конечностей и забрюшинного пространства</w:t>
      </w:r>
    </w:p>
    <w:p w:rsidR="007129B6" w:rsidRDefault="00C57378">
      <w:pPr>
        <w:ind w:left="293" w:right="26"/>
      </w:pPr>
      <w:r>
        <w:t>Представлена в табл. 1.</w:t>
      </w:r>
    </w:p>
    <w:p w:rsidR="007129B6" w:rsidRDefault="00C57378">
      <w:pPr>
        <w:spacing w:after="0" w:line="259" w:lineRule="auto"/>
        <w:ind w:left="-5" w:right="1532"/>
        <w:jc w:val="left"/>
      </w:pPr>
      <w:r>
        <w:rPr>
          <w:b/>
        </w:rPr>
        <w:t>Таблица 1.</w:t>
      </w:r>
      <w:r>
        <w:t xml:space="preserve"> Группировка по стадиям для СМТ туловища, кон</w:t>
      </w:r>
      <w:r>
        <w:t>ечностей и забрюшинного пространства.</w:t>
      </w:r>
    </w:p>
    <w:tbl>
      <w:tblPr>
        <w:tblStyle w:val="TableGrid"/>
        <w:tblW w:w="6396" w:type="dxa"/>
        <w:tblInd w:w="5" w:type="dxa"/>
        <w:tblCellMar>
          <w:top w:w="45" w:type="dxa"/>
          <w:left w:w="78" w:type="dxa"/>
          <w:bottom w:w="45" w:type="dxa"/>
          <w:right w:w="115" w:type="dxa"/>
        </w:tblCellMar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1577"/>
      </w:tblGrid>
      <w:tr w:rsidR="007129B6">
        <w:trPr>
          <w:trHeight w:val="41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Стадия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T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N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M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G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Степень  злокачественности</w:t>
            </w:r>
          </w:p>
        </w:tc>
      </w:tr>
      <w:tr w:rsidR="007129B6">
        <w:trPr>
          <w:trHeight w:val="258"/>
        </w:trPr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IA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T1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G1, Gx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Low‑grade</w:t>
            </w:r>
          </w:p>
        </w:tc>
      </w:tr>
      <w:tr w:rsidR="007129B6">
        <w:trPr>
          <w:trHeight w:val="258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IB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T2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G1, Gx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Low‑grade</w:t>
            </w:r>
          </w:p>
        </w:tc>
      </w:tr>
      <w:tr w:rsidR="007129B6">
        <w:trPr>
          <w:trHeight w:val="2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29B6" w:rsidRDefault="007129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T3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G1, Gx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Low‑grade</w:t>
            </w:r>
          </w:p>
        </w:tc>
      </w:tr>
      <w:tr w:rsidR="007129B6">
        <w:trPr>
          <w:trHeight w:val="2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7129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T4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G1, Gx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Low‑grade</w:t>
            </w:r>
          </w:p>
        </w:tc>
      </w:tr>
      <w:tr w:rsidR="007129B6">
        <w:trPr>
          <w:trHeight w:val="2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II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T1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G2, G3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High‑grade</w:t>
            </w:r>
          </w:p>
        </w:tc>
      </w:tr>
      <w:tr w:rsidR="007129B6">
        <w:trPr>
          <w:trHeight w:val="2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IIIA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T2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G2, G3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High‑grade</w:t>
            </w:r>
          </w:p>
        </w:tc>
      </w:tr>
      <w:tr w:rsidR="007129B6">
        <w:trPr>
          <w:trHeight w:val="258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IIIB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T3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G2, G3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High‑grade</w:t>
            </w:r>
          </w:p>
        </w:tc>
      </w:tr>
      <w:tr w:rsidR="007129B6">
        <w:trPr>
          <w:trHeight w:val="2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7129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T4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G2, G3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High‑grade</w:t>
            </w:r>
          </w:p>
        </w:tc>
      </w:tr>
      <w:tr w:rsidR="007129B6">
        <w:trPr>
          <w:trHeight w:val="258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IV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Любая T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N1</w:t>
            </w:r>
            <w:r>
              <w:rPr>
                <w:b/>
                <w:sz w:val="13"/>
                <w:vertAlign w:val="superscript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Любая G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Любой grade</w:t>
            </w:r>
          </w:p>
        </w:tc>
      </w:tr>
      <w:tr w:rsidR="007129B6">
        <w:trPr>
          <w:trHeight w:val="2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7129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Любая T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Любое N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Любая G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Любой grade</w:t>
            </w:r>
          </w:p>
        </w:tc>
      </w:tr>
    </w:tbl>
    <w:p w:rsidR="007129B6" w:rsidRDefault="00C57378">
      <w:pPr>
        <w:spacing w:after="369" w:line="245" w:lineRule="auto"/>
        <w:ind w:left="-15" w:right="21" w:firstLine="217"/>
      </w:pPr>
      <w:r>
        <w:rPr>
          <w:b/>
          <w:i/>
          <w:sz w:val="13"/>
          <w:vertAlign w:val="superscript"/>
        </w:rPr>
        <w:t>1</w:t>
      </w:r>
      <w:r>
        <w:rPr>
          <w:i/>
          <w:sz w:val="14"/>
        </w:rPr>
        <w:t xml:space="preserve"> </w:t>
      </w:r>
      <w:r>
        <w:rPr>
          <w:i/>
          <w:sz w:val="14"/>
        </w:rPr>
        <w:t>AJCC (Американский объединенный комитет по раку) классифицирует N1 как IV стадию для СМТ конечностей и поверхностных мягких тканей туловища с целью упрощения на основании идентичного биологического поведения заболевания N1 как при III, так и при IV стадии.</w:t>
      </w:r>
    </w:p>
    <w:p w:rsidR="007129B6" w:rsidRDefault="00C57378">
      <w:pPr>
        <w:pStyle w:val="Heading3"/>
        <w:ind w:left="-5" w:right="38"/>
      </w:pPr>
      <w:r>
        <w:t>1.8. Дополнительные характеристики</w:t>
      </w:r>
    </w:p>
    <w:p w:rsidR="007129B6" w:rsidRDefault="00C57378">
      <w:pPr>
        <w:spacing w:after="60"/>
        <w:ind w:left="0" w:right="26" w:firstLine="283"/>
      </w:pPr>
      <w:r>
        <w:t>Опухоль, оставшаяся у пациента после терапии (например, хирургическая резекция), обозначается как категория R и классифицируется следующим образом:</w:t>
      </w:r>
    </w:p>
    <w:p w:rsidR="007129B6" w:rsidRDefault="00C57378">
      <w:pPr>
        <w:ind w:left="294" w:right="26"/>
      </w:pPr>
      <w:r>
        <w:t>Rx —наличие остаточной опухоли не может быть оценено</w:t>
      </w:r>
    </w:p>
    <w:p w:rsidR="007129B6" w:rsidRDefault="00C57378">
      <w:pPr>
        <w:ind w:left="294" w:right="26"/>
      </w:pPr>
      <w:r>
        <w:t>R0 — нет остаточной</w:t>
      </w:r>
      <w:r>
        <w:t xml:space="preserve"> опухоли</w:t>
      </w:r>
    </w:p>
    <w:p w:rsidR="007129B6" w:rsidRDefault="00C57378">
      <w:pPr>
        <w:spacing w:after="60"/>
        <w:ind w:left="294" w:right="2699"/>
      </w:pPr>
      <w:r>
        <w:t>R1 — микроскопическая остаточная опухоль R2 — макроскопическая остаточная опухоль.</w:t>
      </w:r>
    </w:p>
    <w:p w:rsidR="007129B6" w:rsidRDefault="00C57378">
      <w:pPr>
        <w:spacing w:after="270"/>
        <w:ind w:left="0" w:right="26" w:firstLine="284"/>
      </w:pPr>
      <w:r>
        <w:t xml:space="preserve">Для хирургов R классификация может быть полезна с точки зрения оценки полноты хирургической эксцизии. Для патологов R классификация значима для оценки статуса края </w:t>
      </w:r>
      <w:r>
        <w:t>резекции макропрепарата. Опухоль, вовлекающая край резекции при патоморфологическом исследовании, может быть обозначена как остаточная и классифицирована как макроскопическая или микроскопическая согласно находкам в краях резекции.</w:t>
      </w:r>
    </w:p>
    <w:p w:rsidR="007129B6" w:rsidRDefault="00C57378">
      <w:pPr>
        <w:pStyle w:val="Heading3"/>
        <w:ind w:left="-5" w:right="38"/>
      </w:pPr>
      <w:r>
        <w:t>1.9. Лимфатические узлы</w:t>
      </w:r>
    </w:p>
    <w:p w:rsidR="007129B6" w:rsidRDefault="00C57378">
      <w:pPr>
        <w:ind w:left="0" w:right="26" w:firstLine="283"/>
      </w:pPr>
      <w:r>
        <w:t>За исключением эпителиоидной и светлоклеточной СМТ, метастазы других СМТ в региональных лимфатических узлах редки. Обычно нет необходимости тщательно исследовать лимфатические узлы. Наличие метастазов в региональных лимфатических узлах имеет прогностическо</w:t>
      </w:r>
      <w:r>
        <w:t>е значение и должно быть указано. Согласно 8‑й редакции классификации TNM, для СМТ, локализующихся на теле, конечностях и в забрюшинном пространстве, N1M0 заболевание должно быть расценено как стадия IIIB, а не стадия IV.</w:t>
      </w:r>
    </w:p>
    <w:p w:rsidR="007129B6" w:rsidRDefault="00C57378">
      <w:pPr>
        <w:pStyle w:val="Heading3"/>
        <w:ind w:left="-5" w:right="38"/>
      </w:pPr>
      <w:r>
        <w:t>1.10. Края резекции</w:t>
      </w:r>
    </w:p>
    <w:p w:rsidR="007129B6" w:rsidRDefault="00C57378">
      <w:pPr>
        <w:spacing w:after="270"/>
        <w:ind w:left="0" w:right="26" w:firstLine="283"/>
      </w:pPr>
      <w:r>
        <w:t xml:space="preserve">Расстояние от </w:t>
      </w:r>
      <w:r>
        <w:t>опухоли до краев резекции указывается в сантиметрах. Рекомендуется исследовать края резекции, если расстояние до опухоли составляет менее 2 см. Несмотря на то, что нет полного согласия по этому вопросу, рекомендуется специфицировать локализацию и расстояни</w:t>
      </w:r>
      <w:r>
        <w:t>е до краев резекции менее 2 см. Если в образце ткани присутствует не пораженная опухолью кость или опухоль находится на расстоянии более 2 см от края резекции, костный мозг может быть выскоблен и обозначен как край резекции.</w:t>
      </w:r>
    </w:p>
    <w:p w:rsidR="007129B6" w:rsidRDefault="00C57378">
      <w:pPr>
        <w:pStyle w:val="Heading3"/>
        <w:ind w:left="-5" w:right="38"/>
      </w:pPr>
      <w:r>
        <w:t>1.11. Лимфо-сосудистая инвазия</w:t>
      </w:r>
    </w:p>
    <w:p w:rsidR="007129B6" w:rsidRDefault="00C57378">
      <w:pPr>
        <w:spacing w:after="270"/>
        <w:ind w:left="0" w:right="26" w:firstLine="283"/>
      </w:pPr>
      <w:r>
        <w:t>Включает инвазию в лимфатические узлы и микрососуды. Согласно AJCC / UICC, лимфососудистая инвазия не затрагивает категорию Т, отражающую местное распространение опухоли, если это не включено в определение категории Т.</w:t>
      </w:r>
    </w:p>
    <w:p w:rsidR="007129B6" w:rsidRDefault="00C57378">
      <w:pPr>
        <w:pStyle w:val="Heading3"/>
        <w:ind w:left="-5" w:right="38"/>
      </w:pPr>
      <w:r>
        <w:t>1.12. Патоморфоз</w:t>
      </w:r>
    </w:p>
    <w:p w:rsidR="007129B6" w:rsidRDefault="00C57378">
      <w:pPr>
        <w:spacing w:after="367"/>
        <w:ind w:left="0" w:right="26" w:firstLine="283"/>
      </w:pPr>
      <w:r>
        <w:t>Хотя согласие по оце</w:t>
      </w:r>
      <w:r>
        <w:t>нке патоморфоза СМТ не достигнуто, должны предприниматься попытки для измерения эффекта неоадьювантной терапии, особенно в исследовательских целях. Терапевтический эффект выражается как видимый процент некротизированной опухолевой ткани от общей опухолевой</w:t>
      </w:r>
      <w:r>
        <w:t xml:space="preserve"> массы. Для исследования выбираются образцы неразжиженной опухолевой ткани. Как минимум один образец некротизированной опухолевой ткани (всегда на границе с видимой опухолью) должен быть взят на исследование для верификации некроза, поскольку макроскопичес</w:t>
      </w:r>
      <w:r>
        <w:t>ки похожий вид могут иметь участки миксоматоза.</w:t>
      </w:r>
    </w:p>
    <w:p w:rsidR="007129B6" w:rsidRDefault="00C57378">
      <w:pPr>
        <w:pStyle w:val="Heading2"/>
        <w:ind w:left="-4"/>
      </w:pPr>
      <w:r>
        <w:t>2. ДИАГНОСТИКА</w:t>
      </w:r>
    </w:p>
    <w:p w:rsidR="007129B6" w:rsidRDefault="00C57378">
      <w:pPr>
        <w:pStyle w:val="Heading3"/>
        <w:ind w:left="-5" w:right="38"/>
      </w:pPr>
      <w:r>
        <w:t>2.1. Методы диагностики</w:t>
      </w:r>
    </w:p>
    <w:p w:rsidR="007129B6" w:rsidRDefault="00C57378">
      <w:pPr>
        <w:spacing w:after="60"/>
        <w:ind w:left="0" w:right="26" w:firstLine="283"/>
      </w:pPr>
      <w:r>
        <w:t>СМТ диагностируются с помощью биопсии. Тип биопсии зависит от размера опухоли и её расположения. Могут быть использованы следующие типы биопсии:</w:t>
      </w:r>
    </w:p>
    <w:p w:rsidR="007129B6" w:rsidRDefault="00C57378">
      <w:pPr>
        <w:numPr>
          <w:ilvl w:val="0"/>
          <w:numId w:val="1"/>
        </w:numPr>
        <w:ind w:left="283" w:right="26" w:hanging="283"/>
      </w:pPr>
      <w:r>
        <w:t>пункционная биопсия — уд</w:t>
      </w:r>
      <w:r>
        <w:t>аление ткани с помощью широкой иглы; процедура проводится под навигационным контролем (УЗИ, КТ, МРТ);</w:t>
      </w:r>
    </w:p>
    <w:p w:rsidR="007129B6" w:rsidRDefault="00C57378">
      <w:pPr>
        <w:numPr>
          <w:ilvl w:val="0"/>
          <w:numId w:val="1"/>
        </w:numPr>
        <w:spacing w:after="60"/>
        <w:ind w:left="283" w:right="26" w:hanging="283"/>
      </w:pPr>
      <w:r>
        <w:t>инцизионная биопсия — удаление части новообразования или образца ткани; может быть выполнена, когда пункционная биопсия небезопасна или ее результаты не я</w:t>
      </w:r>
      <w:r>
        <w:t>сны.</w:t>
      </w:r>
    </w:p>
    <w:p w:rsidR="007129B6" w:rsidRDefault="00C57378">
      <w:pPr>
        <w:spacing w:after="60"/>
        <w:ind w:left="0" w:right="26" w:firstLine="283"/>
      </w:pPr>
      <w:r>
        <w:t>В тщательном планировании биопсии должны участвовать хирург и врач отделения лучевой диагностики, который использует медицинские изображения для постановки диагноза. Поскольку диагноз зачастую морфологически трудно интерпретируется, образцы тканей дол</w:t>
      </w:r>
      <w:r>
        <w:t>жны быть исследованы патологоанатомом, имеющим опыт диагностики СМТ. Для визуализации СМТ используют различные тесты, такие как:</w:t>
      </w:r>
    </w:p>
    <w:p w:rsidR="007129B6" w:rsidRDefault="00C57378">
      <w:pPr>
        <w:numPr>
          <w:ilvl w:val="0"/>
          <w:numId w:val="1"/>
        </w:numPr>
        <w:ind w:left="283" w:right="26" w:hanging="283"/>
      </w:pPr>
      <w:r>
        <w:t>первичное обследование больных с подозрением на первичное злокачественное новообразование (рецидив) с помощью УЗИ;</w:t>
      </w:r>
    </w:p>
    <w:p w:rsidR="007129B6" w:rsidRDefault="00C57378">
      <w:pPr>
        <w:numPr>
          <w:ilvl w:val="0"/>
          <w:numId w:val="1"/>
        </w:numPr>
        <w:ind w:left="283" w:right="26" w:hanging="283"/>
      </w:pPr>
      <w:r>
        <w:t>КТ или МРТ д</w:t>
      </w:r>
      <w:r>
        <w:t>ля уточнения всех необходимых характеристик опухоли и степени вовлечения в процесс соседних структур, в т. ч. сосудов;</w:t>
      </w:r>
    </w:p>
    <w:p w:rsidR="007129B6" w:rsidRDefault="00C57378">
      <w:pPr>
        <w:numPr>
          <w:ilvl w:val="0"/>
          <w:numId w:val="1"/>
        </w:numPr>
        <w:ind w:left="283" w:right="26" w:hanging="283"/>
      </w:pPr>
      <w:r>
        <w:t>ангиография в отдельных случаях (предоперационная лечебная эмболизация, оценка степени васкуляризации опухоли);</w:t>
      </w:r>
    </w:p>
    <w:p w:rsidR="007129B6" w:rsidRDefault="00C57378">
      <w:pPr>
        <w:numPr>
          <w:ilvl w:val="0"/>
          <w:numId w:val="1"/>
        </w:numPr>
        <w:spacing w:after="270"/>
        <w:ind w:left="283" w:right="26" w:hanging="283"/>
      </w:pPr>
      <w:r>
        <w:t>при рецидивах и опухолях больших размеров (более 10 см), особенно тазовой локализации, показано выполнение МРТ.</w:t>
      </w:r>
    </w:p>
    <w:p w:rsidR="007129B6" w:rsidRDefault="00C57378">
      <w:pPr>
        <w:pStyle w:val="Heading3"/>
        <w:ind w:left="-5" w:right="38"/>
      </w:pPr>
      <w:r>
        <w:t>2.2. Основные параметры морфологического исследования</w:t>
      </w:r>
    </w:p>
    <w:p w:rsidR="007129B6" w:rsidRDefault="00C57378">
      <w:pPr>
        <w:spacing w:after="60"/>
        <w:ind w:left="0" w:right="26" w:firstLine="284"/>
      </w:pPr>
      <w:r>
        <w:t>Протокол патологоанатомического исследования новообразования мягких тканей должен содержат</w:t>
      </w:r>
      <w:r>
        <w:t>ь следующую информацию:</w:t>
      </w:r>
    </w:p>
    <w:p w:rsidR="007129B6" w:rsidRDefault="00C57378">
      <w:pPr>
        <w:numPr>
          <w:ilvl w:val="0"/>
          <w:numId w:val="2"/>
        </w:numPr>
        <w:ind w:right="26" w:hanging="284"/>
      </w:pPr>
      <w:r>
        <w:t>объем хирургического вмешательства, которое было выполнено;</w:t>
      </w:r>
    </w:p>
    <w:p w:rsidR="007129B6" w:rsidRDefault="00C57378">
      <w:pPr>
        <w:numPr>
          <w:ilvl w:val="0"/>
          <w:numId w:val="2"/>
        </w:numPr>
        <w:ind w:right="26" w:hanging="284"/>
      </w:pPr>
      <w:r>
        <w:t>локализацию опухоли;</w:t>
      </w:r>
    </w:p>
    <w:p w:rsidR="007129B6" w:rsidRDefault="00C57378">
      <w:pPr>
        <w:numPr>
          <w:ilvl w:val="0"/>
          <w:numId w:val="2"/>
        </w:numPr>
        <w:ind w:right="26" w:hanging="284"/>
      </w:pPr>
      <w:r>
        <w:t>структуры / органы, представленные для исследования;</w:t>
      </w:r>
    </w:p>
    <w:p w:rsidR="007129B6" w:rsidRDefault="00C57378">
      <w:pPr>
        <w:numPr>
          <w:ilvl w:val="0"/>
          <w:numId w:val="2"/>
        </w:numPr>
        <w:ind w:right="26" w:hanging="284"/>
      </w:pPr>
      <w:r>
        <w:t>размер, гистологический тип (нозологическая форма), grade с применением 2‑х или 3‑х‑рангововой сис</w:t>
      </w:r>
      <w:r>
        <w:t>темы (при этом для ряда нозологий, в частности, эмбриональной, альвеолярной рабдомиосаркомы, экстраскелетной миксоидной хондросаркомы, альвеолярной саркомы мягких тканей, светлоклеточной саркомы и эпителиоидной саркомы указание grade не рекомендовано; оцен</w:t>
      </w:r>
      <w:r>
        <w:t>ка grade злокачественных опухолей из оболочек периферических нервов остается дискутабельной);</w:t>
      </w:r>
    </w:p>
    <w:p w:rsidR="007129B6" w:rsidRDefault="00C57378">
      <w:pPr>
        <w:numPr>
          <w:ilvl w:val="0"/>
          <w:numId w:val="2"/>
        </w:numPr>
        <w:ind w:right="26" w:hanging="284"/>
      </w:pPr>
      <w:r>
        <w:t>распространение неоплазмы в кожу, мышцы, периостеум, кость, суставную полость, вовлеченность крупных сосудов и нервов;</w:t>
      </w:r>
    </w:p>
    <w:p w:rsidR="007129B6" w:rsidRDefault="00C57378">
      <w:pPr>
        <w:numPr>
          <w:ilvl w:val="0"/>
          <w:numId w:val="2"/>
        </w:numPr>
        <w:ind w:right="26" w:hanging="284"/>
      </w:pPr>
      <w:r>
        <w:t>статус краев резекции с точным указанием ра</w:t>
      </w:r>
      <w:r>
        <w:t>сстояния до ближайшего края резекции (менее 2 см);</w:t>
      </w:r>
    </w:p>
    <w:p w:rsidR="007129B6" w:rsidRDefault="00C57378">
      <w:pPr>
        <w:numPr>
          <w:ilvl w:val="0"/>
          <w:numId w:val="2"/>
        </w:numPr>
        <w:ind w:right="26" w:hanging="284"/>
      </w:pPr>
      <w:r>
        <w:t>наличие отсевов (сателлитов) опухоли в окружающих тканях;</w:t>
      </w:r>
    </w:p>
    <w:p w:rsidR="007129B6" w:rsidRDefault="00C57378">
      <w:pPr>
        <w:numPr>
          <w:ilvl w:val="0"/>
          <w:numId w:val="2"/>
        </w:numPr>
        <w:spacing w:after="232"/>
        <w:ind w:right="26" w:hanging="284"/>
      </w:pPr>
      <w:r>
        <w:t>наличие / отсутствие метастазов, в том числе в лимфатических узлах.</w:t>
      </w:r>
    </w:p>
    <w:p w:rsidR="007129B6" w:rsidRDefault="00C57378">
      <w:pPr>
        <w:pStyle w:val="Heading4"/>
        <w:spacing w:after="74" w:line="259" w:lineRule="auto"/>
        <w:ind w:left="-5"/>
      </w:pPr>
      <w:r>
        <w:rPr>
          <w:sz w:val="20"/>
        </w:rPr>
        <w:t>2.2.1. Локализация СМТ</w:t>
      </w:r>
    </w:p>
    <w:p w:rsidR="007129B6" w:rsidRDefault="00C57378">
      <w:pPr>
        <w:spacing w:after="174"/>
        <w:ind w:left="0" w:right="26" w:firstLine="284"/>
      </w:pPr>
      <w:r>
        <w:t>Локализация СМТ имеет большое значение для диагностики н</w:t>
      </w:r>
      <w:r>
        <w:t>озологии. В 8‑й редакции классификации TNM и AJCC руководства по стадированию акцентировано внимание на первичной локализации СМТ как фактора, влияющего на риск рецидивирования и метастазирования. Для СМТ тела и конечностей, забрюшинного пространства, голо</w:t>
      </w:r>
      <w:r>
        <w:t>вы и шеи, висцеральной, а также орбитальной локализации разработаны разные системы стадирования.</w:t>
      </w:r>
    </w:p>
    <w:p w:rsidR="007129B6" w:rsidRDefault="00C57378">
      <w:pPr>
        <w:pStyle w:val="Heading5"/>
      </w:pPr>
      <w:r>
        <w:t>2.2.1.1. Голова и шея</w:t>
      </w:r>
    </w:p>
    <w:p w:rsidR="007129B6" w:rsidRDefault="00C57378">
      <w:pPr>
        <w:spacing w:after="174"/>
        <w:ind w:left="0" w:right="26" w:firstLine="283"/>
      </w:pPr>
      <w:r>
        <w:t>Система стадирования применяется для СМТ, развившихся в подкожных и глубоких структурах шеи, включая нейро‑сосудистые, в полости рта, верхнем дыхательном тракте, включая носовую полость, синусы, глотку, гортань, нижневисочную ямку и жевательное пространств</w:t>
      </w:r>
      <w:r>
        <w:t>о, большие слюнные железы, щитовидную и паращитовидные железы, шейный отдел пищевода и трахеи, а также периферические и черепные нервы. Традиционный порог размера опухоли (5 см) для этой группы не применяется. Опухоли этой локализации имеют больший риск пр</w:t>
      </w:r>
      <w:r>
        <w:t>огрессирования (рецидивы, метастазы) при меньших, по сравнению с другими локализациями, размерах первичного узла.</w:t>
      </w:r>
    </w:p>
    <w:p w:rsidR="007129B6" w:rsidRDefault="00C57378">
      <w:pPr>
        <w:pStyle w:val="Heading5"/>
      </w:pPr>
      <w:r>
        <w:t>2.2.1.2. Туловище и конечности</w:t>
      </w:r>
    </w:p>
    <w:p w:rsidR="007129B6" w:rsidRDefault="00C57378">
      <w:pPr>
        <w:spacing w:after="174"/>
        <w:ind w:left="0" w:right="26" w:firstLine="283"/>
      </w:pPr>
      <w:r>
        <w:t>Система стадирования применяется к СМТ, развившимся на туловище и конечностях, включая молочную железу.</w:t>
      </w:r>
    </w:p>
    <w:p w:rsidR="007129B6" w:rsidRDefault="00C57378">
      <w:pPr>
        <w:pStyle w:val="Heading5"/>
      </w:pPr>
      <w:r>
        <w:t>2.2.1.3</w:t>
      </w:r>
      <w:r>
        <w:t>. Грудная и брюшная полость</w:t>
      </w:r>
    </w:p>
    <w:p w:rsidR="007129B6" w:rsidRDefault="00C57378">
      <w:pPr>
        <w:spacing w:after="174"/>
        <w:ind w:left="0" w:right="26" w:firstLine="283"/>
      </w:pPr>
      <w:r>
        <w:t>Система стадирования применяется к СМТ, развившимся в полостных органах, включая пищевод, желудок, тонкую и толстую кишку, а также в паренхиматозных органах (печень, почки, легкие, сердце). СМТ, развившиеся в перитонеальной, пле</w:t>
      </w:r>
      <w:r>
        <w:t>вральной и медиастинальной полостях, но не исходящие из органов, могут стадироваться по системе ретроперитонеальных сарком.</w:t>
      </w:r>
    </w:p>
    <w:p w:rsidR="007129B6" w:rsidRDefault="00C57378">
      <w:pPr>
        <w:pStyle w:val="Heading5"/>
      </w:pPr>
      <w:r>
        <w:t>2.2.1.4. Забрюшинное пространство</w:t>
      </w:r>
    </w:p>
    <w:p w:rsidR="007129B6" w:rsidRDefault="00C57378">
      <w:pPr>
        <w:spacing w:after="174"/>
        <w:ind w:left="0" w:right="26" w:firstLine="283"/>
      </w:pPr>
      <w:r>
        <w:t>Система стадирования применяется к СМТ, развившимся в забрюшинном пространстве, перитонеальной, плевральной и медиастинальной полостях, но не исходящим из органов, расположенных в этих пространствах.</w:t>
      </w:r>
    </w:p>
    <w:p w:rsidR="007129B6" w:rsidRDefault="00C57378">
      <w:pPr>
        <w:pStyle w:val="Heading5"/>
      </w:pPr>
      <w:r>
        <w:t>2.2.1.5. Орбита</w:t>
      </w:r>
    </w:p>
    <w:p w:rsidR="007129B6" w:rsidRDefault="00C57378">
      <w:pPr>
        <w:spacing w:after="367"/>
        <w:ind w:left="0" w:right="26" w:firstLine="283"/>
      </w:pPr>
      <w:r>
        <w:t>Система стадирования применяется к сарко</w:t>
      </w:r>
      <w:r>
        <w:t>мам, развившимся из структур полости орбиты, включая глазной нерв и его оболочки, слезные железы, экстраокулярные мышцы, фасции, орбитальный жир, сосуды.</w:t>
      </w:r>
    </w:p>
    <w:p w:rsidR="007129B6" w:rsidRDefault="00C57378">
      <w:pPr>
        <w:pStyle w:val="Heading2"/>
        <w:ind w:left="-4"/>
      </w:pPr>
      <w:r>
        <w:t>3. ЛЕЧЕНИЕ САРКОМ МЯГКИХ ТКАНЕЙ</w:t>
      </w:r>
    </w:p>
    <w:p w:rsidR="007129B6" w:rsidRDefault="00C57378">
      <w:pPr>
        <w:pStyle w:val="Heading3"/>
        <w:spacing w:after="100"/>
        <w:ind w:left="-5" w:right="38"/>
      </w:pPr>
      <w:r>
        <w:t>3.1. Варианты лечения в зависимости от стадии</w:t>
      </w:r>
    </w:p>
    <w:p w:rsidR="007129B6" w:rsidRDefault="00C57378">
      <w:pPr>
        <w:spacing w:after="62"/>
        <w:ind w:right="26"/>
      </w:pPr>
      <w:r>
        <w:rPr>
          <w:b/>
        </w:rPr>
        <w:t xml:space="preserve">3.1.1. </w:t>
      </w:r>
      <w:r>
        <w:t xml:space="preserve">Лечение СМТ </w:t>
      </w:r>
      <w:r>
        <w:rPr>
          <w:b/>
        </w:rPr>
        <w:t>I ст</w:t>
      </w:r>
      <w:r>
        <w:rPr>
          <w:b/>
        </w:rPr>
        <w:t>адии</w:t>
      </w:r>
      <w:r>
        <w:t xml:space="preserve"> может включать следующее: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удаление опухолевого образования в объеме органосохраняющего широкого иссечения;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ЛТ до и / или после операции;</w:t>
      </w:r>
    </w:p>
    <w:p w:rsidR="007129B6" w:rsidRDefault="00C57378">
      <w:pPr>
        <w:numPr>
          <w:ilvl w:val="0"/>
          <w:numId w:val="3"/>
        </w:numPr>
        <w:spacing w:after="60"/>
        <w:ind w:left="568" w:right="26" w:hanging="284"/>
      </w:pPr>
      <w:r>
        <w:t>высокодозная ЛТ при опухолях, которые невозможно удалить хирургическим путем.</w:t>
      </w:r>
    </w:p>
    <w:p w:rsidR="007129B6" w:rsidRDefault="00C57378">
      <w:pPr>
        <w:spacing w:after="60"/>
        <w:ind w:left="283" w:hanging="283"/>
        <w:jc w:val="left"/>
      </w:pPr>
      <w:r>
        <w:rPr>
          <w:b/>
        </w:rPr>
        <w:t xml:space="preserve">3.1.2. </w:t>
      </w:r>
      <w:r>
        <w:t xml:space="preserve">Лечение СМТ </w:t>
      </w:r>
      <w:r>
        <w:rPr>
          <w:b/>
        </w:rPr>
        <w:t>II и III стадий б</w:t>
      </w:r>
      <w:r>
        <w:rPr>
          <w:b/>
        </w:rPr>
        <w:t>ез распространения на регионарные лимфатические узлы</w:t>
      </w:r>
      <w:r>
        <w:t xml:space="preserve"> может включать следующее: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удаление опухолевого образования в объеме органосохраняющего широкого иссечения;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ЛТ до и / или после операции;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ЛТ и / или ХТ перед органосохраняющей операцией; ЛТ также может быть назначена после операции;</w:t>
      </w:r>
    </w:p>
    <w:p w:rsidR="007129B6" w:rsidRDefault="00C57378">
      <w:pPr>
        <w:numPr>
          <w:ilvl w:val="0"/>
          <w:numId w:val="3"/>
        </w:numPr>
        <w:spacing w:after="60"/>
        <w:ind w:left="568" w:right="26" w:hanging="284"/>
      </w:pPr>
      <w:r>
        <w:t>высокодозная ЛТ при опухолях, которые невозможно удалить хирургическим путем.</w:t>
      </w:r>
    </w:p>
    <w:p w:rsidR="007129B6" w:rsidRDefault="00C57378">
      <w:pPr>
        <w:spacing w:after="60"/>
        <w:ind w:left="283" w:hanging="283"/>
        <w:jc w:val="left"/>
      </w:pPr>
      <w:r>
        <w:rPr>
          <w:b/>
        </w:rPr>
        <w:t xml:space="preserve">3.1.3. </w:t>
      </w:r>
      <w:r>
        <w:t xml:space="preserve">Лечение СМТ </w:t>
      </w:r>
      <w:r>
        <w:rPr>
          <w:b/>
        </w:rPr>
        <w:t xml:space="preserve">III стадии с распространением на регионарные лимфатические узлы </w:t>
      </w:r>
      <w:r>
        <w:t>может включать следующее: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удаление опухолевого образования в объеме органосохраняющего широкого иссечения с лимфаденэктомией с использованием послеоперационной ЛТ;</w:t>
      </w:r>
    </w:p>
    <w:p w:rsidR="007129B6" w:rsidRDefault="00C57378">
      <w:pPr>
        <w:numPr>
          <w:ilvl w:val="0"/>
          <w:numId w:val="3"/>
        </w:numPr>
        <w:spacing w:after="60"/>
        <w:ind w:left="568" w:right="26" w:hanging="284"/>
      </w:pPr>
      <w:r>
        <w:t>удаление опухолевого образования в объеме органосохраняющего широкого иссечения с неоадьюван</w:t>
      </w:r>
      <w:r>
        <w:t>тной терапией (ХТ и / или ЛТ) или адьювантной терапией (ХТ и / или ЛТ).</w:t>
      </w:r>
    </w:p>
    <w:p w:rsidR="007129B6" w:rsidRDefault="00C57378">
      <w:pPr>
        <w:spacing w:after="62"/>
        <w:ind w:right="26"/>
      </w:pPr>
      <w:r>
        <w:rPr>
          <w:b/>
        </w:rPr>
        <w:t xml:space="preserve">3.1.4. </w:t>
      </w:r>
      <w:r>
        <w:t xml:space="preserve">Лечение СМТ </w:t>
      </w:r>
      <w:r>
        <w:rPr>
          <w:b/>
        </w:rPr>
        <w:t>IV стадии</w:t>
      </w:r>
      <w:r>
        <w:t xml:space="preserve"> может включать следующее: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 xml:space="preserve">хирургическое вмешательство в объеме широкого иссечения первичной опухоли (в том числе на участках метастазирования) как элемент </w:t>
      </w:r>
      <w:r>
        <w:t>циторедуктивных вмешательств с использованием реконструктивно‑пластического компонента; направлено на снижение объема опухолевой массы и / или ликвидацию нежелательных явлений, связанных с опухолевым ростом;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химиотерапия;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таргетная терапия;</w:t>
      </w:r>
    </w:p>
    <w:p w:rsidR="007129B6" w:rsidRDefault="00C57378">
      <w:pPr>
        <w:numPr>
          <w:ilvl w:val="0"/>
          <w:numId w:val="3"/>
        </w:numPr>
        <w:spacing w:after="62"/>
        <w:ind w:left="568" w:right="26" w:hanging="284"/>
      </w:pPr>
      <w:r>
        <w:t>участие в клини</w:t>
      </w:r>
      <w:r>
        <w:t>ческих исследованиях.</w:t>
      </w:r>
    </w:p>
    <w:p w:rsidR="007129B6" w:rsidRDefault="00C57378">
      <w:pPr>
        <w:spacing w:after="62"/>
        <w:jc w:val="left"/>
      </w:pPr>
      <w:r>
        <w:rPr>
          <w:b/>
        </w:rPr>
        <w:t>3.1.5. Лечение рецидивирующей СМТ</w:t>
      </w:r>
      <w:r>
        <w:t xml:space="preserve"> может включать следующее: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хирургическое вмешательство в объеме широкого иссечения рецидивной опухоли с использованием реконструктивно‑пластического компонента; направлено на снижение объема опухолевой</w:t>
      </w:r>
      <w:r>
        <w:t xml:space="preserve"> массы и / или ликвидацию нежелательных явлений, связанных с опухолевым ростом;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циторедуктивные операции, направленные на снижение объема опухолевой массы и / или ликвидацию нежелательных явлений, связанных с опухолевым ростом (распад, кровотечение и т. д.</w:t>
      </w:r>
      <w:r>
        <w:t>);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химиотерапия;</w:t>
      </w:r>
    </w:p>
    <w:p w:rsidR="007129B6" w:rsidRDefault="00C57378">
      <w:pPr>
        <w:numPr>
          <w:ilvl w:val="0"/>
          <w:numId w:val="3"/>
        </w:numPr>
        <w:ind w:left="568" w:right="26" w:hanging="284"/>
      </w:pPr>
      <w:r>
        <w:t>таргетная терапия;</w:t>
      </w:r>
    </w:p>
    <w:p w:rsidR="007129B6" w:rsidRDefault="00C57378">
      <w:pPr>
        <w:numPr>
          <w:ilvl w:val="0"/>
          <w:numId w:val="3"/>
        </w:numPr>
        <w:spacing w:after="272"/>
        <w:ind w:left="568" w:right="26" w:hanging="284"/>
      </w:pPr>
      <w:r>
        <w:t>участие в клинических исследованиях.</w:t>
      </w:r>
    </w:p>
    <w:p w:rsidR="007129B6" w:rsidRDefault="00C57378">
      <w:pPr>
        <w:pStyle w:val="Heading3"/>
        <w:ind w:left="-5" w:right="38"/>
      </w:pPr>
      <w:r>
        <w:t>3.2. Хирургическое лечение</w:t>
      </w:r>
    </w:p>
    <w:p w:rsidR="007129B6" w:rsidRDefault="00C57378">
      <w:pPr>
        <w:ind w:left="0" w:right="26" w:firstLine="283"/>
      </w:pPr>
      <w:r>
        <w:t>Хирургическое лечение СМТ тканей является основным, когда речь идет о местном процессе. Достижение высоких показателей выживаемости возможно только при использовании хирургического этапа. Опухоли до 5 см могут быть излечены только оперативным вмешательство</w:t>
      </w:r>
      <w:r>
        <w:t>м. Опухоли бóльших размеров подлежат хирургическому удалению после индукционной (предоперационной) терапии. Оперативное вмешательство является обязательным этапом многокомпонентной терапии высоко злокачественных местнораспространенных СМТ.</w:t>
      </w:r>
    </w:p>
    <w:p w:rsidR="007129B6" w:rsidRDefault="00C57378">
      <w:pPr>
        <w:pStyle w:val="Heading3"/>
        <w:ind w:left="-5" w:right="38"/>
      </w:pPr>
      <w:r>
        <w:t>3.3. Принципы лу</w:t>
      </w:r>
      <w:r>
        <w:t>чевой терапии сарком мягких тканей</w:t>
      </w:r>
    </w:p>
    <w:p w:rsidR="007129B6" w:rsidRDefault="00C57378">
      <w:pPr>
        <w:ind w:left="0" w:right="26" w:firstLine="283"/>
      </w:pPr>
      <w:r>
        <w:t>Лучевая терапия в комбинации с операцией необходима при высоком риске рецидива для улучшения локального контроля. При локализованных СМТ конечностей и туловища при наличии показаний к ЛТ предпочтительна неоадъювантная ЛТ.</w:t>
      </w:r>
      <w:r>
        <w:t xml:space="preserve"> Операция на первом этапе с адъювантной ЛТ предпочтительна при осложненном течении заболевания (боль, распад опухоли, кровотечение) и при высоком риске послеоперационных осложнений (опухоль &gt; 10 см, близость опухоли к коже, расположение опухоли на нижних к</w:t>
      </w:r>
      <w:r>
        <w:t xml:space="preserve">онечностях, курение, диабет, сопутствующие заболевания сосудов, ожирение). Адъювантную ЛТ начинают через 4–6 недель после операции и при условии заживления послеоперационной раны. ЛТ не показана при низком риске рецидива: поверхностная опухоль ≤ 5 см, G1, </w:t>
      </w:r>
      <w:r>
        <w:t>удаление опухоли с широким краем резекции (≥ 1 см). При ретроперитонеальных саркомах ЛТ не должна применяться рутинно. При высоком риске рецидива предпочтительна неоадъювантная ЛТ. Адъювантная ЛТ при ретроперитонеальных СМТ не рекомендована. При нерезектаб</w:t>
      </w:r>
      <w:r>
        <w:t>ельной опухоли или при отказе от операции возможно проведение самостоятельной ЛТ. Целевые объемы и дозы соответствуют неоадъювантной ЛТ с дополнительным бустом (одновременным или последовательным) до суммарной дозы не менее 63 Гр.</w:t>
      </w:r>
    </w:p>
    <w:p w:rsidR="007129B6" w:rsidRDefault="00C57378">
      <w:pPr>
        <w:ind w:left="0" w:right="26" w:firstLine="283"/>
      </w:pPr>
      <w:r>
        <w:t>Схему лечения и последова</w:t>
      </w:r>
      <w:r>
        <w:t>тельность методов междисциплинарная команда, включающая хирурга, химиотерапевта, морфолога и радиотерапевта; учитываются параметры опухоли и ее локализация, морфологический подтип и G, коморбидный статус пациента, возможность радикального удаления без тяже</w:t>
      </w:r>
      <w:r>
        <w:t>лого функционального и косметического дефекта, риск послеоперационных осложнений, возможность повторной операции в случае рецидива.</w:t>
      </w:r>
    </w:p>
    <w:p w:rsidR="007129B6" w:rsidRDefault="00C57378">
      <w:pPr>
        <w:ind w:left="0" w:right="26" w:firstLine="283"/>
      </w:pPr>
      <w:r>
        <w:t>С целью радиосенсибилизации могут применяться физические (гипертермия) факторы и / или ХТ. В связи с отсутствием стандартных</w:t>
      </w:r>
      <w:r>
        <w:t xml:space="preserve"> схем радиосенсибилизация может применяться в рамках клинических исследований в центрах, располагающих необходимым оборудованием и опытом лечения СМТ.</w:t>
      </w:r>
    </w:p>
    <w:p w:rsidR="007129B6" w:rsidRDefault="00C57378">
      <w:pPr>
        <w:spacing w:after="270"/>
        <w:ind w:left="0" w:right="26" w:firstLine="283"/>
      </w:pPr>
      <w:r>
        <w:t>В связи с низким риском регионарного метастазирования профилактическое облучение регионарных лимфатически</w:t>
      </w:r>
      <w:r>
        <w:t>х узлов не проводится.</w:t>
      </w:r>
    </w:p>
    <w:p w:rsidR="007129B6" w:rsidRDefault="00C57378">
      <w:pPr>
        <w:pStyle w:val="Heading3"/>
        <w:ind w:left="-5" w:right="38"/>
      </w:pPr>
      <w:r>
        <w:t>3.4. Неоадъвантная / адъювантная терапия операбельных сарком мягких тканей</w:t>
      </w:r>
    </w:p>
    <w:p w:rsidR="007129B6" w:rsidRDefault="00C57378">
      <w:pPr>
        <w:ind w:left="0" w:right="26" w:firstLine="283"/>
      </w:pPr>
      <w:r>
        <w:t>Решение о проведении неоадъювантоной и адъювантной ХТ при локализованных саркомах мягких тканей должно быть принято мультидисциплинарным консилиумом в референ</w:t>
      </w:r>
      <w:r>
        <w:t xml:space="preserve">сных саркомных центрах. Основными показаниями являются высокозлокачественный и чувствительный к ХТ морфологический тип саркомы, высокий риск метастазирования и рецидива, размеры и локализация опухоли. Предоперационная ХТ увеличивает вероятность выполнения </w:t>
      </w:r>
      <w:r>
        <w:t>хирургического этапа в объеме R0, улучшает выживаемость до прогрессирования и качество жизни пациента. Проведение неоадьювантной ХТ предполагает корректную оценку эффекта терапии с помощью МРТ, ПЭТ‑КТ в процессе лечения и оценку степени лечебного патоморфо</w:t>
      </w:r>
      <w:r>
        <w:t>за в послеоперационном материале. Такая поэтапная оценка эффективности позволяет максимально корректно оценить ответ на терапию и при необходимости сменить режим лечения. У пациентов с незначительным ответом на неоадювантную ХТ прогноз заболевания становит</w:t>
      </w:r>
      <w:r>
        <w:t>ся менее благоприятным. Поэтому им необходимо проводить операцию на более ранних этапах лечения либо использовать альтернативные режимы системного лечения, основываясь на клинических данных.</w:t>
      </w:r>
    </w:p>
    <w:p w:rsidR="007129B6" w:rsidRDefault="00C57378">
      <w:pPr>
        <w:ind w:left="0" w:right="26" w:firstLine="284"/>
      </w:pPr>
      <w:r>
        <w:t>При саркомах мягких тканей конечностей и туловища III стадии, гол</w:t>
      </w:r>
      <w:r>
        <w:t xml:space="preserve">овы и шеи больше 4 см (в отдельных случаях от 2 до 4 см) неоадъювантная ХТ включает 4 курса по схеме «доксорубицин + ифосфамид». Рекомендована эскалация доз и поддержка Г‑КСФ при высоком риске местного рецидива и отдаленного метастазирования, а также ECOG </w:t>
      </w:r>
      <w:r>
        <w:t>0–1. Исключением для данной комбинации являются отдельные гистологические типы, например, рабдомиосаркома (табл. 4). При наличии противопоказаний к двухкомпонентной ХТ (возраст старше 65 лет, сопутствующие заболевания, ECOG 2) возможно проведение 2–4 курсо</w:t>
      </w:r>
      <w:r>
        <w:t>в монотерапии доксорубицином. При лечебном патоморфозе III степени и выше рекомендовано проведение 2–4 курсов по прежней схеме. При лечебном патоморфозе &lt; III степени или R1, рекомендовано проведение ЛТ в комбинации с ХТ второй линии или без нее. При отсут</w:t>
      </w:r>
      <w:r>
        <w:t xml:space="preserve">ствии предоперационной терапии сарком высокого риска рекомендовано проведение адъювантной терапии, включающей ЛТ и / или ХТ. Адъювантно проводится суммарно 6 курсов по схеме «доксорубицин + ифосфамид» с эскалацией доз при высоком риске местного рецидива и </w:t>
      </w:r>
      <w:r>
        <w:t>отдаленного метастазирования. При наличии противопоказаний к двухкомпонентной ХТ рекомендовано проведение 6 курсов монотерапии доксорубицином. Выбор схемы периоперационной ХТ представлен в табл. 2, а режимы представлены в табл. 4.</w:t>
      </w:r>
    </w:p>
    <w:p w:rsidR="007129B6" w:rsidRDefault="00C57378">
      <w:pPr>
        <w:ind w:left="0" w:right="26" w:firstLine="283"/>
      </w:pPr>
      <w:r>
        <w:t>Для пациентов с забрюшинн</w:t>
      </w:r>
      <w:r>
        <w:t xml:space="preserve">ыми саркомами проведение предоперационной ХТ может быть рассмотрено при невозможности выполнения радикального хирургического лечения на первом этапе. Сокращение размеров опухоли, увеличение выраженности псевдокапсулы, снижение степени васкуляризации — все </w:t>
      </w:r>
      <w:r>
        <w:t>эти цели могут быть достигнуты у определенного процента пациентов в результате предоперационной ХТ. Адъювантная ХТ может быть рекомендована при саркомах высокого риска.</w:t>
      </w:r>
    </w:p>
    <w:p w:rsidR="007129B6" w:rsidRDefault="00C57378">
      <w:pPr>
        <w:spacing w:after="210"/>
        <w:ind w:left="0" w:right="26" w:firstLine="283"/>
      </w:pPr>
      <w:r>
        <w:t>Применение отдельных вариантов лекарственной терапии, в частности регионарной изолирова</w:t>
      </w:r>
      <w:r>
        <w:t xml:space="preserve">нной перфузии, термохимиотерапии, внутриартериальной ХТ требует наличия как современного оборудования, так и высококвалифицированных специалистов. Аппарат искусственного кровообращения, станции локальной и регионарной гипертермии, перфузиолог, ангиохирург </w:t>
      </w:r>
      <w:r>
        <w:t>— все это неполный перечень высокотехнологичного пособия, доступного лишь в крупных онкологических учреждениях.</w:t>
      </w:r>
    </w:p>
    <w:p w:rsidR="007129B6" w:rsidRDefault="00C57378">
      <w:pPr>
        <w:spacing w:after="0" w:line="259" w:lineRule="auto"/>
        <w:ind w:left="-5"/>
        <w:jc w:val="left"/>
      </w:pPr>
      <w:r>
        <w:rPr>
          <w:b/>
        </w:rPr>
        <w:t>Таблица 2.</w:t>
      </w:r>
      <w:r>
        <w:t xml:space="preserve"> Выбор схемы химиотерапии при операбельных СМТ.</w:t>
      </w:r>
    </w:p>
    <w:tbl>
      <w:tblPr>
        <w:tblStyle w:val="TableGrid"/>
        <w:tblW w:w="6396" w:type="dxa"/>
        <w:tblInd w:w="5" w:type="dxa"/>
        <w:tblCellMar>
          <w:top w:w="46" w:type="dxa"/>
          <w:left w:w="7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08"/>
        <w:gridCol w:w="3788"/>
      </w:tblGrid>
      <w:tr w:rsidR="007129B6">
        <w:trPr>
          <w:trHeight w:val="259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7129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Предпочтительные схемы</w:t>
            </w:r>
          </w:p>
        </w:tc>
      </w:tr>
      <w:tr w:rsidR="007129B6">
        <w:trPr>
          <w:trHeight w:val="599"/>
        </w:trPr>
        <w:tc>
          <w:tcPr>
            <w:tcW w:w="26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Неоадъювантная терапия (2–4 курса) 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6"/>
              </w:numPr>
              <w:spacing w:after="0" w:line="259" w:lineRule="auto"/>
              <w:ind w:right="380" w:firstLine="0"/>
              <w:jc w:val="left"/>
            </w:pPr>
            <w:r>
              <w:rPr>
                <w:sz w:val="14"/>
              </w:rPr>
              <w:t>Высокодозный «доксорубицин + ифосфамид»</w:t>
            </w:r>
          </w:p>
          <w:p w:rsidR="007129B6" w:rsidRDefault="00C57378">
            <w:pPr>
              <w:numPr>
                <w:ilvl w:val="0"/>
                <w:numId w:val="6"/>
              </w:numPr>
              <w:spacing w:after="0" w:line="259" w:lineRule="auto"/>
              <w:ind w:right="380" w:firstLine="0"/>
              <w:jc w:val="left"/>
            </w:pPr>
            <w:r>
              <w:rPr>
                <w:sz w:val="14"/>
              </w:rPr>
              <w:t xml:space="preserve">Стандартный «доксорубицин + ифосфамид» • </w:t>
            </w:r>
            <w:r>
              <w:rPr>
                <w:sz w:val="14"/>
              </w:rPr>
              <w:tab/>
              <w:t>Доксорубцин</w:t>
            </w:r>
          </w:p>
        </w:tc>
      </w:tr>
      <w:tr w:rsidR="007129B6">
        <w:tblPrEx>
          <w:tblCellMar>
            <w:top w:w="45" w:type="dxa"/>
          </w:tblCellMar>
        </w:tblPrEx>
        <w:trPr>
          <w:trHeight w:val="259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7129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Предпочтительные схемы</w:t>
            </w:r>
          </w:p>
        </w:tc>
      </w:tr>
      <w:tr w:rsidR="007129B6">
        <w:tblPrEx>
          <w:tblCellMar>
            <w:top w:w="45" w:type="dxa"/>
          </w:tblCellMar>
        </w:tblPrEx>
        <w:trPr>
          <w:trHeight w:val="599"/>
        </w:trPr>
        <w:tc>
          <w:tcPr>
            <w:tcW w:w="26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Адъювантная терапия при лечебном патоморфозе &gt; III степени (2–4 курса) 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7"/>
              </w:numPr>
              <w:spacing w:after="0" w:line="259" w:lineRule="auto"/>
              <w:ind w:right="401" w:firstLine="0"/>
              <w:jc w:val="left"/>
            </w:pPr>
            <w:r>
              <w:rPr>
                <w:sz w:val="14"/>
              </w:rPr>
              <w:t xml:space="preserve">Высокодозный «доксорубцин + ифосфамид» </w:t>
            </w:r>
          </w:p>
          <w:p w:rsidR="007129B6" w:rsidRDefault="00C57378">
            <w:pPr>
              <w:numPr>
                <w:ilvl w:val="0"/>
                <w:numId w:val="7"/>
              </w:numPr>
              <w:spacing w:after="0" w:line="259" w:lineRule="auto"/>
              <w:ind w:right="401" w:firstLine="0"/>
              <w:jc w:val="left"/>
            </w:pPr>
            <w:r>
              <w:rPr>
                <w:sz w:val="14"/>
              </w:rPr>
              <w:t xml:space="preserve">Стандартный «доксорубцин + ифосфамид» • </w:t>
            </w:r>
            <w:r>
              <w:rPr>
                <w:sz w:val="14"/>
              </w:rPr>
              <w:tab/>
              <w:t>Доксорубцин</w:t>
            </w:r>
          </w:p>
        </w:tc>
      </w:tr>
      <w:tr w:rsidR="007129B6">
        <w:tblPrEx>
          <w:tblCellMar>
            <w:top w:w="45" w:type="dxa"/>
          </w:tblCellMar>
        </w:tblPrEx>
        <w:trPr>
          <w:trHeight w:val="594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Адъювантная терапия без предоперационного лечения (6 курсов) 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8"/>
              </w:numPr>
              <w:spacing w:after="0" w:line="259" w:lineRule="auto"/>
              <w:ind w:right="401" w:firstLine="0"/>
              <w:jc w:val="left"/>
            </w:pPr>
            <w:r>
              <w:rPr>
                <w:sz w:val="14"/>
              </w:rPr>
              <w:t xml:space="preserve">Высокодозный «доксорубцин + ифосфамид» </w:t>
            </w:r>
          </w:p>
          <w:p w:rsidR="007129B6" w:rsidRDefault="00C57378">
            <w:pPr>
              <w:numPr>
                <w:ilvl w:val="0"/>
                <w:numId w:val="8"/>
              </w:numPr>
              <w:spacing w:after="0" w:line="259" w:lineRule="auto"/>
              <w:ind w:right="401" w:firstLine="0"/>
              <w:jc w:val="left"/>
            </w:pPr>
            <w:r>
              <w:rPr>
                <w:sz w:val="14"/>
              </w:rPr>
              <w:t xml:space="preserve">Стандартный «доксорубцин + ифосфамид» • </w:t>
            </w:r>
            <w:r>
              <w:rPr>
                <w:sz w:val="14"/>
              </w:rPr>
              <w:tab/>
              <w:t>Доксорубцин</w:t>
            </w:r>
          </w:p>
        </w:tc>
      </w:tr>
      <w:tr w:rsidR="007129B6">
        <w:tblPrEx>
          <w:tblCellMar>
            <w:top w:w="45" w:type="dxa"/>
          </w:tblCellMar>
        </w:tblPrEx>
        <w:trPr>
          <w:trHeight w:val="426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Адъювантная терапия при лечебном патоморфозе &lt; III степени (6 курсов) 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917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Гемцитабин + доцетаксел</w:t>
            </w:r>
          </w:p>
        </w:tc>
      </w:tr>
    </w:tbl>
    <w:p w:rsidR="007129B6" w:rsidRDefault="00C57378">
      <w:pPr>
        <w:pStyle w:val="Heading3"/>
        <w:ind w:left="-5" w:right="1657"/>
      </w:pPr>
      <w:r>
        <w:t>3.5. Системная терапия диссеминированных и / или неоперабельных сарком мягких тканей</w:t>
      </w:r>
    </w:p>
    <w:p w:rsidR="007129B6" w:rsidRDefault="00C57378">
      <w:pPr>
        <w:ind w:left="0" w:right="26" w:firstLine="283"/>
      </w:pPr>
      <w:r>
        <w:t>Режимами выбора первой линии лечения местно‑распространенных неоперабельных и / или метастатических сарком мягких тканей являются схемы, содержащие антрациклины. При выборе терапии необходимо учитывать локализацию процесса, возраст пациента, сроки и объемы</w:t>
      </w:r>
      <w:r>
        <w:t xml:space="preserve"> ранее проведенного лечения, возможности хирургического лечения при олигометастатическом поражении, морфологический тип опухоли. Как и при первичном и / или локализованном процессе, тактика лечения должна обсуждаться на междисциплинарном консилиуме референ</w:t>
      </w:r>
      <w:r>
        <w:t>сного саркомного центра. Комбинированные режимы позволяют достичь улучшения выживаемости без прогрессирования и увеличения частоты объективного ответа по сравнению с монотерапией, в связи с чем данные режимы («доксорубицин + ифосфамид», «доксорубцин + дака</w:t>
      </w:r>
      <w:r>
        <w:t>рбазин», «гемцитабин + доцетаксел») используются у пациентов с целью достижения быстрого клинического ответа и возможности локального контроля. Для пациентов старше 65 лет и / или при наличии сопутствующих заболеваний и / или состоянии средней степени тяже</w:t>
      </w:r>
      <w:r>
        <w:t>сти методом выбора является монотерапия антрациклинами. При удовлетворительном общем состоянии комбинированная ХТ предпочтительнее. В зависимости от эффекта, клинической картины и общего состояния проводятся 4–6 курсов ХТ, увеличение числа курсов до 8 расс</w:t>
      </w:r>
      <w:r>
        <w:t>матривается индивидуально. При использовании антрациклинсодержащих схем лечения необходим обязательной мониторинг функции сердца для предупреждения возможной кардиотоксичности. Антрациклины являются основным классом препаратов для лечения сарком мягких тка</w:t>
      </w:r>
      <w:r>
        <w:t>ней, поэтому допускается превышение кумулятивной дозы выше 550 мг / м</w:t>
      </w:r>
      <w:r>
        <w:rPr>
          <w:b/>
          <w:sz w:val="14"/>
          <w:vertAlign w:val="superscript"/>
        </w:rPr>
        <w:t>2</w:t>
      </w:r>
      <w:r>
        <w:t xml:space="preserve"> в случае нарастания клинического и объективного ответа при тщательном контроле состояния больного, наблюдении кардиолога, оценке ЭКГ, ЭхоКГ, тропонина I и NTproBNp при каждом последующе</w:t>
      </w:r>
      <w:r>
        <w:t>м курсе лечения. При противопоказаниях к антрациклинсодержащим схемам может быть использован режим второй линии лечения — «гемцитабин + доцетаксел». При противопоказаниях к в / в терапии, обусловленных общим статусом пациента, режимом выбора первой линии т</w:t>
      </w:r>
      <w:r>
        <w:t>ерапии является тирозинкиназный ингибитор — пазопаниб (за исключением липосарком). Режимы дозирования указаны в табл. 3 и 4.</w:t>
      </w:r>
    </w:p>
    <w:p w:rsidR="007129B6" w:rsidRDefault="00C57378">
      <w:pPr>
        <w:ind w:left="0" w:right="26" w:firstLine="284"/>
      </w:pPr>
      <w:r>
        <w:t>Существуют особенности выбора терапии первой линии в зависимости от морфологического строения сарком мягких тканей. Для пациентов с</w:t>
      </w:r>
      <w:r>
        <w:t xml:space="preserve"> экстраоссальной саркомой Юинга / PNET и неплеоморфной рабдомиосаркомой целесообразно использовать режим VAC / IE — альтернирующие курсы комбинаций циклофосфамида, доксорубицина, винкристина, ифосфамида, этопозида. Данная комбинация демонстрирует высокую а</w:t>
      </w:r>
      <w:r>
        <w:t>ктивность в лечении мелкоклеточных сарком. В связи с редкостью вышеуказанных гистологических типов имеются лишь ограниченные данные (в основном ретроспективные) о лечении взрослых пациентов с рабдомиосаркомой. Во всех этих исследованиях использовалось комб</w:t>
      </w:r>
      <w:r>
        <w:t>инированное лечение (операция, ЛТ и ХТ). Более подробная тактика лечения данной когорты больных указана в главе по лечению саркомы Юинга. Схемы ХТ, используемые у взрослых с неплеоморфной рабдомиосаркомой или экстраоссальной саркомой Юинга / PNET, основаны</w:t>
      </w:r>
      <w:r>
        <w:t xml:space="preserve"> на клинических исследованиях и данных из онкопедиатрии с учетом того, что возраст старше 18 лет является одним из прогностически неблагоприятных факторов.</w:t>
      </w:r>
    </w:p>
    <w:p w:rsidR="007129B6" w:rsidRDefault="00C57378">
      <w:pPr>
        <w:ind w:left="0" w:right="26" w:firstLine="283"/>
      </w:pPr>
      <w:r>
        <w:t>В качестве первой линии терапии лейомиосарком матки продемонстрировала лучшую эффективность комбинац</w:t>
      </w:r>
      <w:r>
        <w:t>ия «доксорубицин + дакарбазин» по сравнению с комбинацией «доксорубицин + ифосфамид».</w:t>
      </w:r>
    </w:p>
    <w:p w:rsidR="007129B6" w:rsidRDefault="00C57378">
      <w:pPr>
        <w:ind w:left="0" w:right="26" w:firstLine="283"/>
      </w:pPr>
      <w:r>
        <w:t>Агрессивный фиброматоз относится к редким формам поражения мягких тканей. Рекомендуется при локализациях в анатомических зонах, где рост опухоли не может привести к быстр</w:t>
      </w:r>
      <w:r>
        <w:t>ому появлению угрожающих осложнений (боли, нарушение функции, распад, выраженная неврологическая симптоматика), начать лечение с периода динамического наблюдения с МРТ / КТ контролем. При медленном росте опухоли возможно использование НПВС и противоревмати</w:t>
      </w:r>
      <w:r>
        <w:t>ческих препаратов.</w:t>
      </w:r>
    </w:p>
    <w:p w:rsidR="007129B6" w:rsidRDefault="00C57378">
      <w:pPr>
        <w:spacing w:after="270"/>
        <w:ind w:left="0" w:right="26" w:firstLine="284"/>
      </w:pPr>
      <w:r>
        <w:t>Помимо стандартной комбинации в первой линии может быть назначена таргетная терапия с учетом ее эффективности при определенных гистологических типах (иматиниб — при распространенной дерматофибросаркоме, пазопаниб — при альвеолярной сарко</w:t>
      </w:r>
      <w:r>
        <w:t>ме). Подробно режимы терапии в зависимости от гистологического подтипа опухоли указаны в табл. 3.</w:t>
      </w:r>
    </w:p>
    <w:p w:rsidR="007129B6" w:rsidRDefault="00C57378">
      <w:pPr>
        <w:pStyle w:val="Heading3"/>
        <w:ind w:left="-5" w:right="38"/>
      </w:pPr>
      <w:r>
        <w:t>3.6. Системное лечение при прогрессировании сарком мягких тканей</w:t>
      </w:r>
    </w:p>
    <w:p w:rsidR="007129B6" w:rsidRDefault="00C57378">
      <w:pPr>
        <w:ind w:left="0" w:right="26" w:firstLine="283"/>
      </w:pPr>
      <w:r>
        <w:t>В случае прогрессирования заболевания через 1 год и более после завершения лечения возможно в</w:t>
      </w:r>
      <w:r>
        <w:t>озвращение к ранее проведенному режиму терапии.</w:t>
      </w:r>
    </w:p>
    <w:p w:rsidR="007129B6" w:rsidRDefault="00C57378">
      <w:pPr>
        <w:ind w:left="0" w:right="26" w:firstLine="283"/>
      </w:pPr>
      <w:r>
        <w:t>При прогрессировании болезни схемой выбора второй линии лечения при удовлетворительном общем статусе пациентов является комбинация «гемцитабин + доцетаксел». У пациентов, которые ранее получали цитотоксическо</w:t>
      </w:r>
      <w:r>
        <w:t>е лечение с эпизодами гематологической токсичности 3–4 степени или ЛТ костей таза, используется режим с редуцированными дозами гемцитабина и доцетаксела. Для лечения пациентов с липосаркомами и лейомиосаркомами, получавших ранее антрациклины, рекомендовано</w:t>
      </w:r>
      <w:r>
        <w:t xml:space="preserve"> назначение трабектедина. При прогрессировании липосарком рекомендовано назначение эрибулина. Пазопаниб используется в терапии пациентов с диссемированными саркомами мягких тканей во второй и последующих линиях лечения после применения антрациклинов, за ис</w:t>
      </w:r>
      <w:r>
        <w:t>ключением липосаркомы и отдельных редких гистологических типов, при которых пазопаниб рекомендован в первой линии. У пациентов, ранее получавших ифосфамид, наибольший эффект наблюдается от использования высокодозных режимов монотерапии ифосфамидом по сравн</w:t>
      </w:r>
      <w:r>
        <w:t>ению со стандартными схемами дозирования. Все другие режимы терапии, указанные в табл. 4, имеют приблизительно равнозначную эффективность.</w:t>
      </w:r>
    </w:p>
    <w:p w:rsidR="007129B6" w:rsidRDefault="00C57378">
      <w:pPr>
        <w:ind w:left="0" w:right="26" w:firstLine="283"/>
      </w:pPr>
      <w:r>
        <w:t>Существуют ряд препаратов направленного действия, показавших свою эффективность в серии небольших исследований. Назна</w:t>
      </w:r>
      <w:r>
        <w:t>чение данной терапии рекомендовано обсуждать на мультидисциплинарном консилиуме. Регорафениб может быть рассмотрен как вариант лечения прогрессирования распространенной / метастатической саркомы мягких тканей (ангиосаркома, синовиальная саркома, лейомиосар</w:t>
      </w:r>
      <w:r>
        <w:t>кома и другие гистологические типы, за исключением липосаркомы). При выявлении транслокации NTRK в опухоли может быть назначена терапия ларотректинибом. Для скрининга NTRK‑слияния используется ИГХ исследование с pan‑NTRK, для подтверждения перестройки NTRK</w:t>
      </w:r>
      <w:r>
        <w:t xml:space="preserve"> в случае положительной ИГХ экспрессии необходимо выполнять молекулярно‑генетическое исследование. При обнаружении MSI‑H, высокой мутационной нагрузки в опухоли описаны случаи успешного лечения с использованием чек‑поинт ингибиторов, например пембролизумаб</w:t>
      </w:r>
      <w:r>
        <w:t>а. При наличии транслокации ALK в случае миофибробластической саркомы показано назначение кризотиниба. У пациентов с CDK‑4‑амплифицированной высокодифференцированной или дедифференцированной липосаркомой может быть обсуждено назначение ингибитора циклинзав</w:t>
      </w:r>
      <w:r>
        <w:t>исимых киназ 4 / 6‑палбоциклиба.</w:t>
      </w:r>
    </w:p>
    <w:p w:rsidR="007129B6" w:rsidRDefault="00C57378">
      <w:pPr>
        <w:spacing w:after="210"/>
        <w:ind w:left="0" w:right="26" w:firstLine="283"/>
      </w:pPr>
      <w:r>
        <w:t>Возможные варианты терапии при распространенных саркомах мягких тканей представлены в табл. 3 и 4. Варианты системного лечения при редких гистологических типах СМТ представлены в табл. 5.</w:t>
      </w:r>
    </w:p>
    <w:p w:rsidR="007129B6" w:rsidRDefault="00C57378">
      <w:pPr>
        <w:spacing w:after="0" w:line="259" w:lineRule="auto"/>
        <w:ind w:left="-5"/>
        <w:jc w:val="left"/>
      </w:pPr>
      <w:r>
        <w:rPr>
          <w:b/>
        </w:rPr>
        <w:t>Таблица 3.</w:t>
      </w:r>
      <w:r>
        <w:t xml:space="preserve"> Выбор схемы системного л</w:t>
      </w:r>
      <w:r>
        <w:t>ечения в зависимости от гистологического типа саркомы мягких тканей.</w:t>
      </w:r>
    </w:p>
    <w:tbl>
      <w:tblPr>
        <w:tblStyle w:val="TableGrid"/>
        <w:tblW w:w="6396" w:type="dxa"/>
        <w:tblInd w:w="5" w:type="dxa"/>
        <w:tblCellMar>
          <w:top w:w="46" w:type="dxa"/>
          <w:left w:w="79" w:type="dxa"/>
          <w:bottom w:w="46" w:type="dxa"/>
          <w:right w:w="48" w:type="dxa"/>
        </w:tblCellMar>
        <w:tblLook w:val="04A0" w:firstRow="1" w:lastRow="0" w:firstColumn="1" w:lastColumn="0" w:noHBand="0" w:noVBand="1"/>
      </w:tblPr>
      <w:tblGrid>
        <w:gridCol w:w="1871"/>
        <w:gridCol w:w="1984"/>
        <w:gridCol w:w="2541"/>
      </w:tblGrid>
      <w:tr w:rsidR="007129B6">
        <w:trPr>
          <w:trHeight w:val="419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Гистологический тип СМТ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Предпочтительные режимы первой линии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Возможные варианты системного лечения при прогрессировании</w:t>
            </w:r>
          </w:p>
        </w:tc>
      </w:tr>
      <w:tr w:rsidR="007129B6">
        <w:trPr>
          <w:trHeight w:val="2783"/>
        </w:trPr>
        <w:tc>
          <w:tcPr>
            <w:tcW w:w="18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36" w:lineRule="auto"/>
              <w:ind w:left="0" w:right="35" w:firstLine="0"/>
              <w:jc w:val="left"/>
            </w:pPr>
            <w:r>
              <w:rPr>
                <w:sz w:val="14"/>
              </w:rPr>
              <w:t xml:space="preserve">Частые формы СМТ, включая лейомиосаркомы, 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липосаркомы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9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Доксорубицин + ифосфамид</w:t>
            </w:r>
          </w:p>
          <w:p w:rsidR="007129B6" w:rsidRDefault="00C57378">
            <w:pPr>
              <w:numPr>
                <w:ilvl w:val="0"/>
                <w:numId w:val="9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доксорубицин + дакарбазин </w:t>
            </w:r>
          </w:p>
          <w:p w:rsidR="007129B6" w:rsidRDefault="00C57378">
            <w:pPr>
              <w:spacing w:after="0" w:line="276" w:lineRule="auto"/>
              <w:ind w:left="0" w:right="47" w:firstLine="170"/>
              <w:jc w:val="left"/>
            </w:pPr>
            <w:r>
              <w:rPr>
                <w:sz w:val="14"/>
              </w:rPr>
              <w:t>(для лейомиосарком матки) При противопоказаниях к комбинированным режимам:</w:t>
            </w:r>
          </w:p>
          <w:p w:rsidR="007129B6" w:rsidRDefault="00C57378">
            <w:pPr>
              <w:numPr>
                <w:ilvl w:val="0"/>
                <w:numId w:val="9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доксорубицин</w:t>
            </w:r>
          </w:p>
          <w:p w:rsidR="007129B6" w:rsidRDefault="00C57378">
            <w:pPr>
              <w:numPr>
                <w:ilvl w:val="0"/>
                <w:numId w:val="9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гемцитабин</w:t>
            </w:r>
          </w:p>
        </w:tc>
        <w:tc>
          <w:tcPr>
            <w:tcW w:w="254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1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Гемцитабин + доцетаксел</w:t>
            </w:r>
          </w:p>
          <w:p w:rsidR="007129B6" w:rsidRDefault="00C57378">
            <w:pPr>
              <w:numPr>
                <w:ilvl w:val="0"/>
                <w:numId w:val="10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пазопаниб (исключение — липосаркома)</w:t>
            </w:r>
          </w:p>
          <w:p w:rsidR="007129B6" w:rsidRDefault="00C57378">
            <w:pPr>
              <w:numPr>
                <w:ilvl w:val="0"/>
                <w:numId w:val="10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трабектидин (для лечения липо‑ и леймиоосарком после антрациклинов)</w:t>
            </w:r>
          </w:p>
          <w:p w:rsidR="007129B6" w:rsidRDefault="00C57378">
            <w:pPr>
              <w:numPr>
                <w:ilvl w:val="0"/>
                <w:numId w:val="10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эрибулин (преимущественно для липосарком)</w:t>
            </w:r>
          </w:p>
          <w:p w:rsidR="007129B6" w:rsidRDefault="00C57378">
            <w:pPr>
              <w:numPr>
                <w:ilvl w:val="0"/>
                <w:numId w:val="1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ифосфамид</w:t>
            </w:r>
          </w:p>
          <w:p w:rsidR="007129B6" w:rsidRDefault="00C57378">
            <w:pPr>
              <w:numPr>
                <w:ilvl w:val="0"/>
                <w:numId w:val="1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дакарбазин</w:t>
            </w:r>
          </w:p>
          <w:p w:rsidR="007129B6" w:rsidRDefault="00C57378">
            <w:pPr>
              <w:numPr>
                <w:ilvl w:val="0"/>
                <w:numId w:val="1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гемцитабин</w:t>
            </w:r>
          </w:p>
          <w:p w:rsidR="007129B6" w:rsidRDefault="00C57378">
            <w:pPr>
              <w:numPr>
                <w:ilvl w:val="0"/>
                <w:numId w:val="1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регорафениб</w:t>
            </w:r>
          </w:p>
          <w:p w:rsidR="007129B6" w:rsidRDefault="00C57378">
            <w:pPr>
              <w:numPr>
                <w:ilvl w:val="0"/>
                <w:numId w:val="10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ларотректиниб (при NTRK позитивных саркомах)</w:t>
            </w:r>
          </w:p>
          <w:p w:rsidR="007129B6" w:rsidRDefault="00C57378">
            <w:pPr>
              <w:numPr>
                <w:ilvl w:val="0"/>
                <w:numId w:val="1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пембролизумаб (при MSI‑H саркомах) </w:t>
            </w:r>
          </w:p>
        </w:tc>
      </w:tr>
    </w:tbl>
    <w:p w:rsidR="007129B6" w:rsidRDefault="007129B6">
      <w:pPr>
        <w:spacing w:after="0" w:line="259" w:lineRule="auto"/>
        <w:ind w:left="-1139" w:right="1159" w:firstLine="0"/>
        <w:jc w:val="left"/>
      </w:pPr>
    </w:p>
    <w:tbl>
      <w:tblPr>
        <w:tblStyle w:val="TableGrid"/>
        <w:tblW w:w="6396" w:type="dxa"/>
        <w:tblInd w:w="0" w:type="dxa"/>
        <w:tblCellMar>
          <w:top w:w="45" w:type="dxa"/>
          <w:left w:w="79" w:type="dxa"/>
          <w:bottom w:w="45" w:type="dxa"/>
          <w:right w:w="82" w:type="dxa"/>
        </w:tblCellMar>
        <w:tblLook w:val="04A0" w:firstRow="1" w:lastRow="0" w:firstColumn="1" w:lastColumn="0" w:noHBand="0" w:noVBand="1"/>
      </w:tblPr>
      <w:tblGrid>
        <w:gridCol w:w="5"/>
        <w:gridCol w:w="1866"/>
        <w:gridCol w:w="5"/>
        <w:gridCol w:w="1979"/>
        <w:gridCol w:w="5"/>
        <w:gridCol w:w="2536"/>
        <w:gridCol w:w="5"/>
      </w:tblGrid>
      <w:tr w:rsidR="007129B6">
        <w:trPr>
          <w:gridAfter w:val="1"/>
          <w:trHeight w:val="41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Гистологический тип СМТ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Предпочтительные режимы первой линии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Возможные варианты системного лечения при прогрессировании</w:t>
            </w:r>
          </w:p>
        </w:tc>
      </w:tr>
      <w:tr w:rsidR="007129B6">
        <w:trPr>
          <w:gridAfter w:val="1"/>
          <w:trHeight w:val="1775"/>
        </w:trPr>
        <w:tc>
          <w:tcPr>
            <w:tcW w:w="187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Десмоид (агрессивный фиброматоз) </w:t>
            </w:r>
          </w:p>
        </w:tc>
        <w:tc>
          <w:tcPr>
            <w:tcW w:w="452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1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Сорафениб</w:t>
            </w:r>
          </w:p>
          <w:p w:rsidR="007129B6" w:rsidRDefault="00C57378">
            <w:pPr>
              <w:numPr>
                <w:ilvl w:val="0"/>
                <w:numId w:val="1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метотрексат + винорелбин</w:t>
            </w:r>
          </w:p>
          <w:p w:rsidR="007129B6" w:rsidRDefault="00C57378">
            <w:pPr>
              <w:numPr>
                <w:ilvl w:val="0"/>
                <w:numId w:val="1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метотрексат + винбластин</w:t>
            </w:r>
          </w:p>
          <w:p w:rsidR="007129B6" w:rsidRDefault="00C57378">
            <w:pPr>
              <w:numPr>
                <w:ilvl w:val="0"/>
                <w:numId w:val="1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тамоксифен</w:t>
            </w:r>
          </w:p>
          <w:p w:rsidR="007129B6" w:rsidRDefault="00C57378">
            <w:pPr>
              <w:numPr>
                <w:ilvl w:val="0"/>
                <w:numId w:val="1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иматиниб</w:t>
            </w:r>
          </w:p>
          <w:p w:rsidR="007129B6" w:rsidRDefault="00C57378">
            <w:pPr>
              <w:numPr>
                <w:ilvl w:val="0"/>
                <w:numId w:val="1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липосомальный доксорубицин</w:t>
            </w:r>
          </w:p>
          <w:p w:rsidR="007129B6" w:rsidRDefault="00C57378">
            <w:pPr>
              <w:numPr>
                <w:ilvl w:val="0"/>
                <w:numId w:val="1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доксорубицин ± дакарбазин</w:t>
            </w:r>
          </w:p>
          <w:p w:rsidR="007129B6" w:rsidRDefault="00C57378">
            <w:pPr>
              <w:numPr>
                <w:ilvl w:val="0"/>
                <w:numId w:val="1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пазопаниб</w:t>
            </w:r>
          </w:p>
          <w:p w:rsidR="007129B6" w:rsidRDefault="00C57378">
            <w:pPr>
              <w:numPr>
                <w:ilvl w:val="0"/>
                <w:numId w:val="1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нестероидные противовоспалительные и противоревматические препараты</w:t>
            </w:r>
          </w:p>
        </w:tc>
      </w:tr>
      <w:tr w:rsidR="007129B6">
        <w:trPr>
          <w:gridAfter w:val="1"/>
          <w:trHeight w:val="1602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Неплеоморфная рабдомиосаркома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70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Альтернирующий режим VAC–IE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1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Темозоломид + иринотекан</w:t>
            </w:r>
          </w:p>
          <w:p w:rsidR="007129B6" w:rsidRDefault="00C57378">
            <w:pPr>
              <w:numPr>
                <w:ilvl w:val="0"/>
                <w:numId w:val="12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темозоломид + иринотекан + винкристин</w:t>
            </w:r>
          </w:p>
          <w:p w:rsidR="007129B6" w:rsidRDefault="00C57378">
            <w:pPr>
              <w:numPr>
                <w:ilvl w:val="0"/>
                <w:numId w:val="1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гемцитабин + доцетаксел</w:t>
            </w:r>
          </w:p>
          <w:p w:rsidR="007129B6" w:rsidRDefault="00C57378">
            <w:pPr>
              <w:numPr>
                <w:ilvl w:val="0"/>
                <w:numId w:val="1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ифосфамид + доксорубицин</w:t>
            </w:r>
          </w:p>
          <w:p w:rsidR="007129B6" w:rsidRDefault="00C57378">
            <w:pPr>
              <w:numPr>
                <w:ilvl w:val="0"/>
                <w:numId w:val="1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винкристин + иринотекан</w:t>
            </w:r>
          </w:p>
          <w:p w:rsidR="007129B6" w:rsidRDefault="00C57378">
            <w:pPr>
              <w:numPr>
                <w:ilvl w:val="0"/>
                <w:numId w:val="1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иринотекан</w:t>
            </w:r>
          </w:p>
          <w:p w:rsidR="007129B6" w:rsidRDefault="00C57378">
            <w:pPr>
              <w:numPr>
                <w:ilvl w:val="0"/>
                <w:numId w:val="1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винорелбин</w:t>
            </w:r>
          </w:p>
          <w:p w:rsidR="007129B6" w:rsidRDefault="00C57378">
            <w:pPr>
              <w:numPr>
                <w:ilvl w:val="0"/>
                <w:numId w:val="1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пазопаниб</w:t>
            </w:r>
          </w:p>
        </w:tc>
      </w:tr>
      <w:tr w:rsidR="007129B6">
        <w:trPr>
          <w:gridAfter w:val="1"/>
          <w:trHeight w:val="426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Альвеолярная мягкотканая саркома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1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Сунитиниб</w:t>
            </w:r>
          </w:p>
          <w:p w:rsidR="007129B6" w:rsidRDefault="00C57378">
            <w:pPr>
              <w:numPr>
                <w:ilvl w:val="0"/>
                <w:numId w:val="1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пазопаниб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994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 xml:space="preserve">пембролизумаб (при MSI‑H) </w:t>
            </w:r>
          </w:p>
        </w:tc>
      </w:tr>
      <w:tr w:rsidR="007129B6">
        <w:trPr>
          <w:gridAfter w:val="1"/>
          <w:trHeight w:val="143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Ангиосаркома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14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Паклитаксел (для ангиосаркомы кожи)</w:t>
            </w:r>
          </w:p>
          <w:p w:rsidR="007129B6" w:rsidRDefault="00C57378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гемцитабин + доцетаксел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1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Доксорубицин + ифосфамид</w:t>
            </w:r>
          </w:p>
          <w:p w:rsidR="007129B6" w:rsidRDefault="00C57378">
            <w:pPr>
              <w:numPr>
                <w:ilvl w:val="0"/>
                <w:numId w:val="1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доксорубифин + дакарбазин</w:t>
            </w:r>
          </w:p>
          <w:p w:rsidR="007129B6" w:rsidRDefault="00C57378">
            <w:pPr>
              <w:numPr>
                <w:ilvl w:val="0"/>
                <w:numId w:val="1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доцетаксел</w:t>
            </w:r>
          </w:p>
          <w:p w:rsidR="007129B6" w:rsidRDefault="00C57378">
            <w:pPr>
              <w:numPr>
                <w:ilvl w:val="0"/>
                <w:numId w:val="1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винорелбин</w:t>
            </w:r>
          </w:p>
          <w:p w:rsidR="007129B6" w:rsidRDefault="00C57378">
            <w:pPr>
              <w:numPr>
                <w:ilvl w:val="0"/>
                <w:numId w:val="1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сорафениб</w:t>
            </w:r>
          </w:p>
          <w:p w:rsidR="007129B6" w:rsidRDefault="00C57378">
            <w:pPr>
              <w:numPr>
                <w:ilvl w:val="0"/>
                <w:numId w:val="1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сунитиниб</w:t>
            </w:r>
          </w:p>
          <w:p w:rsidR="007129B6" w:rsidRDefault="00C57378">
            <w:pPr>
              <w:numPr>
                <w:ilvl w:val="0"/>
                <w:numId w:val="1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пембролизумаб</w:t>
            </w:r>
          </w:p>
          <w:p w:rsidR="007129B6" w:rsidRDefault="00C57378">
            <w:pPr>
              <w:numPr>
                <w:ilvl w:val="0"/>
                <w:numId w:val="1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бевацизумаб</w:t>
            </w:r>
          </w:p>
        </w:tc>
      </w:tr>
      <w:tr w:rsidR="007129B6">
        <w:trPr>
          <w:gridAfter w:val="1"/>
          <w:trHeight w:val="762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Выбухающая дерматофибросаркома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471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Иматиниб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36" w:lineRule="auto"/>
              <w:ind w:left="170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 xml:space="preserve">При прогрессировании на фоне первой линии возможно проведение </w:t>
            </w:r>
          </w:p>
          <w:p w:rsidR="007129B6" w:rsidRDefault="00C57378">
            <w:pPr>
              <w:spacing w:after="0" w:line="259" w:lineRule="auto"/>
              <w:ind w:left="170" w:firstLine="0"/>
              <w:jc w:val="left"/>
            </w:pPr>
            <w:r>
              <w:rPr>
                <w:sz w:val="14"/>
              </w:rPr>
              <w:t xml:space="preserve">гистотип‑неспецифической терапии </w:t>
            </w:r>
          </w:p>
          <w:p w:rsidR="007129B6" w:rsidRDefault="00C57378">
            <w:pPr>
              <w:spacing w:after="0" w:line="259" w:lineRule="auto"/>
              <w:ind w:left="170" w:firstLine="0"/>
              <w:jc w:val="left"/>
            </w:pPr>
            <w:r>
              <w:rPr>
                <w:sz w:val="14"/>
              </w:rPr>
              <w:t>СМТ</w:t>
            </w:r>
          </w:p>
        </w:tc>
      </w:tr>
      <w:tr w:rsidR="007129B6">
        <w:trPr>
          <w:gridAfter w:val="1"/>
          <w:trHeight w:val="59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Внескелетная остесаркома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70" w:right="51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Лечение по аналогии с саркомами мягких тканей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36" w:lineRule="auto"/>
              <w:ind w:left="0" w:right="551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 xml:space="preserve">Цисплатин + доксорубицин • </w:t>
            </w:r>
            <w:r>
              <w:rPr>
                <w:sz w:val="14"/>
              </w:rPr>
              <w:tab/>
              <w:t xml:space="preserve">ифосфамид (см раздел </w:t>
            </w:r>
          </w:p>
          <w:p w:rsidR="007129B6" w:rsidRDefault="00C57378">
            <w:pPr>
              <w:spacing w:after="0" w:line="259" w:lineRule="auto"/>
              <w:ind w:left="170" w:firstLine="0"/>
              <w:jc w:val="left"/>
            </w:pPr>
            <w:r>
              <w:rPr>
                <w:sz w:val="14"/>
              </w:rPr>
              <w:t xml:space="preserve">«Остеогенные саркомы») </w:t>
            </w:r>
          </w:p>
        </w:tc>
      </w:tr>
      <w:tr w:rsidR="007129B6">
        <w:trPr>
          <w:gridAfter w:val="1"/>
          <w:trHeight w:val="59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Воспалительная миофибробластическая опухоль, ALK‑позитивная</w:t>
            </w:r>
          </w:p>
        </w:tc>
        <w:tc>
          <w:tcPr>
            <w:tcW w:w="4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525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Кризотиниб</w:t>
            </w:r>
          </w:p>
        </w:tc>
      </w:tr>
      <w:tr w:rsidR="007129B6">
        <w:trPr>
          <w:gridAfter w:val="1"/>
          <w:trHeight w:val="59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PECома, рецидивирующая ангиомиолипома, лимфангиолейомиоматоз</w:t>
            </w:r>
          </w:p>
        </w:tc>
        <w:tc>
          <w:tcPr>
            <w:tcW w:w="4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526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Эверолимус</w:t>
            </w:r>
          </w:p>
        </w:tc>
      </w:tr>
      <w:tr w:rsidR="007129B6">
        <w:trPr>
          <w:gridAfter w:val="1"/>
          <w:trHeight w:val="93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Солитарная фиброзная опухоль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16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Темозоломид + бевацизумаб</w:t>
            </w:r>
          </w:p>
          <w:p w:rsidR="007129B6" w:rsidRDefault="00C57378">
            <w:pPr>
              <w:numPr>
                <w:ilvl w:val="0"/>
                <w:numId w:val="16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сунитиниб</w:t>
            </w:r>
          </w:p>
          <w:p w:rsidR="007129B6" w:rsidRDefault="00C57378">
            <w:pPr>
              <w:numPr>
                <w:ilvl w:val="0"/>
                <w:numId w:val="16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сорафениб</w:t>
            </w:r>
          </w:p>
          <w:p w:rsidR="007129B6" w:rsidRDefault="00C57378">
            <w:pPr>
              <w:numPr>
                <w:ilvl w:val="0"/>
                <w:numId w:val="16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пазопаниб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87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 xml:space="preserve">Антрациклин‑содержащие режимы • </w:t>
            </w:r>
            <w:r>
              <w:rPr>
                <w:sz w:val="14"/>
              </w:rPr>
              <w:tab/>
              <w:t>гемцитабин‑содержащие режимы</w:t>
            </w:r>
          </w:p>
        </w:tc>
      </w:tr>
      <w:tr w:rsidR="007129B6">
        <w:tblPrEx>
          <w:tblCellMar>
            <w:bottom w:w="46" w:type="dxa"/>
            <w:right w:w="84" w:type="dxa"/>
          </w:tblCellMar>
        </w:tblPrEx>
        <w:trPr>
          <w:gridBefore w:val="1"/>
          <w:trHeight w:val="41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Гистологический тип СМТ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Предпочтительные режимы первой линии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Возможные варианты системного лечения при прогрессировании</w:t>
            </w:r>
          </w:p>
        </w:tc>
      </w:tr>
      <w:tr w:rsidR="007129B6">
        <w:tblPrEx>
          <w:tblCellMar>
            <w:bottom w:w="46" w:type="dxa"/>
            <w:right w:w="84" w:type="dxa"/>
          </w:tblCellMar>
        </w:tblPrEx>
        <w:trPr>
          <w:gridBefore w:val="1"/>
          <w:trHeight w:val="767"/>
        </w:trPr>
        <w:tc>
          <w:tcPr>
            <w:tcW w:w="187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Теносиновиальная гигантоклеточная опухоль (пигментный виллонодулярный синовиит) </w:t>
            </w:r>
          </w:p>
        </w:tc>
        <w:tc>
          <w:tcPr>
            <w:tcW w:w="452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471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Иматиниб</w:t>
            </w:r>
          </w:p>
        </w:tc>
      </w:tr>
      <w:tr w:rsidR="007129B6">
        <w:tblPrEx>
          <w:tblCellMar>
            <w:bottom w:w="46" w:type="dxa"/>
            <w:right w:w="84" w:type="dxa"/>
          </w:tblCellMar>
        </w:tblPrEx>
        <w:trPr>
          <w:gridBefore w:val="1"/>
          <w:trHeight w:val="762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>Высоко дифференцированные /дедифференцированные липосаркомы забрюшинного пространства</w:t>
            </w:r>
          </w:p>
        </w:tc>
        <w:tc>
          <w:tcPr>
            <w:tcW w:w="4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1375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 xml:space="preserve">Палбоциклиб (при амплификации CDK4) </w:t>
            </w:r>
          </w:p>
        </w:tc>
      </w:tr>
      <w:tr w:rsidR="007129B6">
        <w:tblPrEx>
          <w:tblCellMar>
            <w:bottom w:w="46" w:type="dxa"/>
            <w:right w:w="84" w:type="dxa"/>
          </w:tblCellMar>
        </w:tblPrEx>
        <w:trPr>
          <w:gridBefore w:val="1"/>
          <w:trHeight w:val="258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Саркома Капоши</w:t>
            </w:r>
          </w:p>
        </w:tc>
        <w:tc>
          <w:tcPr>
            <w:tcW w:w="4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1561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Пегилированный липосомальный доксорубцин</w:t>
            </w:r>
          </w:p>
        </w:tc>
      </w:tr>
    </w:tbl>
    <w:p w:rsidR="007129B6" w:rsidRDefault="00C57378">
      <w:pPr>
        <w:spacing w:after="0" w:line="259" w:lineRule="auto"/>
        <w:ind w:left="-5"/>
        <w:jc w:val="left"/>
      </w:pPr>
      <w:r>
        <w:rPr>
          <w:b/>
        </w:rPr>
        <w:t>Таблица 4.</w:t>
      </w:r>
      <w:r>
        <w:t xml:space="preserve"> Рекомендуемые режимы лекарственной терапии сарком мягких тканей.</w:t>
      </w:r>
    </w:p>
    <w:tbl>
      <w:tblPr>
        <w:tblStyle w:val="TableGrid"/>
        <w:tblW w:w="6396" w:type="dxa"/>
        <w:tblInd w:w="5" w:type="dxa"/>
        <w:tblCellMar>
          <w:top w:w="45" w:type="dxa"/>
          <w:left w:w="79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1361"/>
        <w:gridCol w:w="5036"/>
      </w:tblGrid>
      <w:tr w:rsidR="007129B6">
        <w:trPr>
          <w:trHeight w:val="25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7129B6">
        <w:trPr>
          <w:trHeight w:val="263"/>
        </w:trPr>
        <w:tc>
          <w:tcPr>
            <w:tcW w:w="63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Схемы выбора первой линии химиотерапии</w:t>
            </w:r>
          </w:p>
        </w:tc>
      </w:tr>
      <w:tr w:rsidR="007129B6">
        <w:trPr>
          <w:trHeight w:val="594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Доксорубицин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1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60–75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каждые 3 нед.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ИЛИ</w:t>
            </w:r>
          </w:p>
          <w:p w:rsidR="007129B6" w:rsidRDefault="00C57378">
            <w:pPr>
              <w:numPr>
                <w:ilvl w:val="0"/>
                <w:numId w:val="1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1–3‑й: 20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каждые 3 нед.</w:t>
            </w:r>
          </w:p>
        </w:tc>
      </w:tr>
      <w:tr w:rsidR="007129B6">
        <w:trPr>
          <w:trHeight w:val="3282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314" w:firstLine="0"/>
              <w:jc w:val="left"/>
            </w:pPr>
            <w:r>
              <w:rPr>
                <w:sz w:val="14"/>
              </w:rPr>
              <w:t>Доксорубцин + ифосфамид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Высокодозный режим:</w:t>
            </w:r>
          </w:p>
          <w:p w:rsidR="007129B6" w:rsidRDefault="00C57378">
            <w:pPr>
              <w:numPr>
                <w:ilvl w:val="0"/>
                <w:numId w:val="18"/>
              </w:numPr>
              <w:spacing w:after="23" w:line="229" w:lineRule="auto"/>
              <w:ind w:hanging="170"/>
              <w:jc w:val="left"/>
            </w:pPr>
            <w:r>
              <w:rPr>
                <w:sz w:val="14"/>
              </w:rPr>
              <w:t>День 1–3‑й: доксорубицин 25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24 часа ежедневно (суммарная курсовая доза 75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ИЛИ</w:t>
            </w:r>
          </w:p>
          <w:p w:rsidR="007129B6" w:rsidRDefault="00C57378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доксорубицин 60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</w:t>
            </w:r>
          </w:p>
          <w:p w:rsidR="007129B6" w:rsidRDefault="00C57378">
            <w:pPr>
              <w:numPr>
                <w:ilvl w:val="0"/>
                <w:numId w:val="18"/>
              </w:numPr>
              <w:spacing w:after="5" w:line="237" w:lineRule="auto"/>
              <w:ind w:hanging="170"/>
              <w:jc w:val="left"/>
            </w:pPr>
            <w:r>
              <w:rPr>
                <w:sz w:val="14"/>
              </w:rPr>
              <w:t>День 1–4‑й: ифосфамид 2500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3 часа (суммарная курсовая доза 10000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1–4‑й: месна</w:t>
            </w:r>
            <w:r>
              <w:rPr>
                <w:b/>
                <w:sz w:val="13"/>
                <w:vertAlign w:val="superscript"/>
              </w:rPr>
              <w:t>1</w:t>
            </w:r>
            <w:r>
              <w:rPr>
                <w:sz w:val="14"/>
              </w:rPr>
              <w:t xml:space="preserve"> 100–120 % от дозы ифосфамида в / в</w:t>
            </w:r>
          </w:p>
          <w:p w:rsidR="007129B6" w:rsidRDefault="00C57378">
            <w:pPr>
              <w:numPr>
                <w:ilvl w:val="0"/>
                <w:numId w:val="18"/>
              </w:numPr>
              <w:spacing w:after="0" w:line="243" w:lineRule="auto"/>
              <w:ind w:hanging="170"/>
              <w:jc w:val="left"/>
            </w:pPr>
            <w:r>
              <w:rPr>
                <w:sz w:val="14"/>
              </w:rPr>
              <w:t>День 5–14‑й: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>9</w:t>
            </w:r>
            <w:r>
              <w:rPr>
                <w:sz w:val="14"/>
              </w:rPr>
              <w:t xml:space="preserve"> / л (или эмпегфилграстим 7,5 мг п / к или другие формы пегилиров</w:t>
            </w:r>
            <w:r>
              <w:rPr>
                <w:sz w:val="14"/>
              </w:rPr>
              <w:t>анных Г‑КСФ в день 5‑й)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Каждые 3 нед.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ИЛИ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Стандартный режим:</w:t>
            </w:r>
          </w:p>
          <w:p w:rsidR="007129B6" w:rsidRDefault="00C57378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доксорубицин 60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</w:t>
            </w:r>
          </w:p>
          <w:p w:rsidR="007129B6" w:rsidRDefault="00C57378">
            <w:pPr>
              <w:numPr>
                <w:ilvl w:val="0"/>
                <w:numId w:val="18"/>
              </w:numPr>
              <w:spacing w:after="5" w:line="238" w:lineRule="auto"/>
              <w:ind w:hanging="170"/>
              <w:jc w:val="left"/>
            </w:pPr>
            <w:r>
              <w:rPr>
                <w:sz w:val="14"/>
              </w:rPr>
              <w:t>День 1–3‑й: ифосфамид 2500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3 часа (суммарная курсовая доза 7500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1–3‑й: месна</w:t>
            </w:r>
            <w:r>
              <w:rPr>
                <w:b/>
                <w:sz w:val="13"/>
                <w:vertAlign w:val="superscript"/>
              </w:rPr>
              <w:t>1</w:t>
            </w:r>
            <w:r>
              <w:rPr>
                <w:sz w:val="14"/>
              </w:rPr>
              <w:t xml:space="preserve"> 100–120 % от дозы препарата в / в Кажды</w:t>
            </w:r>
            <w:r>
              <w:rPr>
                <w:sz w:val="14"/>
              </w:rPr>
              <w:t>е 3 нед.</w:t>
            </w:r>
          </w:p>
        </w:tc>
      </w:tr>
    </w:tbl>
    <w:p w:rsidR="007129B6" w:rsidRDefault="007129B6">
      <w:pPr>
        <w:spacing w:after="0" w:line="259" w:lineRule="auto"/>
        <w:ind w:left="-1139" w:right="1159" w:firstLine="0"/>
        <w:jc w:val="left"/>
      </w:pPr>
    </w:p>
    <w:tbl>
      <w:tblPr>
        <w:tblStyle w:val="TableGrid"/>
        <w:tblW w:w="6396" w:type="dxa"/>
        <w:tblInd w:w="0" w:type="dxa"/>
        <w:tblCellMar>
          <w:top w:w="45" w:type="dxa"/>
          <w:left w:w="79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5"/>
        <w:gridCol w:w="1356"/>
        <w:gridCol w:w="5"/>
        <w:gridCol w:w="5031"/>
        <w:gridCol w:w="5"/>
      </w:tblGrid>
      <w:tr w:rsidR="007129B6">
        <w:trPr>
          <w:gridAfter w:val="1"/>
          <w:trHeight w:val="259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7129B6">
        <w:trPr>
          <w:gridAfter w:val="1"/>
          <w:trHeight w:val="4631"/>
        </w:trPr>
        <w:tc>
          <w:tcPr>
            <w:tcW w:w="136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243" w:firstLine="0"/>
              <w:jc w:val="left"/>
            </w:pPr>
            <w:r>
              <w:rPr>
                <w:sz w:val="14"/>
              </w:rPr>
              <w:t>Доксорубицин + дакарбазин</w:t>
            </w:r>
          </w:p>
        </w:tc>
        <w:tc>
          <w:tcPr>
            <w:tcW w:w="503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Для лейомиосаркомы матки:</w:t>
            </w:r>
          </w:p>
          <w:p w:rsidR="007129B6" w:rsidRDefault="00C57378">
            <w:pPr>
              <w:numPr>
                <w:ilvl w:val="0"/>
                <w:numId w:val="19"/>
              </w:numPr>
              <w:spacing w:after="13" w:line="229" w:lineRule="auto"/>
              <w:ind w:right="159" w:hanging="170"/>
              <w:jc w:val="left"/>
            </w:pPr>
            <w:r>
              <w:rPr>
                <w:sz w:val="14"/>
              </w:rPr>
              <w:t>День 1–4‑й: доксорубицин 15–22,5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24 часа ежедневно (суммарная курсовая доза 60–90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numPr>
                <w:ilvl w:val="0"/>
                <w:numId w:val="19"/>
              </w:numPr>
              <w:spacing w:after="13" w:line="229" w:lineRule="auto"/>
              <w:ind w:right="159" w:hanging="170"/>
              <w:jc w:val="left"/>
            </w:pPr>
            <w:r>
              <w:rPr>
                <w:sz w:val="14"/>
              </w:rPr>
              <w:t>День 1–4‑й: дакарбазин 187,5–250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24 часа ежедневно (суммарная курсовая доза 750–1000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numPr>
                <w:ilvl w:val="0"/>
                <w:numId w:val="19"/>
              </w:numPr>
              <w:spacing w:after="0" w:line="241" w:lineRule="auto"/>
              <w:ind w:right="159" w:hanging="170"/>
              <w:jc w:val="left"/>
            </w:pPr>
            <w:r>
              <w:rPr>
                <w:sz w:val="14"/>
              </w:rPr>
              <w:t>День 5–14: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>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факторов в день 5‑й) Каждые 3 нед.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Для десмоида:</w:t>
            </w:r>
          </w:p>
          <w:p w:rsidR="007129B6" w:rsidRDefault="00C57378">
            <w:pPr>
              <w:numPr>
                <w:ilvl w:val="0"/>
                <w:numId w:val="19"/>
              </w:numPr>
              <w:spacing w:after="4" w:line="238" w:lineRule="auto"/>
              <w:ind w:right="159" w:hanging="170"/>
              <w:jc w:val="left"/>
            </w:pPr>
            <w:r>
              <w:rPr>
                <w:sz w:val="14"/>
              </w:rPr>
              <w:t>День 1–4‑й: доксорубицин 20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24 часа (суммарная курсовая доза 80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numPr>
                <w:ilvl w:val="0"/>
                <w:numId w:val="19"/>
              </w:numPr>
              <w:spacing w:after="5" w:line="238" w:lineRule="auto"/>
              <w:ind w:right="159" w:hanging="170"/>
              <w:jc w:val="left"/>
            </w:pPr>
            <w:r>
              <w:rPr>
                <w:sz w:val="14"/>
              </w:rPr>
              <w:t>День 1–4‑й: дакарбазин 150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24 часа (суммарная курсовая доза 600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numPr>
                <w:ilvl w:val="0"/>
                <w:numId w:val="19"/>
              </w:numPr>
              <w:spacing w:after="0" w:line="241" w:lineRule="auto"/>
              <w:ind w:right="159" w:hanging="170"/>
              <w:jc w:val="left"/>
            </w:pPr>
            <w:r>
              <w:rPr>
                <w:sz w:val="14"/>
              </w:rPr>
              <w:t>День 5–14‑й: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>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факторов в день 5‑й) Каждые 4 нед.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ИЛИ</w:t>
            </w:r>
          </w:p>
          <w:p w:rsidR="007129B6" w:rsidRDefault="00C57378">
            <w:pPr>
              <w:numPr>
                <w:ilvl w:val="0"/>
                <w:numId w:val="19"/>
              </w:numPr>
              <w:spacing w:after="0" w:line="248" w:lineRule="auto"/>
              <w:ind w:right="159" w:hanging="170"/>
              <w:jc w:val="left"/>
            </w:pPr>
            <w:r>
              <w:rPr>
                <w:sz w:val="14"/>
              </w:rPr>
              <w:t>День 1–3‑й: доксорубицин 20 мг / м</w:t>
            </w:r>
            <w:r>
              <w:rPr>
                <w:b/>
                <w:sz w:val="13"/>
                <w:vertAlign w:val="superscript"/>
              </w:rPr>
              <w:t xml:space="preserve">2 </w:t>
            </w:r>
            <w:r>
              <w:rPr>
                <w:sz w:val="14"/>
              </w:rPr>
              <w:t>в / в 24 часа (суммарная к</w:t>
            </w:r>
            <w:r>
              <w:rPr>
                <w:sz w:val="14"/>
              </w:rPr>
              <w:t>урсовая доза 60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numPr>
                <w:ilvl w:val="0"/>
                <w:numId w:val="19"/>
              </w:numPr>
              <w:spacing w:after="5" w:line="238" w:lineRule="auto"/>
              <w:ind w:right="159" w:hanging="170"/>
              <w:jc w:val="left"/>
            </w:pPr>
            <w:r>
              <w:rPr>
                <w:sz w:val="14"/>
              </w:rPr>
              <w:t>День 1–3‑й: дакарбазин 300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24 часа (суммарная курсовая доза 900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numPr>
                <w:ilvl w:val="0"/>
                <w:numId w:val="19"/>
              </w:numPr>
              <w:spacing w:after="0" w:line="259" w:lineRule="auto"/>
              <w:ind w:right="159" w:hanging="170"/>
              <w:jc w:val="left"/>
            </w:pPr>
            <w:r>
              <w:rPr>
                <w:sz w:val="14"/>
              </w:rPr>
              <w:t>День 4–13‑й: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>9</w:t>
            </w:r>
            <w:r>
              <w:rPr>
                <w:sz w:val="14"/>
              </w:rPr>
              <w:t xml:space="preserve"> / л (или эмпегфилграстим 7,5 мг п / к или другие формы пегилирова</w:t>
            </w:r>
            <w:r>
              <w:rPr>
                <w:sz w:val="14"/>
              </w:rPr>
              <w:t>нных Г‑КСФ факторов в день 5‑й) Каждые 3 нед.</w:t>
            </w:r>
          </w:p>
        </w:tc>
      </w:tr>
      <w:tr w:rsidR="007129B6">
        <w:trPr>
          <w:gridAfter w:val="1"/>
          <w:trHeight w:val="258"/>
        </w:trPr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Возможные режимы выбора при прогрессировании</w:t>
            </w:r>
          </w:p>
        </w:tc>
      </w:tr>
      <w:tr w:rsidR="007129B6">
        <w:trPr>
          <w:gridAfter w:val="1"/>
          <w:trHeight w:val="2778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405" w:firstLine="0"/>
              <w:jc w:val="left"/>
            </w:pPr>
            <w:r>
              <w:rPr>
                <w:sz w:val="14"/>
              </w:rPr>
              <w:t>Гемцитабин + доцетаксел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Стандартный режим:</w:t>
            </w:r>
          </w:p>
          <w:p w:rsidR="007129B6" w:rsidRDefault="00C57378">
            <w:pPr>
              <w:numPr>
                <w:ilvl w:val="0"/>
                <w:numId w:val="2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 и 8‑й: гемцитабин 900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 90 мин.</w:t>
            </w:r>
          </w:p>
          <w:p w:rsidR="007129B6" w:rsidRDefault="00C57378">
            <w:pPr>
              <w:numPr>
                <w:ilvl w:val="0"/>
                <w:numId w:val="2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8‑й: доцетаксел 100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 60 мин.</w:t>
            </w:r>
          </w:p>
          <w:p w:rsidR="007129B6" w:rsidRDefault="00C57378">
            <w:pPr>
              <w:numPr>
                <w:ilvl w:val="0"/>
                <w:numId w:val="20"/>
              </w:numPr>
              <w:spacing w:after="0" w:line="243" w:lineRule="auto"/>
              <w:ind w:hanging="170"/>
              <w:jc w:val="left"/>
            </w:pPr>
            <w:r>
              <w:rPr>
                <w:sz w:val="14"/>
              </w:rPr>
              <w:t>День 9–18‑й: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>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в день 9‑й)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Каждые 3 нед.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ИЛИ</w:t>
            </w:r>
          </w:p>
          <w:p w:rsidR="007129B6" w:rsidRDefault="00C57378">
            <w:pPr>
              <w:spacing w:after="0" w:line="236" w:lineRule="auto"/>
              <w:ind w:left="0" w:firstLine="0"/>
              <w:jc w:val="left"/>
            </w:pPr>
            <w:r>
              <w:rPr>
                <w:b/>
                <w:sz w:val="14"/>
              </w:rPr>
              <w:t>Режим для пациентов, ранее получавших системную ХТ с эпизодами гематоло</w:t>
            </w:r>
            <w:r>
              <w:rPr>
                <w:b/>
                <w:sz w:val="14"/>
              </w:rPr>
              <w:t>гической токсичности 3–4 степени и после ЛТ костей таза:</w:t>
            </w:r>
          </w:p>
          <w:p w:rsidR="007129B6" w:rsidRDefault="00C57378">
            <w:pPr>
              <w:numPr>
                <w:ilvl w:val="0"/>
                <w:numId w:val="2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 и 8‑й: гемцитабин 675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90 мин.</w:t>
            </w:r>
          </w:p>
          <w:p w:rsidR="007129B6" w:rsidRDefault="00C57378">
            <w:pPr>
              <w:numPr>
                <w:ilvl w:val="0"/>
                <w:numId w:val="2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8‑й: доцетаксел 75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60 мин.</w:t>
            </w:r>
          </w:p>
          <w:p w:rsidR="007129B6" w:rsidRDefault="00C57378">
            <w:pPr>
              <w:numPr>
                <w:ilvl w:val="0"/>
                <w:numId w:val="20"/>
              </w:numPr>
              <w:spacing w:after="0" w:line="243" w:lineRule="auto"/>
              <w:ind w:hanging="170"/>
              <w:jc w:val="left"/>
            </w:pPr>
            <w:r>
              <w:rPr>
                <w:sz w:val="14"/>
              </w:rPr>
              <w:t>День 9–18‑й: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>9</w:t>
            </w:r>
            <w:r>
              <w:rPr>
                <w:sz w:val="14"/>
              </w:rPr>
              <w:t xml:space="preserve"> / л (или эм</w:t>
            </w:r>
            <w:r>
              <w:rPr>
                <w:sz w:val="14"/>
              </w:rPr>
              <w:t>пегфилграстим 7,5 мг п / к или другие формы пегилированных Г‑КСФ в день 9‑й)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Каждые 3 нед</w:t>
            </w:r>
          </w:p>
        </w:tc>
      </w:tr>
      <w:tr w:rsidR="007129B6">
        <w:trPr>
          <w:gridAfter w:val="1"/>
          <w:trHeight w:val="1266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Ифосфамид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21"/>
              </w:numPr>
              <w:spacing w:after="12" w:line="229" w:lineRule="auto"/>
              <w:ind w:hanging="170"/>
              <w:jc w:val="left"/>
            </w:pPr>
            <w:r>
              <w:rPr>
                <w:sz w:val="14"/>
              </w:rPr>
              <w:t>День 1–7‑й: ифосфамид 2000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3 часа или инфузия 24 часа ежедневно (суммарная курсовая доза 14000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>)</w:t>
            </w:r>
          </w:p>
          <w:p w:rsidR="007129B6" w:rsidRDefault="00C57378">
            <w:pPr>
              <w:numPr>
                <w:ilvl w:val="0"/>
                <w:numId w:val="21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1–7‑й: месна</w:t>
            </w:r>
            <w:r>
              <w:rPr>
                <w:b/>
                <w:sz w:val="13"/>
                <w:vertAlign w:val="superscript"/>
              </w:rPr>
              <w:t>1</w:t>
            </w:r>
            <w:r>
              <w:rPr>
                <w:sz w:val="14"/>
              </w:rPr>
              <w:t xml:space="preserve"> 100–120 % от дозы препарата в / в</w:t>
            </w:r>
          </w:p>
          <w:p w:rsidR="007129B6" w:rsidRDefault="00C57378">
            <w:pPr>
              <w:numPr>
                <w:ilvl w:val="0"/>
                <w:numId w:val="21"/>
              </w:numPr>
              <w:spacing w:after="0" w:line="243" w:lineRule="auto"/>
              <w:ind w:hanging="170"/>
              <w:jc w:val="left"/>
            </w:pPr>
            <w:r>
              <w:rPr>
                <w:sz w:val="14"/>
              </w:rPr>
              <w:t>День 8–17‑й: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>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в день 8‑й)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Каждые 3 нед.</w:t>
            </w:r>
          </w:p>
        </w:tc>
      </w:tr>
      <w:tr w:rsidR="007129B6">
        <w:tblPrEx>
          <w:tblCellMar>
            <w:right w:w="115" w:type="dxa"/>
          </w:tblCellMar>
        </w:tblPrEx>
        <w:trPr>
          <w:gridBefore w:val="1"/>
          <w:trHeight w:val="259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7129B6">
        <w:tblPrEx>
          <w:tblCellMar>
            <w:right w:w="115" w:type="dxa"/>
          </w:tblCellMar>
        </w:tblPrEx>
        <w:trPr>
          <w:gridBefore w:val="1"/>
          <w:trHeight w:val="263"/>
        </w:trPr>
        <w:tc>
          <w:tcPr>
            <w:tcW w:w="136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Трабектедин</w:t>
            </w:r>
          </w:p>
        </w:tc>
        <w:tc>
          <w:tcPr>
            <w:tcW w:w="503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1912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День 1‑й: трабектедин 1,5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24 ч каждые 3 нед.</w:t>
            </w:r>
          </w:p>
        </w:tc>
      </w:tr>
      <w:tr w:rsidR="007129B6">
        <w:tblPrEx>
          <w:tblCellMar>
            <w:right w:w="115" w:type="dxa"/>
          </w:tblCellMar>
        </w:tblPrEx>
        <w:trPr>
          <w:gridBefore w:val="1"/>
          <w:trHeight w:val="258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Эрибулин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1977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 и 8‑й: эрибулин 1,4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струйно каждые 3 нед.</w:t>
            </w:r>
          </w:p>
        </w:tc>
      </w:tr>
      <w:tr w:rsidR="007129B6">
        <w:tblPrEx>
          <w:tblCellMar>
            <w:right w:w="115" w:type="dxa"/>
          </w:tblCellMar>
        </w:tblPrEx>
        <w:trPr>
          <w:gridBefore w:val="1"/>
          <w:trHeight w:val="258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Пазопаниб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1495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Ежедневно: пазопаниб 800 мг в сутки внутрь</w:t>
            </w:r>
          </w:p>
        </w:tc>
      </w:tr>
      <w:tr w:rsidR="007129B6">
        <w:tblPrEx>
          <w:tblCellMar>
            <w:right w:w="115" w:type="dxa"/>
          </w:tblCellMar>
        </w:tblPrEx>
        <w:trPr>
          <w:gridBefore w:val="1"/>
          <w:trHeight w:val="594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Дакарбазин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2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1000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1 час каждые 4 нед.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ИЛИ</w:t>
            </w:r>
          </w:p>
          <w:p w:rsidR="007129B6" w:rsidRDefault="00C57378">
            <w:pPr>
              <w:numPr>
                <w:ilvl w:val="0"/>
                <w:numId w:val="2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1–5‑й: 250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каждые 4 нед.</w:t>
            </w:r>
          </w:p>
        </w:tc>
      </w:tr>
      <w:tr w:rsidR="007129B6">
        <w:tblPrEx>
          <w:tblCellMar>
            <w:right w:w="115" w:type="dxa"/>
          </w:tblCellMar>
        </w:tblPrEx>
        <w:trPr>
          <w:gridBefore w:val="1"/>
          <w:trHeight w:val="258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Гемцитабин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251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 и 8‑й: гемцитабин 1200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120 мин. каждые 3 нед.</w:t>
            </w:r>
          </w:p>
        </w:tc>
      </w:tr>
      <w:tr w:rsidR="007129B6">
        <w:tblPrEx>
          <w:tblCellMar>
            <w:right w:w="115" w:type="dxa"/>
          </w:tblCellMar>
        </w:tblPrEx>
        <w:trPr>
          <w:gridBefore w:val="1"/>
          <w:trHeight w:val="258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Доцетаксел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1764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1‑й: доцетаксел 100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каждые 3 нед.</w:t>
            </w:r>
          </w:p>
        </w:tc>
      </w:tr>
      <w:tr w:rsidR="007129B6">
        <w:tblPrEx>
          <w:tblCellMar>
            <w:right w:w="115" w:type="dxa"/>
          </w:tblCellMar>
        </w:tblPrEx>
        <w:trPr>
          <w:gridBefore w:val="1"/>
          <w:trHeight w:val="762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Регорафениб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36" w:lineRule="auto"/>
              <w:ind w:left="170" w:right="17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160 мг 1 раз в день внутрь в 1–21‑й дни, 7 дней перерыв или 80 мг в сутки внутрь — 1‑я неделя, 120 мг в сутки внутрь — 2‑я неделя, 160 мг в сутки внутрь — 3‑я неделя, затем — 1 неделя перерыв.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Эскалация дозы — только при удовлетворительной п</w:t>
            </w:r>
            <w:r>
              <w:rPr>
                <w:sz w:val="14"/>
              </w:rPr>
              <w:t>ереносимости</w:t>
            </w:r>
          </w:p>
        </w:tc>
      </w:tr>
      <w:tr w:rsidR="007129B6">
        <w:tblPrEx>
          <w:tblCellMar>
            <w:right w:w="115" w:type="dxa"/>
          </w:tblCellMar>
        </w:tblPrEx>
        <w:trPr>
          <w:gridBefore w:val="1"/>
          <w:trHeight w:val="426"/>
        </w:trPr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Пембролизумаб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385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 xml:space="preserve">День 1‑й: пембролизумаб 200 мг в / в кап. каждые 3 нед. или 400 мг в / в кап. </w:t>
            </w:r>
          </w:p>
          <w:p w:rsidR="007129B6" w:rsidRDefault="00C57378">
            <w:pPr>
              <w:spacing w:after="0" w:line="259" w:lineRule="auto"/>
              <w:ind w:left="170" w:firstLine="0"/>
              <w:jc w:val="left"/>
            </w:pPr>
            <w:r>
              <w:rPr>
                <w:sz w:val="14"/>
              </w:rPr>
              <w:t>каждые 6 нед.</w:t>
            </w:r>
          </w:p>
        </w:tc>
      </w:tr>
    </w:tbl>
    <w:p w:rsidR="007129B6" w:rsidRDefault="00C57378">
      <w:pPr>
        <w:spacing w:after="309" w:line="245" w:lineRule="auto"/>
        <w:ind w:left="-15" w:right="21" w:firstLine="217"/>
      </w:pPr>
      <w:r>
        <w:rPr>
          <w:b/>
          <w:i/>
          <w:sz w:val="13"/>
          <w:vertAlign w:val="superscript"/>
        </w:rPr>
        <w:t>1</w:t>
      </w:r>
      <w:r>
        <w:rPr>
          <w:i/>
          <w:sz w:val="14"/>
        </w:rPr>
        <w:t xml:space="preserve"> </w:t>
      </w:r>
      <w:r>
        <w:rPr>
          <w:i/>
          <w:sz w:val="14"/>
        </w:rPr>
        <w:t>Месна применяется в суточной дозе, составляющей 100–120 % от дозы ифосфамида и разделенной на 3 введения в течение дня: вместе с введением ифосфамида и далее через 4 и 8 часов от завершения его инфузии. Cуточную инфузию ифосфамида следует сопровождать 24‑ч</w:t>
      </w:r>
      <w:r>
        <w:rPr>
          <w:i/>
          <w:sz w:val="14"/>
        </w:rPr>
        <w:t>асовой инфузией месны в дозе, составляющей 100–120 % разовой дозы ифосфамида.</w:t>
      </w:r>
    </w:p>
    <w:p w:rsidR="007129B6" w:rsidRDefault="00C57378">
      <w:pPr>
        <w:spacing w:after="0" w:line="259" w:lineRule="auto"/>
        <w:ind w:left="-5"/>
        <w:jc w:val="left"/>
      </w:pPr>
      <w:r>
        <w:rPr>
          <w:b/>
        </w:rPr>
        <w:t>Таблица 5.</w:t>
      </w:r>
      <w:r>
        <w:t xml:space="preserve"> Варианты системного лечения при редких гистологических типах сарком мягких тканей.</w:t>
      </w:r>
    </w:p>
    <w:tbl>
      <w:tblPr>
        <w:tblStyle w:val="TableGrid"/>
        <w:tblW w:w="6396" w:type="dxa"/>
        <w:tblInd w:w="5" w:type="dxa"/>
        <w:tblCellMar>
          <w:top w:w="45" w:type="dxa"/>
          <w:left w:w="79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1134"/>
        <w:gridCol w:w="5262"/>
      </w:tblGrid>
      <w:tr w:rsidR="007129B6">
        <w:trPr>
          <w:trHeight w:val="25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7129B6">
        <w:trPr>
          <w:trHeight w:val="263"/>
        </w:trPr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Ларотректиниб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1356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Ежедневно: 100 мг 2 раза в сутки внутрь</w:t>
            </w:r>
          </w:p>
        </w:tc>
      </w:tr>
      <w:tr w:rsidR="007129B6">
        <w:trPr>
          <w:trHeight w:val="5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Сорафениб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2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Ежедневно: сорафениб 400 мг 2 раза в сутки внутрь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При десмоиде и теносиновиальной гигантоклеточной опухоли:</w:t>
            </w:r>
          </w:p>
          <w:p w:rsidR="007129B6" w:rsidRDefault="00C57378">
            <w:pPr>
              <w:numPr>
                <w:ilvl w:val="0"/>
                <w:numId w:val="2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Ежедневно: сорафениб 400 мг 1 раз в сутки внутрь</w:t>
            </w:r>
          </w:p>
        </w:tc>
      </w:tr>
      <w:tr w:rsidR="007129B6">
        <w:trPr>
          <w:trHeight w:val="5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120" w:firstLine="0"/>
              <w:jc w:val="left"/>
            </w:pPr>
            <w:r>
              <w:rPr>
                <w:sz w:val="14"/>
              </w:rPr>
              <w:t>Метотрексат + винорелбин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При десмоиде:</w:t>
            </w:r>
          </w:p>
          <w:p w:rsidR="007129B6" w:rsidRDefault="00C57378">
            <w:pPr>
              <w:numPr>
                <w:ilvl w:val="0"/>
                <w:numId w:val="2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Еженедельно: метотрексат 50 мг в / в струйно</w:t>
            </w:r>
          </w:p>
          <w:p w:rsidR="007129B6" w:rsidRDefault="00C57378">
            <w:pPr>
              <w:numPr>
                <w:ilvl w:val="0"/>
                <w:numId w:val="2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Еженедельно: винорелбин 20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внутрь</w:t>
            </w:r>
          </w:p>
        </w:tc>
      </w:tr>
      <w:tr w:rsidR="007129B6">
        <w:trPr>
          <w:trHeight w:val="5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120" w:firstLine="0"/>
              <w:jc w:val="left"/>
            </w:pPr>
            <w:r>
              <w:rPr>
                <w:sz w:val="14"/>
              </w:rPr>
              <w:t>Метотрексат + винбластин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При десмоиде:</w:t>
            </w:r>
          </w:p>
          <w:p w:rsidR="007129B6" w:rsidRDefault="00C57378">
            <w:pPr>
              <w:numPr>
                <w:ilvl w:val="0"/>
                <w:numId w:val="2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Еженедельно: метотрексат 30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струйно</w:t>
            </w:r>
          </w:p>
          <w:p w:rsidR="007129B6" w:rsidRDefault="00C57378">
            <w:pPr>
              <w:numPr>
                <w:ilvl w:val="0"/>
                <w:numId w:val="2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винбластин 5–6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струйно</w:t>
            </w:r>
          </w:p>
        </w:tc>
      </w:tr>
      <w:tr w:rsidR="007129B6">
        <w:trPr>
          <w:trHeight w:val="4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Липосомальный доксорубицин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1618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1‑й: 20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60 мин. каждые 3 нед.</w:t>
            </w:r>
          </w:p>
        </w:tc>
      </w:tr>
      <w:tr w:rsidR="007129B6">
        <w:trPr>
          <w:trHeight w:val="5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Иматиниб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26"/>
              </w:numPr>
              <w:spacing w:after="0" w:line="236" w:lineRule="auto"/>
              <w:ind w:right="1227" w:firstLine="0"/>
              <w:jc w:val="left"/>
            </w:pPr>
            <w:r>
              <w:rPr>
                <w:sz w:val="14"/>
              </w:rPr>
              <w:t xml:space="preserve">Ежедневно: 400 мг 2 раз сутки внутрь </w:t>
            </w:r>
            <w:r>
              <w:rPr>
                <w:b/>
                <w:sz w:val="14"/>
              </w:rPr>
              <w:t>При десмоиде:</w:t>
            </w:r>
          </w:p>
          <w:p w:rsidR="007129B6" w:rsidRDefault="00C57378">
            <w:pPr>
              <w:numPr>
                <w:ilvl w:val="0"/>
                <w:numId w:val="26"/>
              </w:numPr>
              <w:spacing w:after="0" w:line="259" w:lineRule="auto"/>
              <w:ind w:right="1227" w:firstLine="0"/>
              <w:jc w:val="left"/>
            </w:pPr>
            <w:r>
              <w:rPr>
                <w:sz w:val="14"/>
              </w:rPr>
              <w:t>Ежедневно: 400 мг 1 раз сутки внутрь</w:t>
            </w:r>
          </w:p>
        </w:tc>
      </w:tr>
    </w:tbl>
    <w:p w:rsidR="007129B6" w:rsidRDefault="007129B6">
      <w:pPr>
        <w:spacing w:after="0" w:line="259" w:lineRule="auto"/>
        <w:ind w:left="-1139" w:right="1159" w:firstLine="0"/>
        <w:jc w:val="left"/>
      </w:pPr>
    </w:p>
    <w:tbl>
      <w:tblPr>
        <w:tblStyle w:val="TableGrid"/>
        <w:tblW w:w="6396" w:type="dxa"/>
        <w:tblInd w:w="0" w:type="dxa"/>
        <w:tblCellMar>
          <w:top w:w="45" w:type="dxa"/>
          <w:left w:w="79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1134"/>
        <w:gridCol w:w="5262"/>
      </w:tblGrid>
      <w:tr w:rsidR="007129B6">
        <w:trPr>
          <w:trHeight w:val="25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7129B6">
        <w:trPr>
          <w:trHeight w:val="2783"/>
        </w:trPr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VAC–IE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VAC:</w:t>
            </w:r>
          </w:p>
          <w:p w:rsidR="007129B6" w:rsidRDefault="00C57378">
            <w:pPr>
              <w:numPr>
                <w:ilvl w:val="0"/>
                <w:numId w:val="2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винкристин 1,5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5–10 мин.</w:t>
            </w:r>
          </w:p>
          <w:p w:rsidR="007129B6" w:rsidRDefault="00C57378">
            <w:pPr>
              <w:numPr>
                <w:ilvl w:val="0"/>
                <w:numId w:val="2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доксорубицин 75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струйно</w:t>
            </w:r>
          </w:p>
          <w:p w:rsidR="007129B6" w:rsidRDefault="00C57378">
            <w:pPr>
              <w:numPr>
                <w:ilvl w:val="0"/>
                <w:numId w:val="2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циклофосфамид 1200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30–60 мин.</w:t>
            </w:r>
          </w:p>
          <w:p w:rsidR="007129B6" w:rsidRDefault="00C57378">
            <w:pPr>
              <w:numPr>
                <w:ilvl w:val="0"/>
                <w:numId w:val="2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2–11‑й: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>9</w:t>
            </w:r>
            <w:r>
              <w:rPr>
                <w:sz w:val="14"/>
              </w:rPr>
              <w:t xml:space="preserve"> / л </w:t>
            </w:r>
          </w:p>
          <w:p w:rsidR="007129B6" w:rsidRDefault="00C57378">
            <w:pPr>
              <w:spacing w:after="0" w:line="236" w:lineRule="auto"/>
              <w:ind w:left="170" w:firstLine="0"/>
            </w:pPr>
            <w:r>
              <w:rPr>
                <w:sz w:val="14"/>
              </w:rPr>
              <w:t>(или эмпэгфилграстим 7,5 мг п / к или другие формы пегилированных Г‑КСФ в день 2‑й)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Каждые 2–</w:t>
            </w:r>
            <w:r>
              <w:rPr>
                <w:sz w:val="14"/>
              </w:rPr>
              <w:t>3 нед.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IE:</w:t>
            </w:r>
          </w:p>
          <w:p w:rsidR="007129B6" w:rsidRDefault="00C57378">
            <w:pPr>
              <w:numPr>
                <w:ilvl w:val="0"/>
                <w:numId w:val="2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1–5‑й: этопозид 100 мг / м</w:t>
            </w:r>
            <w:r>
              <w:rPr>
                <w:b/>
                <w:sz w:val="13"/>
                <w:vertAlign w:val="superscript"/>
              </w:rPr>
              <w:t xml:space="preserve">2 </w:t>
            </w:r>
            <w:r>
              <w:rPr>
                <w:sz w:val="14"/>
              </w:rPr>
              <w:t>в / в кап. 1 час</w:t>
            </w:r>
          </w:p>
          <w:p w:rsidR="007129B6" w:rsidRDefault="00C57378">
            <w:pPr>
              <w:numPr>
                <w:ilvl w:val="0"/>
                <w:numId w:val="2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1–5‑й: ифосфамид 1800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3 часа</w:t>
            </w:r>
          </w:p>
          <w:p w:rsidR="007129B6" w:rsidRDefault="00C57378">
            <w:pPr>
              <w:numPr>
                <w:ilvl w:val="0"/>
                <w:numId w:val="2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1–5‑й: месна 100 % от дозы препарата в / в струйно</w:t>
            </w:r>
          </w:p>
          <w:p w:rsidR="007129B6" w:rsidRDefault="00C57378">
            <w:pPr>
              <w:numPr>
                <w:ilvl w:val="0"/>
                <w:numId w:val="27"/>
              </w:numPr>
              <w:spacing w:after="0" w:line="243" w:lineRule="auto"/>
              <w:ind w:hanging="170"/>
              <w:jc w:val="left"/>
            </w:pPr>
            <w:r>
              <w:rPr>
                <w:sz w:val="14"/>
              </w:rPr>
              <w:t>День 6–15‑й: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>9</w:t>
            </w:r>
            <w:r>
              <w:rPr>
                <w:sz w:val="14"/>
              </w:rPr>
              <w:t xml:space="preserve"> / л (ил</w:t>
            </w:r>
            <w:r>
              <w:rPr>
                <w:sz w:val="14"/>
              </w:rPr>
              <w:t>и эмпэгфилграстим 7,5 мг п / к или другие формы пегилированных Г‑КСФ в день 6‑й)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Каждые 2–3 нед.</w:t>
            </w:r>
          </w:p>
        </w:tc>
      </w:tr>
      <w:tr w:rsidR="007129B6">
        <w:trPr>
          <w:trHeight w:val="2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Иринотекан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1691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1–5‑й: 20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каждые 2 недели 1 час</w:t>
            </w:r>
          </w:p>
        </w:tc>
      </w:tr>
      <w:tr w:rsidR="007129B6">
        <w:trPr>
          <w:trHeight w:val="5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92" w:firstLine="0"/>
              <w:jc w:val="left"/>
            </w:pPr>
            <w:r>
              <w:rPr>
                <w:sz w:val="14"/>
              </w:rPr>
              <w:t>Темозоломид + иринотекан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1507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1–5‑й: темозоломид 100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внутрь ежедневно 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День 1–5‑й: иринотекан 40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/ сут. в / в в 1–5‑й дни 1 час Каждые 4 нед.</w:t>
            </w:r>
          </w:p>
        </w:tc>
      </w:tr>
      <w:tr w:rsidR="007129B6">
        <w:trPr>
          <w:trHeight w:val="7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Винкристин 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+ темозоломид 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+ иринотекан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28"/>
              </w:numPr>
              <w:spacing w:after="0" w:line="259" w:lineRule="auto"/>
              <w:ind w:right="788" w:firstLine="0"/>
              <w:jc w:val="left"/>
            </w:pPr>
            <w:r>
              <w:rPr>
                <w:sz w:val="14"/>
              </w:rPr>
              <w:t>День 1‑й и 8‑й: винкристин 2 мг в / в кап. 5–10 мин.</w:t>
            </w:r>
          </w:p>
          <w:p w:rsidR="007129B6" w:rsidRDefault="00C57378">
            <w:pPr>
              <w:numPr>
                <w:ilvl w:val="0"/>
                <w:numId w:val="28"/>
              </w:numPr>
              <w:spacing w:after="0" w:line="259" w:lineRule="auto"/>
              <w:ind w:right="788" w:firstLine="0"/>
              <w:jc w:val="left"/>
            </w:pPr>
            <w:r>
              <w:rPr>
                <w:sz w:val="14"/>
              </w:rPr>
              <w:t>День 1–5‑й: темозоломид 100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внутрь ежедневно 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День 1–5‑й и 8–12‑й: иринотекан 15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60 мин Каждые 4 нед.</w:t>
            </w:r>
          </w:p>
        </w:tc>
      </w:tr>
      <w:tr w:rsidR="007129B6">
        <w:trPr>
          <w:trHeight w:val="5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192" w:firstLine="0"/>
              <w:jc w:val="left"/>
            </w:pPr>
            <w:r>
              <w:rPr>
                <w:sz w:val="14"/>
              </w:rPr>
              <w:t>Винкристин + иринотекан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29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 и 8‑й: винкристин 2 мг в / в кап. 5–10 мин.</w:t>
            </w:r>
          </w:p>
          <w:p w:rsidR="007129B6" w:rsidRDefault="00C57378">
            <w:pPr>
              <w:numPr>
                <w:ilvl w:val="0"/>
                <w:numId w:val="29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1–5‑й: иринотекан 50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60 мин.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Каждые 4 нед.</w:t>
            </w:r>
          </w:p>
        </w:tc>
      </w:tr>
      <w:tr w:rsidR="007129B6">
        <w:trPr>
          <w:trHeight w:val="2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Винорелбин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2232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День 1‑й и 8‑й: винорелбин: 30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5–10 мин. каждые 3 нед.</w:t>
            </w:r>
          </w:p>
        </w:tc>
      </w:tr>
      <w:tr w:rsidR="007129B6">
        <w:trPr>
          <w:trHeight w:val="7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Регорафениб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170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160 мг 1 раз в день внутрь в 1–21 дни, 1 неделя перерыв; или 80 мг в сутки внутрь — 1‑я неделя, 120 мг в сутки внутрь — 2‑я неделя, 160 мг в сутки внутрь — 3‑я неделя, затем — 1 неделя перерыв. Эскалация дозы — только при удовлетворительной переносимости.</w:t>
            </w:r>
          </w:p>
        </w:tc>
      </w:tr>
      <w:tr w:rsidR="007129B6">
        <w:trPr>
          <w:trHeight w:val="2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Сунитиниб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1287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Ежедневно: 37,5 мг внутрь ежедневно</w:t>
            </w:r>
          </w:p>
        </w:tc>
      </w:tr>
      <w:tr w:rsidR="007129B6">
        <w:trPr>
          <w:trHeight w:val="2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Паклитаксел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2212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1‑й, 8‑й, 15‑й: паклитаксел 80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кап. 1 час каждые 4 нед.</w:t>
            </w:r>
          </w:p>
        </w:tc>
      </w:tr>
      <w:tr w:rsidR="007129B6">
        <w:trPr>
          <w:trHeight w:val="5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right="92" w:firstLine="0"/>
              <w:jc w:val="left"/>
            </w:pPr>
            <w:r>
              <w:rPr>
                <w:sz w:val="14"/>
              </w:rPr>
              <w:t>Темозоломид + бевацизумаб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numPr>
                <w:ilvl w:val="0"/>
                <w:numId w:val="3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1–7‑й, 15–21‑й: темозоломид 150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внутрь ежедневно</w:t>
            </w:r>
          </w:p>
          <w:p w:rsidR="007129B6" w:rsidRDefault="00C57378">
            <w:pPr>
              <w:numPr>
                <w:ilvl w:val="0"/>
                <w:numId w:val="30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8‑й и 22‑й: бевацизумаб 5 мг / кг в / в кап. 30–60 мин.</w:t>
            </w:r>
          </w:p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Каждые 4 нед.</w:t>
            </w:r>
          </w:p>
        </w:tc>
      </w:tr>
      <w:tr w:rsidR="007129B6">
        <w:trPr>
          <w:trHeight w:val="2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Бевацизумаб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1711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1‑й: 15 мг / кг в / в кап. 30–60 мин. каждые 3 нед.</w:t>
            </w:r>
          </w:p>
        </w:tc>
      </w:tr>
      <w:tr w:rsidR="007129B6">
        <w:trPr>
          <w:trHeight w:val="2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Кризотиниб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1347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Ежедневно 200 мг 2 раза в сутки внутрь</w:t>
            </w:r>
          </w:p>
        </w:tc>
      </w:tr>
      <w:tr w:rsidR="007129B6">
        <w:trPr>
          <w:trHeight w:val="2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Тамоксифен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1378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Ежедневно 20–40 мг 1 раз в сутки внутрь</w:t>
            </w:r>
          </w:p>
        </w:tc>
      </w:tr>
      <w:tr w:rsidR="007129B6">
        <w:trPr>
          <w:trHeight w:val="2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Эверолимус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1263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Ежедневно 10 мг 1 раз в сутки внутрь</w:t>
            </w:r>
          </w:p>
        </w:tc>
      </w:tr>
      <w:tr w:rsidR="007129B6">
        <w:trPr>
          <w:trHeight w:val="2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Палбоциклиб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6" w:rsidRDefault="00C57378">
            <w:pPr>
              <w:tabs>
                <w:tab w:val="center" w:pos="21"/>
                <w:tab w:val="center" w:pos="1780"/>
              </w:tabs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1–14‑й: 200 мг 1 раз в сутки внутрь каждые 3 нед.</w:t>
            </w:r>
          </w:p>
        </w:tc>
      </w:tr>
    </w:tbl>
    <w:p w:rsidR="007129B6" w:rsidRDefault="00C57378">
      <w:pPr>
        <w:pStyle w:val="Heading2"/>
        <w:spacing w:after="74"/>
        <w:ind w:left="-4"/>
      </w:pPr>
      <w:r>
        <w:t>4. ПРОФИЛАКТИКА</w:t>
      </w:r>
    </w:p>
    <w:p w:rsidR="007129B6" w:rsidRDefault="00C57378">
      <w:pPr>
        <w:spacing w:after="60"/>
        <w:ind w:left="0" w:right="26" w:firstLine="283"/>
      </w:pPr>
      <w:r>
        <w:t>Специфической профилактики СМТ в настоящий момент не существует. Однако существуют факторы, увеличивающие риск развития саркомы:</w:t>
      </w:r>
    </w:p>
    <w:p w:rsidR="007129B6" w:rsidRDefault="00C57378">
      <w:pPr>
        <w:numPr>
          <w:ilvl w:val="0"/>
          <w:numId w:val="4"/>
        </w:numPr>
        <w:ind w:left="283" w:right="26" w:hanging="283"/>
      </w:pPr>
      <w:r>
        <w:t>наследственные синдромы: наследственная ретинобластома, синдром Ли‑Фраумени, семейный аденоматозный полипоз, нейрофиброматоз, т</w:t>
      </w:r>
      <w:r>
        <w:t>уберозный склероз и синдром Вернера;</w:t>
      </w:r>
    </w:p>
    <w:p w:rsidR="007129B6" w:rsidRDefault="00C57378">
      <w:pPr>
        <w:numPr>
          <w:ilvl w:val="0"/>
          <w:numId w:val="4"/>
        </w:numPr>
        <w:ind w:left="283" w:right="26" w:hanging="283"/>
      </w:pPr>
      <w:r>
        <w:t>химическое воздействие: гербициды, мышьяк и диоксин;</w:t>
      </w:r>
    </w:p>
    <w:p w:rsidR="007129B6" w:rsidRDefault="00C57378">
      <w:pPr>
        <w:numPr>
          <w:ilvl w:val="0"/>
          <w:numId w:val="4"/>
        </w:numPr>
        <w:spacing w:after="367"/>
        <w:ind w:left="283" w:right="26" w:hanging="283"/>
      </w:pPr>
      <w:r>
        <w:t>радиационное воздействие: предшествующая ЛТ других видов рака (радиоиндуцированные опухоли).</w:t>
      </w:r>
    </w:p>
    <w:p w:rsidR="007129B6" w:rsidRDefault="00C57378">
      <w:pPr>
        <w:pStyle w:val="Heading2"/>
        <w:spacing w:after="74"/>
        <w:ind w:left="-4"/>
      </w:pPr>
      <w:r>
        <w:t>5. ДИНАМИЧЕСКОЕ НАБЛЮДЕНИЕ</w:t>
      </w:r>
    </w:p>
    <w:p w:rsidR="007129B6" w:rsidRDefault="00C57378">
      <w:pPr>
        <w:spacing w:after="60"/>
        <w:ind w:left="0" w:right="26" w:firstLine="283"/>
      </w:pPr>
      <w:r>
        <w:t>Рекомендуется проводить динамический контроль — осмотры и обследования пациента согласно следующему графику:</w:t>
      </w:r>
    </w:p>
    <w:p w:rsidR="007129B6" w:rsidRDefault="00C57378">
      <w:pPr>
        <w:numPr>
          <w:ilvl w:val="0"/>
          <w:numId w:val="5"/>
        </w:numPr>
        <w:ind w:right="26" w:hanging="284"/>
      </w:pPr>
      <w:r>
        <w:t>1‑й и 3‑й месяцы наблюдения после завершения терапии:</w:t>
      </w:r>
    </w:p>
    <w:p w:rsidR="007129B6" w:rsidRDefault="00C57378">
      <w:pPr>
        <w:numPr>
          <w:ilvl w:val="1"/>
          <w:numId w:val="5"/>
        </w:numPr>
        <w:ind w:right="26" w:hanging="283"/>
      </w:pPr>
      <w:r>
        <w:t>консультация врача онколога;</w:t>
      </w:r>
    </w:p>
    <w:p w:rsidR="007129B6" w:rsidRDefault="00C57378">
      <w:pPr>
        <w:numPr>
          <w:ilvl w:val="1"/>
          <w:numId w:val="5"/>
        </w:numPr>
        <w:ind w:right="26" w:hanging="283"/>
      </w:pPr>
      <w:r>
        <w:t>УЗИ зоны операции, брюшной полости, забрюшинного пространства, п</w:t>
      </w:r>
      <w:r>
        <w:t>ериферических лимфатических узлов;</w:t>
      </w:r>
    </w:p>
    <w:p w:rsidR="007129B6" w:rsidRDefault="00C57378">
      <w:pPr>
        <w:numPr>
          <w:ilvl w:val="0"/>
          <w:numId w:val="5"/>
        </w:numPr>
        <w:ind w:right="26" w:hanging="284"/>
      </w:pPr>
      <w:r>
        <w:t>6‑й месяц наблюдения после завершения терапии:</w:t>
      </w:r>
    </w:p>
    <w:p w:rsidR="007129B6" w:rsidRDefault="00C57378">
      <w:pPr>
        <w:numPr>
          <w:ilvl w:val="1"/>
          <w:numId w:val="5"/>
        </w:numPr>
        <w:ind w:right="26" w:hanging="283"/>
      </w:pPr>
      <w:r>
        <w:t>консультация врача онколога;</w:t>
      </w:r>
    </w:p>
    <w:p w:rsidR="007129B6" w:rsidRDefault="00C57378">
      <w:pPr>
        <w:numPr>
          <w:ilvl w:val="1"/>
          <w:numId w:val="5"/>
        </w:numPr>
        <w:ind w:right="26" w:hanging="283"/>
      </w:pPr>
      <w:r>
        <w:t>УЗИ зоны операции, брюшной полости, забрюшинного пространства, периферических лимфатических узлов;</w:t>
      </w:r>
    </w:p>
    <w:p w:rsidR="007129B6" w:rsidRDefault="00C57378">
      <w:pPr>
        <w:numPr>
          <w:ilvl w:val="1"/>
          <w:numId w:val="5"/>
        </w:numPr>
        <w:ind w:right="26" w:hanging="283"/>
      </w:pPr>
      <w:r>
        <w:t>МРТ зоны операции;</w:t>
      </w:r>
    </w:p>
    <w:p w:rsidR="007129B6" w:rsidRDefault="00C57378">
      <w:pPr>
        <w:numPr>
          <w:ilvl w:val="1"/>
          <w:numId w:val="5"/>
        </w:numPr>
        <w:ind w:right="26" w:hanging="283"/>
      </w:pPr>
      <w:r>
        <w:t>КТ органов грудной клетки;</w:t>
      </w:r>
    </w:p>
    <w:p w:rsidR="007129B6" w:rsidRDefault="00C57378">
      <w:pPr>
        <w:numPr>
          <w:ilvl w:val="0"/>
          <w:numId w:val="5"/>
        </w:numPr>
        <w:ind w:right="26" w:hanging="284"/>
      </w:pPr>
      <w:r>
        <w:t>9‑й месяц наблюдения после завершения терапии — как в 1‑й и 3‑й месяцы;</w:t>
      </w:r>
    </w:p>
    <w:p w:rsidR="007129B6" w:rsidRDefault="00C57378">
      <w:pPr>
        <w:numPr>
          <w:ilvl w:val="0"/>
          <w:numId w:val="5"/>
        </w:numPr>
        <w:ind w:right="26" w:hanging="284"/>
      </w:pPr>
      <w:r>
        <w:t>12‑й месяц наблюдения после завершения терапии — как на 6‑й месяц наблюдения после завершения терапии; далее в течение 4 лет в середине года обследование как в 1‑й и 3‑й месяцы, в конц</w:t>
      </w:r>
      <w:r>
        <w:t>е года — как на 12‑й месяц наблюдения;</w:t>
      </w:r>
    </w:p>
    <w:p w:rsidR="007129B6" w:rsidRDefault="00C57378">
      <w:pPr>
        <w:numPr>
          <w:ilvl w:val="0"/>
          <w:numId w:val="5"/>
        </w:numPr>
        <w:ind w:right="26" w:hanging="284"/>
      </w:pPr>
      <w:r>
        <w:t>далее 1 раз в год:</w:t>
      </w:r>
    </w:p>
    <w:p w:rsidR="007129B6" w:rsidRDefault="00C57378">
      <w:pPr>
        <w:numPr>
          <w:ilvl w:val="1"/>
          <w:numId w:val="5"/>
        </w:numPr>
        <w:ind w:right="26" w:hanging="283"/>
      </w:pPr>
      <w:r>
        <w:t>консультация врача‑онколога;</w:t>
      </w:r>
    </w:p>
    <w:p w:rsidR="007129B6" w:rsidRDefault="00C57378">
      <w:pPr>
        <w:numPr>
          <w:ilvl w:val="1"/>
          <w:numId w:val="5"/>
        </w:numPr>
        <w:ind w:right="26" w:hanging="283"/>
      </w:pPr>
      <w:r>
        <w:t>УЗИ зоны операции, брюшной полости, забрюшинного пространства, периферических лимфатических узлов.</w:t>
      </w:r>
    </w:p>
    <w:sectPr w:rsidR="007129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8391" w:h="11906"/>
      <w:pgMar w:top="1472" w:right="1131" w:bottom="958" w:left="849" w:header="584" w:footer="333" w:gutter="0"/>
      <w:pgNumType w:start="35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57378">
      <w:pPr>
        <w:spacing w:after="0" w:line="240" w:lineRule="auto"/>
      </w:pPr>
      <w:r>
        <w:separator/>
      </w:r>
    </w:p>
  </w:endnote>
  <w:endnote w:type="continuationSeparator" w:id="0">
    <w:p w:rsidR="00000000" w:rsidRDefault="00C5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9B6" w:rsidRDefault="00C57378">
    <w:pPr>
      <w:spacing w:after="0" w:line="253" w:lineRule="auto"/>
      <w:ind w:left="1" w:firstLine="0"/>
    </w:pPr>
    <w:r>
      <w:rPr>
        <w:b/>
        <w:sz w:val="11"/>
      </w:rPr>
      <w:t xml:space="preserve">ЗЛОКАЧЕСТВЕННЫЕ ОПУХОЛИ </w:t>
    </w:r>
    <w:r>
      <w:rPr>
        <w:sz w:val="11"/>
      </w:rPr>
      <w:t xml:space="preserve">том  / vol. 13 #3s2 • 2023 </w:t>
    </w:r>
    <w:r>
      <w:rPr>
        <w:b/>
        <w:sz w:val="11"/>
      </w:rPr>
      <w:t>MALIGNANT TUMOURS Российское общество клинической онкологии Russian Society of Clinical Oncology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9B6" w:rsidRDefault="00C57378">
    <w:pPr>
      <w:spacing w:after="0" w:line="253" w:lineRule="auto"/>
      <w:ind w:left="284" w:right="-281" w:firstLine="0"/>
    </w:pPr>
    <w:r>
      <w:rPr>
        <w:b/>
        <w:sz w:val="11"/>
      </w:rPr>
      <w:t xml:space="preserve">ЗЛОКАЧЕСТВЕННЫЕ ОПУХОЛИ </w:t>
    </w:r>
    <w:r>
      <w:rPr>
        <w:sz w:val="11"/>
      </w:rPr>
      <w:t xml:space="preserve">том  / vol. 13 #3s2 • 2023 </w:t>
    </w:r>
    <w:r>
      <w:rPr>
        <w:b/>
        <w:sz w:val="11"/>
      </w:rPr>
      <w:t>MALIGNANT TUMOURS Российское общество клинической онкологии Russian Society of Clinical Oncology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9B6" w:rsidRDefault="00C57378">
    <w:pPr>
      <w:spacing w:after="0" w:line="253" w:lineRule="auto"/>
      <w:ind w:left="1" w:firstLine="0"/>
    </w:pPr>
    <w:r>
      <w:rPr>
        <w:b/>
        <w:sz w:val="11"/>
      </w:rPr>
      <w:t>ЗЛОКАЧЕСТВЕ</w:t>
    </w:r>
    <w:r>
      <w:rPr>
        <w:b/>
        <w:sz w:val="11"/>
      </w:rPr>
      <w:t xml:space="preserve">ННЫЕ ОПУХОЛИ </w:t>
    </w:r>
    <w:r>
      <w:rPr>
        <w:sz w:val="11"/>
      </w:rPr>
      <w:t xml:space="preserve">том  / vol. 13 #3s2 • 2023 </w:t>
    </w:r>
    <w:r>
      <w:rPr>
        <w:b/>
        <w:sz w:val="11"/>
      </w:rPr>
      <w:t>MALIGNANT TUMOURS Российское общество клинической онкологии Russian Society of Clinical Oncology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9B6" w:rsidRDefault="00C57378">
      <w:pPr>
        <w:spacing w:after="0" w:line="243" w:lineRule="auto"/>
        <w:ind w:left="0" w:right="37" w:firstLine="227"/>
      </w:pPr>
      <w:r>
        <w:separator/>
      </w:r>
    </w:p>
  </w:footnote>
  <w:footnote w:type="continuationSeparator" w:id="0">
    <w:p w:rsidR="007129B6" w:rsidRDefault="00C57378">
      <w:pPr>
        <w:spacing w:after="0" w:line="243" w:lineRule="auto"/>
        <w:ind w:left="0" w:right="37" w:firstLine="227"/>
      </w:pPr>
      <w:r>
        <w:continuationSeparator/>
      </w:r>
    </w:p>
  </w:footnote>
  <w:footnote w:id="1">
    <w:p w:rsidR="007129B6" w:rsidRDefault="00C57378">
      <w:pPr>
        <w:pStyle w:val="footnotedescription"/>
      </w:pPr>
      <w:r>
        <w:rPr>
          <w:rStyle w:val="footnotemark"/>
        </w:rPr>
        <w:footnoteRef/>
      </w:r>
      <w:r>
        <w:t xml:space="preserve"> Центральный висцеральный компартмент головы и шеи — неоднозначный термин: по данным большинства авторов, представ</w:t>
      </w:r>
      <w:r>
        <w:t>ляет собой анатомическое пространство, включающее щитовидную железу, гортань, трахею, шейную часть пищевода, гортаноглотку и, по некоторым определениям, ротоглотку и носоглотку.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9B6" w:rsidRDefault="00C57378">
    <w:pPr>
      <w:spacing w:after="0" w:line="259" w:lineRule="auto"/>
      <w:ind w:left="-849" w:right="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370562</wp:posOffset>
              </wp:positionV>
              <wp:extent cx="4068002" cy="313442"/>
              <wp:effectExtent l="0" t="0" r="0" b="0"/>
              <wp:wrapSquare wrapText="bothSides"/>
              <wp:docPr id="25580" name="Group 255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68002" cy="313442"/>
                        <a:chOff x="0" y="0"/>
                        <a:chExt cx="4068002" cy="313442"/>
                      </a:xfrm>
                    </wpg:grpSpPr>
                    <wps:wsp>
                      <wps:cNvPr id="25581" name="Shape 25581"/>
                      <wps:cNvSpPr/>
                      <wps:spPr>
                        <a:xfrm>
                          <a:off x="0" y="313442"/>
                          <a:ext cx="4068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8001">
                              <a:moveTo>
                                <a:pt x="0" y="0"/>
                              </a:moveTo>
                              <a:lnTo>
                                <a:pt x="4068001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600" name="Rectangle 25600"/>
                      <wps:cNvSpPr/>
                      <wps:spPr>
                        <a:xfrm>
                          <a:off x="0" y="0"/>
                          <a:ext cx="382237" cy="282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129B6" w:rsidRDefault="00C5737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Pr="00C57378">
                              <w:rPr>
                                <w:noProof/>
                                <w:sz w:val="28"/>
                              </w:rPr>
                              <w:t>356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5601" name="Rectangle 25601"/>
                      <wps:cNvSpPr/>
                      <wps:spPr>
                        <a:xfrm>
                          <a:off x="1757862" y="86165"/>
                          <a:ext cx="1700957" cy="1411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129B6" w:rsidRDefault="00C5737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5582" name="Shape 25582"/>
                      <wps:cNvSpPr/>
                      <wps:spPr>
                        <a:xfrm>
                          <a:off x="3376957" y="40400"/>
                          <a:ext cx="37884" cy="130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84" h="130150">
                              <a:moveTo>
                                <a:pt x="0" y="0"/>
                              </a:moveTo>
                              <a:lnTo>
                                <a:pt x="33401" y="0"/>
                              </a:lnTo>
                              <a:lnTo>
                                <a:pt x="37884" y="624"/>
                              </a:lnTo>
                              <a:lnTo>
                                <a:pt x="37884" y="9205"/>
                              </a:lnTo>
                              <a:lnTo>
                                <a:pt x="31305" y="8395"/>
                              </a:lnTo>
                              <a:lnTo>
                                <a:pt x="10122" y="8395"/>
                              </a:lnTo>
                              <a:lnTo>
                                <a:pt x="10122" y="59360"/>
                              </a:lnTo>
                              <a:lnTo>
                                <a:pt x="31686" y="59360"/>
                              </a:lnTo>
                              <a:lnTo>
                                <a:pt x="37884" y="57682"/>
                              </a:lnTo>
                              <a:lnTo>
                                <a:pt x="37884" y="70078"/>
                              </a:lnTo>
                              <a:lnTo>
                                <a:pt x="27674" y="67754"/>
                              </a:lnTo>
                              <a:lnTo>
                                <a:pt x="10122" y="67754"/>
                              </a:lnTo>
                              <a:lnTo>
                                <a:pt x="10122" y="130150"/>
                              </a:lnTo>
                              <a:lnTo>
                                <a:pt x="0" y="1301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83" name="Shape 25583"/>
                      <wps:cNvSpPr/>
                      <wps:spPr>
                        <a:xfrm>
                          <a:off x="3414841" y="41023"/>
                          <a:ext cx="60592" cy="1295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92" h="129526">
                              <a:moveTo>
                                <a:pt x="0" y="0"/>
                              </a:moveTo>
                              <a:lnTo>
                                <a:pt x="15699" y="2184"/>
                              </a:lnTo>
                              <a:cubicBezTo>
                                <a:pt x="32310" y="7562"/>
                                <a:pt x="38646" y="19947"/>
                                <a:pt x="38646" y="32968"/>
                              </a:cubicBezTo>
                              <a:cubicBezTo>
                                <a:pt x="38646" y="48043"/>
                                <a:pt x="30442" y="58546"/>
                                <a:pt x="13843" y="64654"/>
                              </a:cubicBezTo>
                              <a:cubicBezTo>
                                <a:pt x="19939" y="67893"/>
                                <a:pt x="25095" y="75335"/>
                                <a:pt x="31204" y="84492"/>
                              </a:cubicBezTo>
                              <a:lnTo>
                                <a:pt x="60592" y="129526"/>
                              </a:lnTo>
                              <a:lnTo>
                                <a:pt x="48768" y="129526"/>
                              </a:lnTo>
                              <a:lnTo>
                                <a:pt x="26048" y="93852"/>
                              </a:lnTo>
                              <a:cubicBezTo>
                                <a:pt x="18224" y="81539"/>
                                <a:pt x="13071" y="74859"/>
                                <a:pt x="7919" y="71257"/>
                              </a:cubicBezTo>
                              <a:lnTo>
                                <a:pt x="0" y="69455"/>
                              </a:lnTo>
                              <a:lnTo>
                                <a:pt x="0" y="57058"/>
                              </a:lnTo>
                              <a:lnTo>
                                <a:pt x="19369" y="51815"/>
                              </a:lnTo>
                              <a:cubicBezTo>
                                <a:pt x="24997" y="47376"/>
                                <a:pt x="27762" y="40982"/>
                                <a:pt x="27762" y="33158"/>
                              </a:cubicBezTo>
                              <a:cubicBezTo>
                                <a:pt x="27762" y="22138"/>
                                <a:pt x="21861" y="13368"/>
                                <a:pt x="8849" y="9672"/>
                              </a:cubicBezTo>
                              <a:lnTo>
                                <a:pt x="0" y="85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84" name="Shape 25584"/>
                      <wps:cNvSpPr/>
                      <wps:spPr>
                        <a:xfrm>
                          <a:off x="3483432" y="40400"/>
                          <a:ext cx="108966" cy="131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66" h="131864">
                              <a:moveTo>
                                <a:pt x="0" y="0"/>
                              </a:moveTo>
                              <a:lnTo>
                                <a:pt x="10122" y="0"/>
                              </a:lnTo>
                              <a:lnTo>
                                <a:pt x="10122" y="72898"/>
                              </a:lnTo>
                              <a:cubicBezTo>
                                <a:pt x="10122" y="107061"/>
                                <a:pt x="31102" y="122530"/>
                                <a:pt x="54381" y="122530"/>
                              </a:cubicBezTo>
                              <a:cubicBezTo>
                                <a:pt x="76530" y="122530"/>
                                <a:pt x="98857" y="108585"/>
                                <a:pt x="98857" y="71565"/>
                              </a:cubicBezTo>
                              <a:lnTo>
                                <a:pt x="98857" y="0"/>
                              </a:lnTo>
                              <a:lnTo>
                                <a:pt x="108966" y="0"/>
                              </a:lnTo>
                              <a:lnTo>
                                <a:pt x="108966" y="70993"/>
                              </a:lnTo>
                              <a:cubicBezTo>
                                <a:pt x="108966" y="115659"/>
                                <a:pt x="80911" y="131864"/>
                                <a:pt x="54381" y="131864"/>
                              </a:cubicBezTo>
                              <a:cubicBezTo>
                                <a:pt x="25006" y="131864"/>
                                <a:pt x="0" y="112408"/>
                                <a:pt x="0" y="7327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85" name="Shape 25585"/>
                      <wps:cNvSpPr/>
                      <wps:spPr>
                        <a:xfrm>
                          <a:off x="3614269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204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99" y="133579"/>
                                <a:pt x="35103" y="133579"/>
                              </a:cubicBezTo>
                              <a:cubicBezTo>
                                <a:pt x="24435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31" y="120802"/>
                                <a:pt x="24435" y="124244"/>
                                <a:pt x="34531" y="124244"/>
                              </a:cubicBezTo>
                              <a:cubicBezTo>
                                <a:pt x="50000" y="124244"/>
                                <a:pt x="62014" y="112967"/>
                                <a:pt x="62014" y="98273"/>
                              </a:cubicBezTo>
                              <a:cubicBezTo>
                                <a:pt x="62014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86" name="Shape 25586"/>
                      <wps:cNvSpPr/>
                      <wps:spPr>
                        <a:xfrm>
                          <a:off x="3710594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191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86" y="133579"/>
                                <a:pt x="35103" y="133579"/>
                              </a:cubicBezTo>
                              <a:cubicBezTo>
                                <a:pt x="24422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18" y="120802"/>
                                <a:pt x="24422" y="124244"/>
                                <a:pt x="34544" y="124244"/>
                              </a:cubicBezTo>
                              <a:cubicBezTo>
                                <a:pt x="50000" y="124244"/>
                                <a:pt x="62027" y="112967"/>
                                <a:pt x="62027" y="98273"/>
                              </a:cubicBezTo>
                              <a:cubicBezTo>
                                <a:pt x="62027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87" name="Shape 25587"/>
                      <wps:cNvSpPr/>
                      <wps:spPr>
                        <a:xfrm>
                          <a:off x="3800660" y="38686"/>
                          <a:ext cx="115443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443" h="133579">
                              <a:moveTo>
                                <a:pt x="68313" y="0"/>
                              </a:moveTo>
                              <a:cubicBezTo>
                                <a:pt x="82817" y="0"/>
                                <a:pt x="98272" y="3619"/>
                                <a:pt x="114109" y="10884"/>
                              </a:cubicBezTo>
                              <a:lnTo>
                                <a:pt x="114109" y="21946"/>
                              </a:lnTo>
                              <a:cubicBezTo>
                                <a:pt x="97891" y="13360"/>
                                <a:pt x="83198" y="9360"/>
                                <a:pt x="67742" y="9360"/>
                              </a:cubicBezTo>
                              <a:cubicBezTo>
                                <a:pt x="35306" y="9360"/>
                                <a:pt x="10871" y="33972"/>
                                <a:pt x="10871" y="66993"/>
                              </a:cubicBezTo>
                              <a:cubicBezTo>
                                <a:pt x="10871" y="100571"/>
                                <a:pt x="35115" y="124244"/>
                                <a:pt x="69075" y="124244"/>
                              </a:cubicBezTo>
                              <a:cubicBezTo>
                                <a:pt x="83769" y="124244"/>
                                <a:pt x="97701" y="120218"/>
                                <a:pt x="115443" y="110884"/>
                              </a:cubicBezTo>
                              <a:lnTo>
                                <a:pt x="115443" y="121374"/>
                              </a:lnTo>
                              <a:cubicBezTo>
                                <a:pt x="100368" y="129375"/>
                                <a:pt x="84341" y="133579"/>
                                <a:pt x="69266" y="133579"/>
                              </a:cubicBezTo>
                              <a:cubicBezTo>
                                <a:pt x="29578" y="133579"/>
                                <a:pt x="0" y="105143"/>
                                <a:pt x="0" y="66993"/>
                              </a:cubicBezTo>
                              <a:cubicBezTo>
                                <a:pt x="0" y="27102"/>
                                <a:pt x="32626" y="0"/>
                                <a:pt x="683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88" name="Shape 25588"/>
                      <wps:cNvSpPr/>
                      <wps:spPr>
                        <a:xfrm>
                          <a:off x="3930220" y="38689"/>
                          <a:ext cx="68891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79">
                              <a:moveTo>
                                <a:pt x="68694" y="0"/>
                              </a:moveTo>
                              <a:lnTo>
                                <a:pt x="68891" y="38"/>
                              </a:lnTo>
                              <a:lnTo>
                                <a:pt x="68891" y="9395"/>
                              </a:lnTo>
                              <a:lnTo>
                                <a:pt x="46217" y="13772"/>
                              </a:lnTo>
                              <a:cubicBezTo>
                                <a:pt x="25259" y="22322"/>
                                <a:pt x="10871" y="42462"/>
                                <a:pt x="10871" y="66789"/>
                              </a:cubicBezTo>
                              <a:cubicBezTo>
                                <a:pt x="10871" y="91126"/>
                                <a:pt x="25259" y="111269"/>
                                <a:pt x="46217" y="119819"/>
                              </a:cubicBezTo>
                              <a:lnTo>
                                <a:pt x="68891" y="124196"/>
                              </a:lnTo>
                              <a:lnTo>
                                <a:pt x="68891" y="133541"/>
                              </a:lnTo>
                              <a:lnTo>
                                <a:pt x="68694" y="133579"/>
                              </a:lnTo>
                              <a:cubicBezTo>
                                <a:pt x="30150" y="133579"/>
                                <a:pt x="0" y="104191"/>
                                <a:pt x="0" y="66789"/>
                              </a:cubicBezTo>
                              <a:cubicBezTo>
                                <a:pt x="0" y="29388"/>
                                <a:pt x="30150" y="0"/>
                                <a:pt x="686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89" name="Shape 25589"/>
                      <wps:cNvSpPr/>
                      <wps:spPr>
                        <a:xfrm>
                          <a:off x="3999111" y="38727"/>
                          <a:ext cx="68891" cy="133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03">
                              <a:moveTo>
                                <a:pt x="0" y="0"/>
                              </a:moveTo>
                              <a:lnTo>
                                <a:pt x="26939" y="5139"/>
                              </a:lnTo>
                              <a:cubicBezTo>
                                <a:pt x="51817" y="15157"/>
                                <a:pt x="68891" y="38701"/>
                                <a:pt x="68891" y="66752"/>
                              </a:cubicBezTo>
                              <a:cubicBezTo>
                                <a:pt x="68891" y="94803"/>
                                <a:pt x="51817" y="118346"/>
                                <a:pt x="26939" y="128365"/>
                              </a:cubicBezTo>
                              <a:lnTo>
                                <a:pt x="0" y="133503"/>
                              </a:lnTo>
                              <a:lnTo>
                                <a:pt x="0" y="124158"/>
                              </a:lnTo>
                              <a:lnTo>
                                <a:pt x="184" y="124194"/>
                              </a:lnTo>
                              <a:cubicBezTo>
                                <a:pt x="32823" y="124194"/>
                                <a:pt x="58020" y="99200"/>
                                <a:pt x="58020" y="66752"/>
                              </a:cubicBezTo>
                              <a:cubicBezTo>
                                <a:pt x="58020" y="34316"/>
                                <a:pt x="32823" y="9322"/>
                                <a:pt x="184" y="9322"/>
                              </a:cubicBezTo>
                              <a:lnTo>
                                <a:pt x="0" y="9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0" name="Shape 25590"/>
                      <wps:cNvSpPr/>
                      <wps:spPr>
                        <a:xfrm>
                          <a:off x="3135701" y="16345"/>
                          <a:ext cx="178257" cy="178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57" h="178257">
                              <a:moveTo>
                                <a:pt x="89129" y="0"/>
                              </a:moveTo>
                              <a:cubicBezTo>
                                <a:pt x="138354" y="0"/>
                                <a:pt x="178257" y="39903"/>
                                <a:pt x="178257" y="89141"/>
                              </a:cubicBezTo>
                              <a:cubicBezTo>
                                <a:pt x="178257" y="138354"/>
                                <a:pt x="138354" y="178257"/>
                                <a:pt x="89129" y="178257"/>
                              </a:cubicBezTo>
                              <a:cubicBezTo>
                                <a:pt x="39903" y="178257"/>
                                <a:pt x="0" y="138354"/>
                                <a:pt x="0" y="89141"/>
                              </a:cubicBezTo>
                              <a:cubicBezTo>
                                <a:pt x="0" y="39903"/>
                                <a:pt x="39903" y="0"/>
                                <a:pt x="89129" y="0"/>
                              </a:cubicBezTo>
                              <a:close/>
                            </a:path>
                          </a:pathLst>
                        </a:custGeom>
                        <a:ln w="11684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1" name="Shape 25591"/>
                      <wps:cNvSpPr/>
                      <wps:spPr>
                        <a:xfrm>
                          <a:off x="3201478" y="83498"/>
                          <a:ext cx="46711" cy="4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46711">
                              <a:moveTo>
                                <a:pt x="23266" y="0"/>
                              </a:moveTo>
                              <a:lnTo>
                                <a:pt x="23444" y="0"/>
                              </a:lnTo>
                              <a:cubicBezTo>
                                <a:pt x="24448" y="12395"/>
                                <a:pt x="34315" y="22276"/>
                                <a:pt x="46711" y="23266"/>
                              </a:cubicBezTo>
                              <a:lnTo>
                                <a:pt x="46711" y="23444"/>
                              </a:lnTo>
                              <a:cubicBezTo>
                                <a:pt x="34315" y="24447"/>
                                <a:pt x="24448" y="34315"/>
                                <a:pt x="23444" y="46711"/>
                              </a:cubicBezTo>
                              <a:lnTo>
                                <a:pt x="23266" y="46711"/>
                              </a:lnTo>
                              <a:cubicBezTo>
                                <a:pt x="22276" y="34315"/>
                                <a:pt x="12395" y="24447"/>
                                <a:pt x="0" y="23444"/>
                              </a:cubicBezTo>
                              <a:lnTo>
                                <a:pt x="0" y="23266"/>
                              </a:lnTo>
                              <a:cubicBezTo>
                                <a:pt x="12395" y="22276"/>
                                <a:pt x="22276" y="12395"/>
                                <a:pt x="232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CCCC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2" name="Shape 25592"/>
                      <wps:cNvSpPr/>
                      <wps:spPr>
                        <a:xfrm>
                          <a:off x="3242833" y="55565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99" y="0"/>
                              </a:moveTo>
                              <a:lnTo>
                                <a:pt x="21196" y="21184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25629" y="25616"/>
                              </a:lnTo>
                              <a:lnTo>
                                <a:pt x="25629" y="25629"/>
                              </a:lnTo>
                              <a:lnTo>
                                <a:pt x="25603" y="25629"/>
                              </a:lnTo>
                              <a:lnTo>
                                <a:pt x="0" y="33287"/>
                              </a:lnTo>
                              <a:lnTo>
                                <a:pt x="7671" y="7684"/>
                              </a:lnTo>
                              <a:lnTo>
                                <a:pt x="7658" y="7684"/>
                              </a:lnTo>
                              <a:lnTo>
                                <a:pt x="7671" y="7671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12103" y="12090"/>
                              </a:lnTo>
                              <a:lnTo>
                                <a:pt x="332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3" name="Shape 25593"/>
                      <wps:cNvSpPr/>
                      <wps:spPr>
                        <a:xfrm>
                          <a:off x="3212139" y="34307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700" y="0"/>
                              </a:moveTo>
                              <a:lnTo>
                                <a:pt x="12700" y="13"/>
                              </a:lnTo>
                              <a:lnTo>
                                <a:pt x="19139" y="23546"/>
                              </a:lnTo>
                              <a:lnTo>
                                <a:pt x="25387" y="23546"/>
                              </a:lnTo>
                              <a:lnTo>
                                <a:pt x="25375" y="23571"/>
                              </a:lnTo>
                              <a:lnTo>
                                <a:pt x="12700" y="47092"/>
                              </a:lnTo>
                              <a:lnTo>
                                <a:pt x="13" y="23571"/>
                              </a:lnTo>
                              <a:lnTo>
                                <a:pt x="0" y="23546"/>
                              </a:lnTo>
                              <a:lnTo>
                                <a:pt x="6261" y="23546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4" name="Shape 25594"/>
                      <wps:cNvSpPr/>
                      <wps:spPr>
                        <a:xfrm>
                          <a:off x="3212141" y="132309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687" y="0"/>
                              </a:moveTo>
                              <a:lnTo>
                                <a:pt x="15532" y="5271"/>
                              </a:lnTo>
                              <a:lnTo>
                                <a:pt x="25374" y="23520"/>
                              </a:lnTo>
                              <a:lnTo>
                                <a:pt x="25387" y="23520"/>
                              </a:lnTo>
                              <a:lnTo>
                                <a:pt x="25387" y="23546"/>
                              </a:lnTo>
                              <a:lnTo>
                                <a:pt x="19126" y="23546"/>
                              </a:lnTo>
                              <a:lnTo>
                                <a:pt x="12687" y="47092"/>
                              </a:lnTo>
                              <a:lnTo>
                                <a:pt x="6248" y="23546"/>
                              </a:lnTo>
                              <a:lnTo>
                                <a:pt x="0" y="23546"/>
                              </a:lnTo>
                              <a:lnTo>
                                <a:pt x="0" y="23533"/>
                              </a:lnTo>
                              <a:lnTo>
                                <a:pt x="12" y="23520"/>
                              </a:lnTo>
                              <a:lnTo>
                                <a:pt x="126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5" name="Shape 25595"/>
                      <wps:cNvSpPr/>
                      <wps:spPr>
                        <a:xfrm>
                          <a:off x="3173537" y="5556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21196" y="12090"/>
                              </a:lnTo>
                              <a:lnTo>
                                <a:pt x="21184" y="12116"/>
                              </a:lnTo>
                              <a:lnTo>
                                <a:pt x="25629" y="7671"/>
                              </a:lnTo>
                              <a:lnTo>
                                <a:pt x="25629" y="7696"/>
                              </a:lnTo>
                              <a:lnTo>
                                <a:pt x="33300" y="33299"/>
                              </a:lnTo>
                              <a:lnTo>
                                <a:pt x="28207" y="31775"/>
                              </a:lnTo>
                              <a:lnTo>
                                <a:pt x="7696" y="25629"/>
                              </a:lnTo>
                              <a:lnTo>
                                <a:pt x="7671" y="25629"/>
                              </a:lnTo>
                              <a:lnTo>
                                <a:pt x="12116" y="21184"/>
                              </a:lnTo>
                              <a:lnTo>
                                <a:pt x="12103" y="21196"/>
                              </a:lnTo>
                              <a:lnTo>
                                <a:pt x="1994" y="34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6" name="Shape 25596"/>
                      <wps:cNvSpPr/>
                      <wps:spPr>
                        <a:xfrm>
                          <a:off x="3152289" y="94151"/>
                          <a:ext cx="47091" cy="25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1" h="25400">
                              <a:moveTo>
                                <a:pt x="23545" y="0"/>
                              </a:moveTo>
                              <a:lnTo>
                                <a:pt x="23571" y="25"/>
                              </a:lnTo>
                              <a:lnTo>
                                <a:pt x="47091" y="12700"/>
                              </a:lnTo>
                              <a:lnTo>
                                <a:pt x="31724" y="20993"/>
                              </a:lnTo>
                              <a:lnTo>
                                <a:pt x="23571" y="25387"/>
                              </a:lnTo>
                              <a:lnTo>
                                <a:pt x="23545" y="25400"/>
                              </a:lnTo>
                              <a:lnTo>
                                <a:pt x="23545" y="19139"/>
                              </a:lnTo>
                              <a:lnTo>
                                <a:pt x="0" y="12700"/>
                              </a:lnTo>
                              <a:lnTo>
                                <a:pt x="23545" y="6261"/>
                              </a:lnTo>
                              <a:lnTo>
                                <a:pt x="235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7" name="Shape 25597"/>
                      <wps:cNvSpPr/>
                      <wps:spPr>
                        <a:xfrm>
                          <a:off x="3173542" y="124859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87" y="0"/>
                              </a:moveTo>
                              <a:lnTo>
                                <a:pt x="33299" y="0"/>
                              </a:lnTo>
                              <a:lnTo>
                                <a:pt x="25628" y="25590"/>
                              </a:lnTo>
                              <a:lnTo>
                                <a:pt x="25628" y="25616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10706" y="27178"/>
                              </a:lnTo>
                              <a:lnTo>
                                <a:pt x="0" y="33287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7670" y="7658"/>
                              </a:lnTo>
                              <a:lnTo>
                                <a:pt x="7696" y="7658"/>
                              </a:lnTo>
                              <a:lnTo>
                                <a:pt x="332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8" name="Shape 25598"/>
                      <wps:cNvSpPr/>
                      <wps:spPr>
                        <a:xfrm>
                          <a:off x="3250283" y="94159"/>
                          <a:ext cx="47092" cy="25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2" h="25387">
                              <a:moveTo>
                                <a:pt x="23533" y="0"/>
                              </a:moveTo>
                              <a:lnTo>
                                <a:pt x="23546" y="0"/>
                              </a:lnTo>
                              <a:lnTo>
                                <a:pt x="23546" y="6261"/>
                              </a:lnTo>
                              <a:lnTo>
                                <a:pt x="44793" y="12065"/>
                              </a:lnTo>
                              <a:lnTo>
                                <a:pt x="47092" y="12687"/>
                              </a:lnTo>
                              <a:lnTo>
                                <a:pt x="47092" y="12700"/>
                              </a:lnTo>
                              <a:lnTo>
                                <a:pt x="23546" y="19126"/>
                              </a:lnTo>
                              <a:lnTo>
                                <a:pt x="23546" y="25387"/>
                              </a:lnTo>
                              <a:lnTo>
                                <a:pt x="23533" y="25387"/>
                              </a:lnTo>
                              <a:lnTo>
                                <a:pt x="23533" y="25375"/>
                              </a:lnTo>
                              <a:lnTo>
                                <a:pt x="0" y="12700"/>
                              </a:lnTo>
                              <a:lnTo>
                                <a:pt x="13" y="12700"/>
                              </a:lnTo>
                              <a:lnTo>
                                <a:pt x="9208" y="7734"/>
                              </a:lnTo>
                              <a:lnTo>
                                <a:pt x="23521" y="13"/>
                              </a:lnTo>
                              <a:lnTo>
                                <a:pt x="235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99" name="Shape 25599"/>
                      <wps:cNvSpPr/>
                      <wps:spPr>
                        <a:xfrm>
                          <a:off x="3242824" y="12485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25603" y="7671"/>
                              </a:lnTo>
                              <a:lnTo>
                                <a:pt x="25629" y="7671"/>
                              </a:lnTo>
                              <a:lnTo>
                                <a:pt x="21209" y="12103"/>
                              </a:lnTo>
                              <a:lnTo>
                                <a:pt x="33300" y="33287"/>
                              </a:lnTo>
                              <a:lnTo>
                                <a:pt x="33300" y="33299"/>
                              </a:lnTo>
                              <a:lnTo>
                                <a:pt x="22746" y="27280"/>
                              </a:lnTo>
                              <a:lnTo>
                                <a:pt x="12103" y="21209"/>
                              </a:lnTo>
                              <a:lnTo>
                                <a:pt x="12116" y="21196"/>
                              </a:lnTo>
                              <a:lnTo>
                                <a:pt x="12103" y="21196"/>
                              </a:lnTo>
                              <a:lnTo>
                                <a:pt x="7671" y="25629"/>
                              </a:lnTo>
                              <a:lnTo>
                                <a:pt x="7671" y="256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5580" o:spid="_x0000_s1026" style="position:absolute;left:0;text-align:left;margin-left:42.5pt;margin-top:29.2pt;width:320.3pt;height:24.7pt;z-index:251658240;mso-position-horizontal-relative:page;mso-position-vertical-relative:page" coordsize="40680,3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">
              <v:shape id="Shape 25581" o:spid="_x0000_s1027" style="position:absolute;top:3134;width:40680;height:0;visibility:visible;mso-wrap-style:square;v-text-anchor:top" coordsize="40680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" path="m,l4068001,e" filled="f" strokeweight=".5pt">
                <v:stroke miterlimit="1" joinstyle="miter"/>
                <v:path arrowok="t" textboxrect="0,0,4068001,0"/>
              </v:shape>
              <v:rect id="Rectangle 25600" o:spid="_x0000_s1028" style="position:absolute;width:3822;height:2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" filled="f" stroked="f">
                <v:textbox inset="0,0,0,0">
                  <w:txbxContent>
                    <w:p w:rsidR="007129B6" w:rsidRDefault="00C5737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Pr="00C57378">
                        <w:rPr>
                          <w:noProof/>
                          <w:sz w:val="28"/>
                        </w:rPr>
                        <w:t>356</w:t>
                      </w:r>
                      <w:r>
                        <w:rPr>
                          <w:sz w:val="28"/>
                        </w:rPr>
                        <w:fldChar w:fldCharType="end"/>
                      </w:r>
                    </w:p>
                  </w:txbxContent>
                </v:textbox>
              </v:rect>
              <v:rect id="Rectangle 25601" o:spid="_x0000_s1029" style="position:absolute;left:17578;top:861;width:17010;height:1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" filled="f" stroked="f">
                <v:textbox inset="0,0,0,0">
                  <w:txbxContent>
                    <w:p w:rsidR="007129B6" w:rsidRDefault="00C5737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Практические</w:t>
                      </w:r>
                      <w:r>
                        <w:rPr>
                          <w:spacing w:val="22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рекомендации</w:t>
                      </w:r>
                    </w:p>
                  </w:txbxContent>
                </v:textbox>
              </v:rect>
              <v:shape id="Shape 25582" o:spid="_x0000_s1030" style="position:absolute;left:33769;top:404;width:379;height:1301;visibility:visible;mso-wrap-style:square;v-text-anchor:top" coordsize="37884,13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" path="m,l33401,r4483,624l37884,9205,31305,8395r-21183,l10122,59360r21564,l37884,57682r,12396l27674,67754r-17552,l10122,130150,,130150,,xe" fillcolor="black" stroked="f" strokeweight="0">
                <v:stroke miterlimit="83231f" joinstyle="miter"/>
                <v:path arrowok="t" textboxrect="0,0,37884,130150"/>
              </v:shape>
              <v:shape id="Shape 25583" o:spid="_x0000_s1031" style="position:absolute;left:34148;top:410;width:606;height:1295;visibility:visible;mso-wrap-style:square;v-text-anchor:top" coordsize="60592,129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" path="m,l15699,2184c32310,7562,38646,19947,38646,32968v,15075,-8204,25578,-24803,31686c19939,67893,25095,75335,31204,84492r29388,45034l48768,129526,26048,93852c18224,81539,13071,74859,7919,71257l,69455,,57058,19369,51815v5628,-4439,8393,-10833,8393,-18657c27762,22138,21861,13368,8849,9672l,8581,,xe" fillcolor="black" stroked="f" strokeweight="0">
                <v:stroke miterlimit="83231f" joinstyle="miter"/>
                <v:path arrowok="t" textboxrect="0,0,60592,129526"/>
              </v:shape>
              <v:shape id="Shape 25584" o:spid="_x0000_s1032" style="position:absolute;left:34834;top:404;width:1089;height:1318;visibility:visible;mso-wrap-style:square;v-text-anchor:top" coordsize="108966,13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" path="m,l10122,r,72898c10122,107061,31102,122530,54381,122530v22149,,44476,-13945,44476,-50965l98857,r10109,l108966,70993v,44666,-28055,60871,-54585,60871c25006,131864,,112408,,73279l,xe" fillcolor="black" stroked="f" strokeweight="0">
                <v:stroke miterlimit="83231f" joinstyle="miter"/>
                <v:path arrowok="t" textboxrect="0,0,108966,131864"/>
              </v:shape>
              <v:shape id="Shape 25585" o:spid="_x0000_s1033" style="position:absolute;left:36142;top:386;width:729;height:1336;visibility:visible;mso-wrap-style:square;v-text-anchor:top" coordsize="72898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" path="m37402,c47511,,57442,2680,67551,8204r,11075c54204,11646,47333,9360,38354,9360v-15646,,-27483,10681,-27483,24803c10871,68885,72898,52286,72898,97892v,20040,-16599,35687,-37795,35687c24435,133579,13157,129756,1715,122136r,-11836c16231,120802,24435,124244,34531,124244v15469,,27483,-11277,27483,-25971c62014,61252,,77483,,34531,,15265,16789,,37402,xe" fillcolor="black" stroked="f" strokeweight="0">
                <v:stroke miterlimit="83231f" joinstyle="miter"/>
                <v:path arrowok="t" textboxrect="0,0,72898,133579"/>
              </v:shape>
              <v:shape id="Shape 25586" o:spid="_x0000_s1034" style="position:absolute;left:37105;top:386;width:729;height:1336;visibility:visible;mso-wrap-style:square;v-text-anchor:top" coordsize="72898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" path="m37402,c47511,,57442,2680,67551,8204r,11075c54191,11646,47333,9360,38354,9360v-15646,,-27483,10681,-27483,24803c10871,68885,72898,52286,72898,97892v,20040,-16612,35687,-37795,35687c24422,133579,13157,129756,1715,122136r,-11836c16218,120802,24422,124244,34544,124244v15456,,27483,-11277,27483,-25971c62027,61252,,77483,,34531,,15265,16789,,37402,xe" fillcolor="black" stroked="f" strokeweight="0">
                <v:stroke miterlimit="83231f" joinstyle="miter"/>
                <v:path arrowok="t" textboxrect="0,0,72898,133579"/>
              </v:shape>
              <v:shape id="Shape 25587" o:spid="_x0000_s1035" style="position:absolute;left:38006;top:386;width:1155;height:1336;visibility:visible;mso-wrap-style:square;v-text-anchor:top" coordsize="115443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" path="m68313,v14504,,29959,3619,45796,10884l114109,21946c97891,13360,83198,9360,67742,9360v-32436,,-56871,24612,-56871,57633c10871,100571,35115,124244,69075,124244v14694,,28626,-4026,46368,-13360l115443,121374v-15075,8001,-31102,12205,-46177,12205c29578,133579,,105143,,66993,,27102,32626,,68313,xe" fillcolor="black" stroked="f" strokeweight="0">
                <v:stroke miterlimit="83231f" joinstyle="miter"/>
                <v:path arrowok="t" textboxrect="0,0,115443,133579"/>
              </v:shape>
              <v:shape id="Shape 25588" o:spid="_x0000_s1036" style="position:absolute;left:39302;top:386;width:689;height:1336;visibility:visible;mso-wrap-style:square;v-text-anchor:top" coordsize="68891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" path="m68694,r197,38l68891,9395,46217,13772c25259,22322,10871,42462,10871,66789v,24337,14388,44480,35346,53030l68891,124196r,9345l68694,133579c30150,133579,,104191,,66789,,29388,30150,,68694,xe" fillcolor="black" stroked="f" strokeweight="0">
                <v:stroke miterlimit="83231f" joinstyle="miter"/>
                <v:path arrowok="t" textboxrect="0,0,68891,133579"/>
              </v:shape>
              <v:shape id="Shape 25589" o:spid="_x0000_s1037" style="position:absolute;left:39991;top:387;width:689;height:1335;visibility:visible;mso-wrap-style:square;v-text-anchor:top" coordsize="68891,133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" path="m,l26939,5139c51817,15157,68891,38701,68891,66752v,28051,-17074,51594,-41952,61613l,133503r,-9345l184,124194v32639,,57836,-24994,57836,-57442c58020,34316,32823,9322,184,9322l,9358,,xe" fillcolor="black" stroked="f" strokeweight="0">
                <v:stroke miterlimit="83231f" joinstyle="miter"/>
                <v:path arrowok="t" textboxrect="0,0,68891,133503"/>
              </v:shape>
              <v:shape id="Shape 25590" o:spid="_x0000_s1038" style="position:absolute;left:31357;top:163;width:1782;height:1783;visibility:visible;mso-wrap-style:square;v-text-anchor:top" coordsize="178257,17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" path="m89129,v49225,,89128,39903,89128,89141c178257,138354,138354,178257,89129,178257,39903,178257,,138354,,89141,,39903,39903,,89129,xe" filled="f" strokeweight=".92pt">
                <v:stroke miterlimit="83231f" joinstyle="miter"/>
                <v:path arrowok="t" textboxrect="0,0,178257,178257"/>
              </v:shape>
              <v:shape id="Shape 25591" o:spid="_x0000_s1039" style="position:absolute;left:32014;top:834;width:467;height:468;visibility:visible;mso-wrap-style:square;v-text-anchor:top" coordsize="46711,4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" path="m23266,r178,c24448,12395,34315,22276,46711,23266r,178c34315,24447,24448,34315,23444,46711r-178,c22276,34315,12395,24447,,23444r,-178c12395,22276,22276,12395,23266,xe" fillcolor="#cccccb" stroked="f" strokeweight="0">
                <v:stroke miterlimit="83231f" joinstyle="miter"/>
                <v:path arrowok="t" textboxrect="0,0,46711,46711"/>
              </v:shape>
              <v:shape id="Shape 25592" o:spid="_x0000_s1040" style="position:absolute;left:32428;top:555;width:333;height:333;visibility:visible;mso-wrap-style:square;v-text-anchor:top" coordsize="33299,33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" path="m33299,l21196,21184r-12,l21196,21196r4433,4420l25629,25629r-26,l,33287,7671,7684r-13,l7671,7671r4419,4419l12116,12103r-13,-13l33299,xe" fillcolor="black" stroked="f" strokeweight="0">
                <v:stroke miterlimit="83231f" joinstyle="miter"/>
                <v:path arrowok="t" textboxrect="0,0,33299,33287"/>
              </v:shape>
              <v:shape id="Shape 25593" o:spid="_x0000_s1041" style="position:absolute;left:32121;top:343;width:254;height:470;visibility:visible;mso-wrap-style:square;v-text-anchor:top" coordsize="25387,47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" path="m12700,r,13l19139,23546r6248,l25375,23571,12700,47092,13,23571,,23546r6261,l12700,xe" fillcolor="black" stroked="f" strokeweight="0">
                <v:stroke miterlimit="83231f" joinstyle="miter"/>
                <v:path arrowok="t" textboxrect="0,0,25387,47092"/>
              </v:shape>
              <v:shape id="Shape 25594" o:spid="_x0000_s1042" style="position:absolute;left:32121;top:1323;width:254;height:471;visibility:visible;mso-wrap-style:square;v-text-anchor:top" coordsize="25387,47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" path="m12687,r2845,5271l25374,23520r13,l25387,23546r-6261,l12687,47092,6248,23546,,23546r,-13l12,23520,12687,xe" fillcolor="black" stroked="f" strokeweight="0">
                <v:stroke miterlimit="83231f" joinstyle="miter"/>
                <v:path arrowok="t" textboxrect="0,0,25387,47092"/>
              </v:shape>
              <v:shape id="Shape 25595" o:spid="_x0000_s1043" style="position:absolute;left:31735;top:555;width:333;height:333;visibility:visible;mso-wrap-style:square;v-text-anchor:top" coordsize="33300,3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" path="m,l13,,21196,12090r-12,26l25629,7671r,25l33300,33299,28207,31775,7696,25629r-25,l12116,21184r-13,12l1994,3493,,xe" fillcolor="black" stroked="f" strokeweight="0">
                <v:stroke miterlimit="83231f" joinstyle="miter"/>
                <v:path arrowok="t" textboxrect="0,0,33300,33299"/>
              </v:shape>
              <v:shape id="Shape 25596" o:spid="_x0000_s1044" style="position:absolute;left:31522;top:941;width:471;height:254;visibility:visible;mso-wrap-style:square;v-text-anchor:top" coordsize="47091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" path="m23545,r26,25l47091,12700,31724,20993r-8153,4394l23545,25400r,-6261l,12700,23545,6261,23545,xe" fillcolor="black" stroked="f" strokeweight="0">
                <v:stroke miterlimit="83231f" joinstyle="miter"/>
                <v:path arrowok="t" textboxrect="0,0,47091,25400"/>
              </v:shape>
              <v:shape id="Shape 25597" o:spid="_x0000_s1045" style="position:absolute;left:31735;top:1248;width:333;height:333;visibility:visible;mso-wrap-style:square;v-text-anchor:top" coordsize="33299,33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" path="m33287,r12,l25628,25590r,26l21184,21184r12,12l10706,27178,,33287,12090,12090r26,13l7670,7658r26,l33287,xe" fillcolor="black" stroked="f" strokeweight="0">
                <v:stroke miterlimit="83231f" joinstyle="miter"/>
                <v:path arrowok="t" textboxrect="0,0,33299,33287"/>
              </v:shape>
              <v:shape id="Shape 25598" o:spid="_x0000_s1046" style="position:absolute;left:32502;top:941;width:471;height:254;visibility:visible;mso-wrap-style:square;v-text-anchor:top" coordsize="47092,2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" path="m23533,r13,l23546,6261r21247,5804l47092,12687r,13l23546,19126r,6261l23533,25387r,-12l,12700r13,l9208,7734,23521,13,23533,xe" fillcolor="black" stroked="f" strokeweight="0">
                <v:stroke miterlimit="83231f" joinstyle="miter"/>
                <v:path arrowok="t" textboxrect="0,0,47092,25387"/>
              </v:shape>
              <v:shape id="Shape 25599" o:spid="_x0000_s1047" style="position:absolute;left:32428;top:1248;width:333;height:333;visibility:visible;mso-wrap-style:square;v-text-anchor:top" coordsize="33300,3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" path="m,l25603,7671r26,l21209,12103,33300,33287r,12l22746,27280,12103,21209r13,-13l12103,21196,7671,25629r,-26l,xe" fillcolor="black" stroked="f" strokeweight="0">
                <v:stroke miterlimit="83231f" joinstyle="miter"/>
                <v:path arrowok="t" textboxrect="0,0,33300,33299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9B6" w:rsidRDefault="00C57378">
    <w:pPr>
      <w:tabs>
        <w:tab w:val="center" w:pos="715"/>
        <w:tab w:val="right" w:pos="6691"/>
      </w:tabs>
      <w:spacing w:after="0" w:line="259" w:lineRule="auto"/>
      <w:ind w:left="0" w:right="-281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720000</wp:posOffset>
              </wp:positionH>
              <wp:positionV relativeFrom="page">
                <wp:posOffset>684004</wp:posOffset>
              </wp:positionV>
              <wp:extent cx="4068001" cy="6350"/>
              <wp:effectExtent l="0" t="0" r="0" b="0"/>
              <wp:wrapSquare wrapText="bothSides"/>
              <wp:docPr id="25558" name="Group 255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68001" cy="6350"/>
                        <a:chOff x="0" y="0"/>
                        <a:chExt cx="4068001" cy="6350"/>
                      </a:xfrm>
                    </wpg:grpSpPr>
                    <wps:wsp>
                      <wps:cNvPr id="25559" name="Shape 25559"/>
                      <wps:cNvSpPr/>
                      <wps:spPr>
                        <a:xfrm>
                          <a:off x="0" y="0"/>
                          <a:ext cx="4068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8001">
                              <a:moveTo>
                                <a:pt x="0" y="0"/>
                              </a:moveTo>
                              <a:lnTo>
                                <a:pt x="4068001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558" style="width:320.315pt;height:0.5pt;position:absolute;mso-position-horizontal-relative:page;mso-position-horizontal:absolute;margin-left:56.6929pt;mso-position-vertical-relative:page;margin-top:53.8586pt;" coordsize="40680,63">
              <v:shape id="Shape 25559" style="position:absolute;width:40680;height:0;left:0;top:0;" coordsize="4068001,0" path="m0,0l4068001,0">
                <v:stroke weight="0.5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2"/>
      </w:rPr>
      <w:tab/>
    </w:r>
    <w:r>
      <w:rPr>
        <w:sz w:val="14"/>
      </w:rPr>
      <w:t>Версия 2023</w:t>
    </w:r>
    <w:r>
      <w:rPr>
        <w:sz w:val="14"/>
      </w:rPr>
      <w:tab/>
    </w:r>
    <w:r>
      <w:rPr>
        <w:b/>
      </w:rPr>
      <w:t xml:space="preserve">САРКОМЫ МЯГКИХ ТКАНЕЙ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357</w:t>
    </w:r>
    <w:r>
      <w:rPr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9B6" w:rsidRDefault="00C57378">
    <w:pPr>
      <w:spacing w:after="0" w:line="259" w:lineRule="auto"/>
      <w:ind w:left="-849" w:right="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370562</wp:posOffset>
              </wp:positionV>
              <wp:extent cx="4068002" cy="313442"/>
              <wp:effectExtent l="0" t="0" r="0" b="0"/>
              <wp:wrapSquare wrapText="bothSides"/>
              <wp:docPr id="25510" name="Group 255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68002" cy="313442"/>
                        <a:chOff x="0" y="0"/>
                        <a:chExt cx="4068002" cy="313442"/>
                      </a:xfrm>
                    </wpg:grpSpPr>
                    <wps:wsp>
                      <wps:cNvPr id="25511" name="Shape 25511"/>
                      <wps:cNvSpPr/>
                      <wps:spPr>
                        <a:xfrm>
                          <a:off x="0" y="313442"/>
                          <a:ext cx="4068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8001">
                              <a:moveTo>
                                <a:pt x="0" y="0"/>
                              </a:moveTo>
                              <a:lnTo>
                                <a:pt x="4068001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30" name="Rectangle 25530"/>
                      <wps:cNvSpPr/>
                      <wps:spPr>
                        <a:xfrm>
                          <a:off x="0" y="0"/>
                          <a:ext cx="382237" cy="282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129B6" w:rsidRDefault="00C5737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8"/>
                              </w:rPr>
                              <w:t>356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5531" name="Rectangle 25531"/>
                      <wps:cNvSpPr/>
                      <wps:spPr>
                        <a:xfrm>
                          <a:off x="1757862" y="86165"/>
                          <a:ext cx="1700957" cy="1411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129B6" w:rsidRDefault="00C5737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5512" name="Shape 25512"/>
                      <wps:cNvSpPr/>
                      <wps:spPr>
                        <a:xfrm>
                          <a:off x="3376957" y="40400"/>
                          <a:ext cx="37884" cy="130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84" h="130150">
                              <a:moveTo>
                                <a:pt x="0" y="0"/>
                              </a:moveTo>
                              <a:lnTo>
                                <a:pt x="33401" y="0"/>
                              </a:lnTo>
                              <a:lnTo>
                                <a:pt x="37884" y="624"/>
                              </a:lnTo>
                              <a:lnTo>
                                <a:pt x="37884" y="9205"/>
                              </a:lnTo>
                              <a:lnTo>
                                <a:pt x="31305" y="8395"/>
                              </a:lnTo>
                              <a:lnTo>
                                <a:pt x="10122" y="8395"/>
                              </a:lnTo>
                              <a:lnTo>
                                <a:pt x="10122" y="59360"/>
                              </a:lnTo>
                              <a:lnTo>
                                <a:pt x="31686" y="59360"/>
                              </a:lnTo>
                              <a:lnTo>
                                <a:pt x="37884" y="57682"/>
                              </a:lnTo>
                              <a:lnTo>
                                <a:pt x="37884" y="70078"/>
                              </a:lnTo>
                              <a:lnTo>
                                <a:pt x="27674" y="67754"/>
                              </a:lnTo>
                              <a:lnTo>
                                <a:pt x="10122" y="67754"/>
                              </a:lnTo>
                              <a:lnTo>
                                <a:pt x="10122" y="130150"/>
                              </a:lnTo>
                              <a:lnTo>
                                <a:pt x="0" y="1301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13" name="Shape 25513"/>
                      <wps:cNvSpPr/>
                      <wps:spPr>
                        <a:xfrm>
                          <a:off x="3414841" y="41023"/>
                          <a:ext cx="60592" cy="1295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92" h="129526">
                              <a:moveTo>
                                <a:pt x="0" y="0"/>
                              </a:moveTo>
                              <a:lnTo>
                                <a:pt x="15699" y="2184"/>
                              </a:lnTo>
                              <a:cubicBezTo>
                                <a:pt x="32310" y="7562"/>
                                <a:pt x="38646" y="19947"/>
                                <a:pt x="38646" y="32968"/>
                              </a:cubicBezTo>
                              <a:cubicBezTo>
                                <a:pt x="38646" y="48043"/>
                                <a:pt x="30442" y="58546"/>
                                <a:pt x="13843" y="64654"/>
                              </a:cubicBezTo>
                              <a:cubicBezTo>
                                <a:pt x="19939" y="67893"/>
                                <a:pt x="25095" y="75335"/>
                                <a:pt x="31204" y="84492"/>
                              </a:cubicBezTo>
                              <a:lnTo>
                                <a:pt x="60592" y="129526"/>
                              </a:lnTo>
                              <a:lnTo>
                                <a:pt x="48768" y="129526"/>
                              </a:lnTo>
                              <a:lnTo>
                                <a:pt x="26048" y="93852"/>
                              </a:lnTo>
                              <a:cubicBezTo>
                                <a:pt x="18224" y="81539"/>
                                <a:pt x="13071" y="74859"/>
                                <a:pt x="7919" y="71257"/>
                              </a:cubicBezTo>
                              <a:lnTo>
                                <a:pt x="0" y="69455"/>
                              </a:lnTo>
                              <a:lnTo>
                                <a:pt x="0" y="57058"/>
                              </a:lnTo>
                              <a:lnTo>
                                <a:pt x="19369" y="51815"/>
                              </a:lnTo>
                              <a:cubicBezTo>
                                <a:pt x="24997" y="47376"/>
                                <a:pt x="27762" y="40982"/>
                                <a:pt x="27762" y="33158"/>
                              </a:cubicBezTo>
                              <a:cubicBezTo>
                                <a:pt x="27762" y="22138"/>
                                <a:pt x="21861" y="13368"/>
                                <a:pt x="8849" y="9672"/>
                              </a:cubicBezTo>
                              <a:lnTo>
                                <a:pt x="0" y="85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14" name="Shape 25514"/>
                      <wps:cNvSpPr/>
                      <wps:spPr>
                        <a:xfrm>
                          <a:off x="3483432" y="40400"/>
                          <a:ext cx="108966" cy="131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66" h="131864">
                              <a:moveTo>
                                <a:pt x="0" y="0"/>
                              </a:moveTo>
                              <a:lnTo>
                                <a:pt x="10122" y="0"/>
                              </a:lnTo>
                              <a:lnTo>
                                <a:pt x="10122" y="72898"/>
                              </a:lnTo>
                              <a:cubicBezTo>
                                <a:pt x="10122" y="107061"/>
                                <a:pt x="31102" y="122530"/>
                                <a:pt x="54381" y="122530"/>
                              </a:cubicBezTo>
                              <a:cubicBezTo>
                                <a:pt x="76530" y="122530"/>
                                <a:pt x="98857" y="108585"/>
                                <a:pt x="98857" y="71565"/>
                              </a:cubicBezTo>
                              <a:lnTo>
                                <a:pt x="98857" y="0"/>
                              </a:lnTo>
                              <a:lnTo>
                                <a:pt x="108966" y="0"/>
                              </a:lnTo>
                              <a:lnTo>
                                <a:pt x="108966" y="70993"/>
                              </a:lnTo>
                              <a:cubicBezTo>
                                <a:pt x="108966" y="115659"/>
                                <a:pt x="80911" y="131864"/>
                                <a:pt x="54381" y="131864"/>
                              </a:cubicBezTo>
                              <a:cubicBezTo>
                                <a:pt x="25006" y="131864"/>
                                <a:pt x="0" y="112408"/>
                                <a:pt x="0" y="7327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15" name="Shape 25515"/>
                      <wps:cNvSpPr/>
                      <wps:spPr>
                        <a:xfrm>
                          <a:off x="3614269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204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99" y="133579"/>
                                <a:pt x="35103" y="133579"/>
                              </a:cubicBezTo>
                              <a:cubicBezTo>
                                <a:pt x="24435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31" y="120802"/>
                                <a:pt x="24435" y="124244"/>
                                <a:pt x="34531" y="124244"/>
                              </a:cubicBezTo>
                              <a:cubicBezTo>
                                <a:pt x="50000" y="124244"/>
                                <a:pt x="62014" y="112967"/>
                                <a:pt x="62014" y="98273"/>
                              </a:cubicBezTo>
                              <a:cubicBezTo>
                                <a:pt x="62014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16" name="Shape 25516"/>
                      <wps:cNvSpPr/>
                      <wps:spPr>
                        <a:xfrm>
                          <a:off x="3710594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191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86" y="133579"/>
                                <a:pt x="35103" y="133579"/>
                              </a:cubicBezTo>
                              <a:cubicBezTo>
                                <a:pt x="24422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18" y="120802"/>
                                <a:pt x="24422" y="124244"/>
                                <a:pt x="34544" y="124244"/>
                              </a:cubicBezTo>
                              <a:cubicBezTo>
                                <a:pt x="50000" y="124244"/>
                                <a:pt x="62027" y="112967"/>
                                <a:pt x="62027" y="98273"/>
                              </a:cubicBezTo>
                              <a:cubicBezTo>
                                <a:pt x="62027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17" name="Shape 25517"/>
                      <wps:cNvSpPr/>
                      <wps:spPr>
                        <a:xfrm>
                          <a:off x="3800660" y="38686"/>
                          <a:ext cx="115443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443" h="133579">
                              <a:moveTo>
                                <a:pt x="68313" y="0"/>
                              </a:moveTo>
                              <a:cubicBezTo>
                                <a:pt x="82817" y="0"/>
                                <a:pt x="98272" y="3619"/>
                                <a:pt x="114109" y="10884"/>
                              </a:cubicBezTo>
                              <a:lnTo>
                                <a:pt x="114109" y="21946"/>
                              </a:lnTo>
                              <a:cubicBezTo>
                                <a:pt x="97891" y="13360"/>
                                <a:pt x="83198" y="9360"/>
                                <a:pt x="67742" y="9360"/>
                              </a:cubicBezTo>
                              <a:cubicBezTo>
                                <a:pt x="35306" y="9360"/>
                                <a:pt x="10871" y="33972"/>
                                <a:pt x="10871" y="66993"/>
                              </a:cubicBezTo>
                              <a:cubicBezTo>
                                <a:pt x="10871" y="100571"/>
                                <a:pt x="35115" y="124244"/>
                                <a:pt x="69075" y="124244"/>
                              </a:cubicBezTo>
                              <a:cubicBezTo>
                                <a:pt x="83769" y="124244"/>
                                <a:pt x="97701" y="120218"/>
                                <a:pt x="115443" y="110884"/>
                              </a:cubicBezTo>
                              <a:lnTo>
                                <a:pt x="115443" y="121374"/>
                              </a:lnTo>
                              <a:cubicBezTo>
                                <a:pt x="100368" y="129375"/>
                                <a:pt x="84341" y="133579"/>
                                <a:pt x="69266" y="133579"/>
                              </a:cubicBezTo>
                              <a:cubicBezTo>
                                <a:pt x="29578" y="133579"/>
                                <a:pt x="0" y="105143"/>
                                <a:pt x="0" y="66993"/>
                              </a:cubicBezTo>
                              <a:cubicBezTo>
                                <a:pt x="0" y="27102"/>
                                <a:pt x="32626" y="0"/>
                                <a:pt x="683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18" name="Shape 25518"/>
                      <wps:cNvSpPr/>
                      <wps:spPr>
                        <a:xfrm>
                          <a:off x="3930220" y="38689"/>
                          <a:ext cx="68891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79">
                              <a:moveTo>
                                <a:pt x="68694" y="0"/>
                              </a:moveTo>
                              <a:lnTo>
                                <a:pt x="68891" y="38"/>
                              </a:lnTo>
                              <a:lnTo>
                                <a:pt x="68891" y="9395"/>
                              </a:lnTo>
                              <a:lnTo>
                                <a:pt x="46217" y="13772"/>
                              </a:lnTo>
                              <a:cubicBezTo>
                                <a:pt x="25259" y="22322"/>
                                <a:pt x="10871" y="42462"/>
                                <a:pt x="10871" y="66789"/>
                              </a:cubicBezTo>
                              <a:cubicBezTo>
                                <a:pt x="10871" y="91126"/>
                                <a:pt x="25259" y="111269"/>
                                <a:pt x="46217" y="119819"/>
                              </a:cubicBezTo>
                              <a:lnTo>
                                <a:pt x="68891" y="124196"/>
                              </a:lnTo>
                              <a:lnTo>
                                <a:pt x="68891" y="133541"/>
                              </a:lnTo>
                              <a:lnTo>
                                <a:pt x="68694" y="133579"/>
                              </a:lnTo>
                              <a:cubicBezTo>
                                <a:pt x="30150" y="133579"/>
                                <a:pt x="0" y="104191"/>
                                <a:pt x="0" y="66789"/>
                              </a:cubicBezTo>
                              <a:cubicBezTo>
                                <a:pt x="0" y="29388"/>
                                <a:pt x="30150" y="0"/>
                                <a:pt x="686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19" name="Shape 25519"/>
                      <wps:cNvSpPr/>
                      <wps:spPr>
                        <a:xfrm>
                          <a:off x="3999111" y="38727"/>
                          <a:ext cx="68891" cy="133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03">
                              <a:moveTo>
                                <a:pt x="0" y="0"/>
                              </a:moveTo>
                              <a:lnTo>
                                <a:pt x="26939" y="5139"/>
                              </a:lnTo>
                              <a:cubicBezTo>
                                <a:pt x="51817" y="15157"/>
                                <a:pt x="68891" y="38701"/>
                                <a:pt x="68891" y="66752"/>
                              </a:cubicBezTo>
                              <a:cubicBezTo>
                                <a:pt x="68891" y="94803"/>
                                <a:pt x="51817" y="118346"/>
                                <a:pt x="26939" y="128365"/>
                              </a:cubicBezTo>
                              <a:lnTo>
                                <a:pt x="0" y="133503"/>
                              </a:lnTo>
                              <a:lnTo>
                                <a:pt x="0" y="124158"/>
                              </a:lnTo>
                              <a:lnTo>
                                <a:pt x="184" y="124194"/>
                              </a:lnTo>
                              <a:cubicBezTo>
                                <a:pt x="32823" y="124194"/>
                                <a:pt x="58020" y="99200"/>
                                <a:pt x="58020" y="66752"/>
                              </a:cubicBezTo>
                              <a:cubicBezTo>
                                <a:pt x="58020" y="34316"/>
                                <a:pt x="32823" y="9322"/>
                                <a:pt x="184" y="9322"/>
                              </a:cubicBezTo>
                              <a:lnTo>
                                <a:pt x="0" y="9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0" name="Shape 25520"/>
                      <wps:cNvSpPr/>
                      <wps:spPr>
                        <a:xfrm>
                          <a:off x="3135701" y="16345"/>
                          <a:ext cx="178257" cy="178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57" h="178257">
                              <a:moveTo>
                                <a:pt x="89129" y="0"/>
                              </a:moveTo>
                              <a:cubicBezTo>
                                <a:pt x="138354" y="0"/>
                                <a:pt x="178257" y="39903"/>
                                <a:pt x="178257" y="89141"/>
                              </a:cubicBezTo>
                              <a:cubicBezTo>
                                <a:pt x="178257" y="138354"/>
                                <a:pt x="138354" y="178257"/>
                                <a:pt x="89129" y="178257"/>
                              </a:cubicBezTo>
                              <a:cubicBezTo>
                                <a:pt x="39903" y="178257"/>
                                <a:pt x="0" y="138354"/>
                                <a:pt x="0" y="89141"/>
                              </a:cubicBezTo>
                              <a:cubicBezTo>
                                <a:pt x="0" y="39903"/>
                                <a:pt x="39903" y="0"/>
                                <a:pt x="89129" y="0"/>
                              </a:cubicBezTo>
                              <a:close/>
                            </a:path>
                          </a:pathLst>
                        </a:custGeom>
                        <a:ln w="11684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1" name="Shape 25521"/>
                      <wps:cNvSpPr/>
                      <wps:spPr>
                        <a:xfrm>
                          <a:off x="3201478" y="83498"/>
                          <a:ext cx="46711" cy="4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46711">
                              <a:moveTo>
                                <a:pt x="23266" y="0"/>
                              </a:moveTo>
                              <a:lnTo>
                                <a:pt x="23444" y="0"/>
                              </a:lnTo>
                              <a:cubicBezTo>
                                <a:pt x="24448" y="12395"/>
                                <a:pt x="34315" y="22276"/>
                                <a:pt x="46711" y="23266"/>
                              </a:cubicBezTo>
                              <a:lnTo>
                                <a:pt x="46711" y="23444"/>
                              </a:lnTo>
                              <a:cubicBezTo>
                                <a:pt x="34315" y="24447"/>
                                <a:pt x="24448" y="34315"/>
                                <a:pt x="23444" y="46711"/>
                              </a:cubicBezTo>
                              <a:lnTo>
                                <a:pt x="23266" y="46711"/>
                              </a:lnTo>
                              <a:cubicBezTo>
                                <a:pt x="22276" y="34315"/>
                                <a:pt x="12395" y="24447"/>
                                <a:pt x="0" y="23444"/>
                              </a:cubicBezTo>
                              <a:lnTo>
                                <a:pt x="0" y="23266"/>
                              </a:lnTo>
                              <a:cubicBezTo>
                                <a:pt x="12395" y="22276"/>
                                <a:pt x="22276" y="12395"/>
                                <a:pt x="232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CCCC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2" name="Shape 25522"/>
                      <wps:cNvSpPr/>
                      <wps:spPr>
                        <a:xfrm>
                          <a:off x="3242833" y="55565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99" y="0"/>
                              </a:moveTo>
                              <a:lnTo>
                                <a:pt x="21196" y="21184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25629" y="25616"/>
                              </a:lnTo>
                              <a:lnTo>
                                <a:pt x="25629" y="25629"/>
                              </a:lnTo>
                              <a:lnTo>
                                <a:pt x="25603" y="25629"/>
                              </a:lnTo>
                              <a:lnTo>
                                <a:pt x="0" y="33287"/>
                              </a:lnTo>
                              <a:lnTo>
                                <a:pt x="7671" y="7684"/>
                              </a:lnTo>
                              <a:lnTo>
                                <a:pt x="7658" y="7684"/>
                              </a:lnTo>
                              <a:lnTo>
                                <a:pt x="7671" y="7671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12103" y="12090"/>
                              </a:lnTo>
                              <a:lnTo>
                                <a:pt x="332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3" name="Shape 25523"/>
                      <wps:cNvSpPr/>
                      <wps:spPr>
                        <a:xfrm>
                          <a:off x="3212139" y="34307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700" y="0"/>
                              </a:moveTo>
                              <a:lnTo>
                                <a:pt x="12700" y="13"/>
                              </a:lnTo>
                              <a:lnTo>
                                <a:pt x="19139" y="23546"/>
                              </a:lnTo>
                              <a:lnTo>
                                <a:pt x="25387" y="23546"/>
                              </a:lnTo>
                              <a:lnTo>
                                <a:pt x="25375" y="23571"/>
                              </a:lnTo>
                              <a:lnTo>
                                <a:pt x="12700" y="47092"/>
                              </a:lnTo>
                              <a:lnTo>
                                <a:pt x="13" y="23571"/>
                              </a:lnTo>
                              <a:lnTo>
                                <a:pt x="0" y="23546"/>
                              </a:lnTo>
                              <a:lnTo>
                                <a:pt x="6261" y="23546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4" name="Shape 25524"/>
                      <wps:cNvSpPr/>
                      <wps:spPr>
                        <a:xfrm>
                          <a:off x="3212141" y="132309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687" y="0"/>
                              </a:moveTo>
                              <a:lnTo>
                                <a:pt x="15532" y="5271"/>
                              </a:lnTo>
                              <a:lnTo>
                                <a:pt x="25374" y="23520"/>
                              </a:lnTo>
                              <a:lnTo>
                                <a:pt x="25387" y="23520"/>
                              </a:lnTo>
                              <a:lnTo>
                                <a:pt x="25387" y="23546"/>
                              </a:lnTo>
                              <a:lnTo>
                                <a:pt x="19126" y="23546"/>
                              </a:lnTo>
                              <a:lnTo>
                                <a:pt x="12687" y="47092"/>
                              </a:lnTo>
                              <a:lnTo>
                                <a:pt x="6248" y="23546"/>
                              </a:lnTo>
                              <a:lnTo>
                                <a:pt x="0" y="23546"/>
                              </a:lnTo>
                              <a:lnTo>
                                <a:pt x="0" y="23533"/>
                              </a:lnTo>
                              <a:lnTo>
                                <a:pt x="12" y="23520"/>
                              </a:lnTo>
                              <a:lnTo>
                                <a:pt x="126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5" name="Shape 25525"/>
                      <wps:cNvSpPr/>
                      <wps:spPr>
                        <a:xfrm>
                          <a:off x="3173537" y="5556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21196" y="12090"/>
                              </a:lnTo>
                              <a:lnTo>
                                <a:pt x="21184" y="12116"/>
                              </a:lnTo>
                              <a:lnTo>
                                <a:pt x="25629" y="7671"/>
                              </a:lnTo>
                              <a:lnTo>
                                <a:pt x="25629" y="7696"/>
                              </a:lnTo>
                              <a:lnTo>
                                <a:pt x="33300" y="33299"/>
                              </a:lnTo>
                              <a:lnTo>
                                <a:pt x="28207" y="31775"/>
                              </a:lnTo>
                              <a:lnTo>
                                <a:pt x="7696" y="25629"/>
                              </a:lnTo>
                              <a:lnTo>
                                <a:pt x="7671" y="25629"/>
                              </a:lnTo>
                              <a:lnTo>
                                <a:pt x="12116" y="21184"/>
                              </a:lnTo>
                              <a:lnTo>
                                <a:pt x="12103" y="21196"/>
                              </a:lnTo>
                              <a:lnTo>
                                <a:pt x="1994" y="34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6" name="Shape 25526"/>
                      <wps:cNvSpPr/>
                      <wps:spPr>
                        <a:xfrm>
                          <a:off x="3152289" y="94151"/>
                          <a:ext cx="47091" cy="25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1" h="25400">
                              <a:moveTo>
                                <a:pt x="23545" y="0"/>
                              </a:moveTo>
                              <a:lnTo>
                                <a:pt x="23571" y="25"/>
                              </a:lnTo>
                              <a:lnTo>
                                <a:pt x="47091" y="12700"/>
                              </a:lnTo>
                              <a:lnTo>
                                <a:pt x="31724" y="20993"/>
                              </a:lnTo>
                              <a:lnTo>
                                <a:pt x="23571" y="25387"/>
                              </a:lnTo>
                              <a:lnTo>
                                <a:pt x="23545" y="25400"/>
                              </a:lnTo>
                              <a:lnTo>
                                <a:pt x="23545" y="19139"/>
                              </a:lnTo>
                              <a:lnTo>
                                <a:pt x="0" y="12700"/>
                              </a:lnTo>
                              <a:lnTo>
                                <a:pt x="23545" y="6261"/>
                              </a:lnTo>
                              <a:lnTo>
                                <a:pt x="235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7" name="Shape 25527"/>
                      <wps:cNvSpPr/>
                      <wps:spPr>
                        <a:xfrm>
                          <a:off x="3173542" y="124859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87" y="0"/>
                              </a:moveTo>
                              <a:lnTo>
                                <a:pt x="33299" y="0"/>
                              </a:lnTo>
                              <a:lnTo>
                                <a:pt x="25628" y="25590"/>
                              </a:lnTo>
                              <a:lnTo>
                                <a:pt x="25628" y="25616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10706" y="27178"/>
                              </a:lnTo>
                              <a:lnTo>
                                <a:pt x="0" y="33287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7670" y="7658"/>
                              </a:lnTo>
                              <a:lnTo>
                                <a:pt x="7696" y="7658"/>
                              </a:lnTo>
                              <a:lnTo>
                                <a:pt x="332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8" name="Shape 25528"/>
                      <wps:cNvSpPr/>
                      <wps:spPr>
                        <a:xfrm>
                          <a:off x="3250283" y="94159"/>
                          <a:ext cx="47092" cy="25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2" h="25387">
                              <a:moveTo>
                                <a:pt x="23533" y="0"/>
                              </a:moveTo>
                              <a:lnTo>
                                <a:pt x="23546" y="0"/>
                              </a:lnTo>
                              <a:lnTo>
                                <a:pt x="23546" y="6261"/>
                              </a:lnTo>
                              <a:lnTo>
                                <a:pt x="44793" y="12065"/>
                              </a:lnTo>
                              <a:lnTo>
                                <a:pt x="47092" y="12687"/>
                              </a:lnTo>
                              <a:lnTo>
                                <a:pt x="47092" y="12700"/>
                              </a:lnTo>
                              <a:lnTo>
                                <a:pt x="23546" y="19126"/>
                              </a:lnTo>
                              <a:lnTo>
                                <a:pt x="23546" y="25387"/>
                              </a:lnTo>
                              <a:lnTo>
                                <a:pt x="23533" y="25387"/>
                              </a:lnTo>
                              <a:lnTo>
                                <a:pt x="23533" y="25375"/>
                              </a:lnTo>
                              <a:lnTo>
                                <a:pt x="0" y="12700"/>
                              </a:lnTo>
                              <a:lnTo>
                                <a:pt x="13" y="12700"/>
                              </a:lnTo>
                              <a:lnTo>
                                <a:pt x="9208" y="7734"/>
                              </a:lnTo>
                              <a:lnTo>
                                <a:pt x="23521" y="13"/>
                              </a:lnTo>
                              <a:lnTo>
                                <a:pt x="235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29" name="Shape 25529"/>
                      <wps:cNvSpPr/>
                      <wps:spPr>
                        <a:xfrm>
                          <a:off x="3242824" y="12485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25603" y="7671"/>
                              </a:lnTo>
                              <a:lnTo>
                                <a:pt x="25629" y="7671"/>
                              </a:lnTo>
                              <a:lnTo>
                                <a:pt x="21209" y="12103"/>
                              </a:lnTo>
                              <a:lnTo>
                                <a:pt x="33300" y="33287"/>
                              </a:lnTo>
                              <a:lnTo>
                                <a:pt x="33300" y="33299"/>
                              </a:lnTo>
                              <a:lnTo>
                                <a:pt x="22746" y="27280"/>
                              </a:lnTo>
                              <a:lnTo>
                                <a:pt x="12103" y="21209"/>
                              </a:lnTo>
                              <a:lnTo>
                                <a:pt x="12116" y="21196"/>
                              </a:lnTo>
                              <a:lnTo>
                                <a:pt x="12103" y="21196"/>
                              </a:lnTo>
                              <a:lnTo>
                                <a:pt x="7671" y="25629"/>
                              </a:lnTo>
                              <a:lnTo>
                                <a:pt x="7671" y="256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510" style="width:320.315pt;height:24.6805pt;position:absolute;mso-position-horizontal-relative:page;mso-position-horizontal:absolute;margin-left:42.5197pt;mso-position-vertical-relative:page;margin-top:29.1781pt;" coordsize="40680,3134">
              <v:shape id="Shape 25511" style="position:absolute;width:40680;height:0;left:0;top:3134;" coordsize="4068001,0" path="m0,0l4068001,0">
                <v:stroke weight="0.5pt" endcap="flat" joinstyle="miter" miterlimit="4" on="true" color="#000000"/>
                <v:fill on="false" color="#000000" opacity="0"/>
              </v:shape>
              <v:rect id="Rectangle 25530" style="position:absolute;width:3822;height:2823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fldSimple w:instr=" PAGE   \* MERGEFORMAT "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356</w:t>
                        </w:r>
                      </w:fldSimple>
                    </w:p>
                  </w:txbxContent>
                </v:textbox>
              </v:rect>
              <v:rect id="Rectangle 25531" style="position:absolute;width:17009;height:1411;left:17578;top:86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Практические</w:t>
                      </w:r>
                      <w:r>
                        <w:rPr>
                          <w:rFonts w:cs="Calibri" w:hAnsi="Calibri" w:eastAsia="Calibri" w:ascii="Calibri"/>
                          <w:spacing w:val="22"/>
                          <w:sz w:val="14"/>
                        </w:rPr>
                        <w:t xml:space="preserve"> </w:t>
                      </w: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рекомендации</w:t>
                      </w:r>
                    </w:p>
                  </w:txbxContent>
                </v:textbox>
              </v:rect>
              <v:shape id="Shape 25512" style="position:absolute;width:378;height:1301;left:33769;top:404;" coordsize="37884,130150" path="m0,0l33401,0l37884,624l37884,9205l31305,8395l10122,8395l10122,59360l31686,59360l37884,57682l37884,70078l27674,67754l10122,67754l10122,130150l0,130150l0,0x">
                <v:stroke weight="0pt" endcap="flat" joinstyle="miter" miterlimit="10" on="false" color="#000000" opacity="0"/>
                <v:fill on="true" color="#000000"/>
              </v:shape>
              <v:shape id="Shape 25513" style="position:absolute;width:605;height:1295;left:34148;top:410;" coordsize="60592,129526" path="m0,0l15699,2184c32310,7562,38646,19947,38646,32968c38646,48043,30442,58546,13843,64654c19939,67893,25095,75335,31204,84492l60592,129526l48768,129526l26048,93852c18224,81539,13071,74859,7919,71257l0,69455l0,57058l19369,51815c24997,47376,27762,40982,27762,33158c27762,22138,21861,13368,8849,9672l0,8581l0,0x">
                <v:stroke weight="0pt" endcap="flat" joinstyle="miter" miterlimit="10" on="false" color="#000000" opacity="0"/>
                <v:fill on="true" color="#000000"/>
              </v:shape>
              <v:shape id="Shape 25514" style="position:absolute;width:1089;height:1318;left:34834;top:404;" coordsize="108966,131864" path="m0,0l10122,0l10122,72898c10122,107061,31102,122530,54381,122530c76530,122530,98857,108585,98857,71565l98857,0l108966,0l108966,70993c108966,115659,80911,131864,54381,131864c25006,131864,0,112408,0,73279l0,0x">
                <v:stroke weight="0pt" endcap="flat" joinstyle="miter" miterlimit="10" on="false" color="#000000" opacity="0"/>
                <v:fill on="true" color="#000000"/>
              </v:shape>
              <v:shape id="Shape 25515" style="position:absolute;width:728;height:1335;left:36142;top:386;" coordsize="72898,133579" path="m37402,0c47511,0,57442,2680,67551,8204l67551,19279c54204,11646,47333,9360,38354,9360c22708,9360,10871,20041,10871,34163c10871,68885,72898,52286,72898,97892c72898,117932,56299,133579,35103,133579c24435,133579,13157,129756,1715,122136l1715,110300c16231,120802,24435,124244,34531,124244c50000,124244,62014,112967,62014,98273c62014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25516" style="position:absolute;width:728;height:1335;left:37105;top:386;" coordsize="72898,133579" path="m37402,0c47511,0,57442,2680,67551,8204l67551,19279c54191,11646,47333,9360,38354,9360c22708,9360,10871,20041,10871,34163c10871,68885,72898,52286,72898,97892c72898,117932,56286,133579,35103,133579c24422,133579,13157,129756,1715,122136l1715,110300c16218,120802,24422,124244,34544,124244c50000,124244,62027,112967,62027,98273c62027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25517" style="position:absolute;width:1154;height:1335;left:38006;top:386;" coordsize="115443,133579" path="m68313,0c82817,0,98272,3619,114109,10884l114109,21946c97891,13360,83198,9360,67742,9360c35306,9360,10871,33972,10871,66993c10871,100571,35115,124244,69075,124244c83769,124244,97701,120218,115443,110884l115443,121374c100368,129375,84341,133579,69266,133579c29578,133579,0,105143,0,66993c0,27102,32626,0,68313,0x">
                <v:stroke weight="0pt" endcap="flat" joinstyle="miter" miterlimit="10" on="false" color="#000000" opacity="0"/>
                <v:fill on="true" color="#000000"/>
              </v:shape>
              <v:shape id="Shape 25518" style="position:absolute;width:688;height:1335;left:39302;top:386;" coordsize="68891,133579" path="m68694,0l68891,38l68891,9395l46217,13772c25259,22322,10871,42462,10871,66789c10871,91126,25259,111269,46217,119819l68891,124196l68891,133541l68694,133579c30150,133579,0,104191,0,66789c0,29388,30150,0,68694,0x">
                <v:stroke weight="0pt" endcap="flat" joinstyle="miter" miterlimit="10" on="false" color="#000000" opacity="0"/>
                <v:fill on="true" color="#000000"/>
              </v:shape>
              <v:shape id="Shape 25519" style="position:absolute;width:688;height:1335;left:39991;top:387;" coordsize="68891,133503" path="m0,0l26939,5139c51817,15157,68891,38701,68891,66752c68891,94803,51817,118346,26939,128365l0,133503l0,124158l184,124194c32823,124194,58020,99200,58020,66752c58020,34316,32823,9322,184,9322l0,9358l0,0x">
                <v:stroke weight="0pt" endcap="flat" joinstyle="miter" miterlimit="10" on="false" color="#000000" opacity="0"/>
                <v:fill on="true" color="#000000"/>
              </v:shape>
              <v:shape id="Shape 25520" style="position:absolute;width:1782;height:1782;left:31357;top:163;" coordsize="178257,178257" path="m89129,0c138354,0,178257,39903,178257,89141c178257,138354,138354,178257,89129,178257c39903,178257,0,138354,0,89141c0,39903,39903,0,89129,0x">
                <v:stroke weight="0.92pt" endcap="flat" joinstyle="miter" miterlimit="10" on="true" color="#000000"/>
                <v:fill on="false" color="#000000" opacity="0"/>
              </v:shape>
              <v:shape id="Shape 25521" style="position:absolute;width:467;height:467;left:32014;top:834;" coordsize="46711,46711" path="m23266,0l23444,0c24448,12395,34315,22276,46711,23266l46711,23444c34315,24447,24448,34315,23444,46711l23266,46711c22276,34315,12395,24447,0,23444l0,23266c12395,22276,22276,12395,23266,0x">
                <v:stroke weight="0pt" endcap="flat" joinstyle="miter" miterlimit="10" on="false" color="#000000" opacity="0"/>
                <v:fill on="true" color="#cccccb"/>
              </v:shape>
              <v:shape id="Shape 25522" style="position:absolute;width:332;height:332;left:32428;top:555;" coordsize="33299,33287" path="m33299,0l21196,21184l21184,21184l21196,21196l25629,25616l25629,25629l25603,25629l0,33287l7671,7684l7658,7684l7671,7671l12090,12090l12116,12103l12103,12090l33299,0x">
                <v:stroke weight="0pt" endcap="flat" joinstyle="miter" miterlimit="10" on="false" color="#000000" opacity="0"/>
                <v:fill on="true" color="#000000"/>
              </v:shape>
              <v:shape id="Shape 25523" style="position:absolute;width:253;height:470;left:32121;top:343;" coordsize="25387,47092" path="m12700,0l12700,13l19139,23546l25387,23546l25375,23571l12700,47092l13,23571l0,23546l6261,23546l12700,0x">
                <v:stroke weight="0pt" endcap="flat" joinstyle="miter" miterlimit="10" on="false" color="#000000" opacity="0"/>
                <v:fill on="true" color="#000000"/>
              </v:shape>
              <v:shape id="Shape 25524" style="position:absolute;width:253;height:470;left:32121;top:1323;" coordsize="25387,47092" path="m12687,0l15532,5271l25374,23520l25387,23520l25387,23546l19126,23546l12687,47092l6248,23546l0,23546l0,23533l12,23520l12687,0x">
                <v:stroke weight="0pt" endcap="flat" joinstyle="miter" miterlimit="10" on="false" color="#000000" opacity="0"/>
                <v:fill on="true" color="#000000"/>
              </v:shape>
              <v:shape id="Shape 25525" style="position:absolute;width:333;height:332;left:31735;top:555;" coordsize="33300,33299" path="m0,0l13,0l21196,12090l21184,12116l25629,7671l25629,7696l33300,33299l28207,31775l7696,25629l7671,25629l12116,21184l12103,21196l1994,3493l0,0x">
                <v:stroke weight="0pt" endcap="flat" joinstyle="miter" miterlimit="10" on="false" color="#000000" opacity="0"/>
                <v:fill on="true" color="#000000"/>
              </v:shape>
              <v:shape id="Shape 25526" style="position:absolute;width:470;height:254;left:31522;top:941;" coordsize="47091,25400" path="m23545,0l23571,25l47091,12700l31724,20993l23571,25387l23545,25400l23545,19139l0,12700l23545,6261l23545,0x">
                <v:stroke weight="0pt" endcap="flat" joinstyle="miter" miterlimit="10" on="false" color="#000000" opacity="0"/>
                <v:fill on="true" color="#000000"/>
              </v:shape>
              <v:shape id="Shape 25527" style="position:absolute;width:332;height:332;left:31735;top:1248;" coordsize="33299,33287" path="m33287,0l33299,0l25628,25590l25628,25616l21184,21184l21196,21196l10706,27178l0,33287l12090,12090l12116,12103l7670,7658l7696,7658l33287,0x">
                <v:stroke weight="0pt" endcap="flat" joinstyle="miter" miterlimit="10" on="false" color="#000000" opacity="0"/>
                <v:fill on="true" color="#000000"/>
              </v:shape>
              <v:shape id="Shape 25528" style="position:absolute;width:470;height:253;left:32502;top:941;" coordsize="47092,25387" path="m23533,0l23546,0l23546,6261l44793,12065l47092,12687l47092,12700l23546,19126l23546,25387l23533,25387l23533,25375l0,12700l13,12700l9208,7734l23521,13l23533,0x">
                <v:stroke weight="0pt" endcap="flat" joinstyle="miter" miterlimit="10" on="false" color="#000000" opacity="0"/>
                <v:fill on="true" color="#000000"/>
              </v:shape>
              <v:shape id="Shape 25529" style="position:absolute;width:333;height:332;left:32428;top:1248;" coordsize="33300,33299" path="m0,0l25603,7671l25629,7671l21209,12103l33300,33287l33300,33299l22746,27280l12103,21209l12116,21196l12103,21196l7671,25629l7671,25603l0,0x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ADD"/>
    <w:multiLevelType w:val="hybridMultilevel"/>
    <w:tmpl w:val="4F7A4CF0"/>
    <w:lvl w:ilvl="0" w:tplc="043827E4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0F64D58">
      <w:start w:val="1"/>
      <w:numFmt w:val="bullet"/>
      <w:lvlText w:val="–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AF87172">
      <w:start w:val="1"/>
      <w:numFmt w:val="bullet"/>
      <w:lvlText w:val="▪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E3A93EC">
      <w:start w:val="1"/>
      <w:numFmt w:val="bullet"/>
      <w:lvlText w:val="•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B263E1A">
      <w:start w:val="1"/>
      <w:numFmt w:val="bullet"/>
      <w:lvlText w:val="o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46B344">
      <w:start w:val="1"/>
      <w:numFmt w:val="bullet"/>
      <w:lvlText w:val="▪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AD6CE3C">
      <w:start w:val="1"/>
      <w:numFmt w:val="bullet"/>
      <w:lvlText w:val="•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49AFC86">
      <w:start w:val="1"/>
      <w:numFmt w:val="bullet"/>
      <w:lvlText w:val="o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1882D32">
      <w:start w:val="1"/>
      <w:numFmt w:val="bullet"/>
      <w:lvlText w:val="▪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5D456C"/>
    <w:multiLevelType w:val="hybridMultilevel"/>
    <w:tmpl w:val="28E68310"/>
    <w:lvl w:ilvl="0" w:tplc="786C37D6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987EA10C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EB41070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2B6EDB2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3DC6C26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B966E6E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8C3122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2A846A90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4564ED4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6D7FEA"/>
    <w:multiLevelType w:val="hybridMultilevel"/>
    <w:tmpl w:val="25E892CA"/>
    <w:lvl w:ilvl="0" w:tplc="C4F23568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E0A9B26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A68224C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99CC34E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2B0D53E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5CBE793A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866D278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C440006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78E422E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041179"/>
    <w:multiLevelType w:val="hybridMultilevel"/>
    <w:tmpl w:val="216EEDBA"/>
    <w:lvl w:ilvl="0" w:tplc="8A00BFA8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4AA0936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D1C4BE2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99B059DC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348DB8E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26CAAEE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716ECCC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6EE09D2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BF800C4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C6710E"/>
    <w:multiLevelType w:val="hybridMultilevel"/>
    <w:tmpl w:val="02DC30BA"/>
    <w:lvl w:ilvl="0" w:tplc="9E46622E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A56D57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6282C7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4C8F0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0B0BF6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632E94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6D8C15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15CF8D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010CA5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B26660"/>
    <w:multiLevelType w:val="hybridMultilevel"/>
    <w:tmpl w:val="78F27526"/>
    <w:lvl w:ilvl="0" w:tplc="96026F94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E3027930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C6020F0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210F10A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C49C283E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5A46AFCC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B6821BDC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12E2D958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8D58FD3A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026D84"/>
    <w:multiLevelType w:val="hybridMultilevel"/>
    <w:tmpl w:val="7AB864A0"/>
    <w:lvl w:ilvl="0" w:tplc="CD5AA6FE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2FA73E2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3B83884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6E96D138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31E7B5C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0AFE16F8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7F7EA67A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F82E238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57EC40E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86781A"/>
    <w:multiLevelType w:val="hybridMultilevel"/>
    <w:tmpl w:val="BD4E11AC"/>
    <w:lvl w:ilvl="0" w:tplc="4ACAAC08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75E3E32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9E8B30C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404C0848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5FE9F44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9E0A11C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1E89B2E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532F724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E1367732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8D73E6"/>
    <w:multiLevelType w:val="hybridMultilevel"/>
    <w:tmpl w:val="361A0196"/>
    <w:lvl w:ilvl="0" w:tplc="1F36E250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C2C0F99A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C2E2902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9FF6228E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ADA538E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2687662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A163066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1CBE0300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4FA4D8C6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CE4B8D"/>
    <w:multiLevelType w:val="hybridMultilevel"/>
    <w:tmpl w:val="3EA80C26"/>
    <w:lvl w:ilvl="0" w:tplc="74E0364A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5A17C8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C9B2575C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53C1DE2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7A4A8E6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094ACE78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BD26F5A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9E4F0D0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EF242A4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196D28"/>
    <w:multiLevelType w:val="hybridMultilevel"/>
    <w:tmpl w:val="E6EA42A0"/>
    <w:lvl w:ilvl="0" w:tplc="85D24FF6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4ECEEAA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7DC7FEA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A0F44172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1F02DF3E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E442E8A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21A8C6E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C24066A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4C1A099E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1E04C8"/>
    <w:multiLevelType w:val="hybridMultilevel"/>
    <w:tmpl w:val="14EAAD48"/>
    <w:lvl w:ilvl="0" w:tplc="2578B766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BB0FCA0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484CA72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CB45F96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5BC2B5E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F109A6C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88627E8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7110E568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5E6D9BA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667888"/>
    <w:multiLevelType w:val="hybridMultilevel"/>
    <w:tmpl w:val="744871D2"/>
    <w:lvl w:ilvl="0" w:tplc="FA0C22DA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1080FA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3BE4A3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58268C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290937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57A16F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AA8247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13DAE7F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DA036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7754E7"/>
    <w:multiLevelType w:val="hybridMultilevel"/>
    <w:tmpl w:val="E1C6202A"/>
    <w:lvl w:ilvl="0" w:tplc="51A0DAA6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11CAC8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7FE4E0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66E438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1E1EAF7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C88760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7C2E929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304DC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184B50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BA769D"/>
    <w:multiLevelType w:val="hybridMultilevel"/>
    <w:tmpl w:val="6DA8266C"/>
    <w:lvl w:ilvl="0" w:tplc="71BCC758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2FA5542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5065EB6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1E6F558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DC72C5BA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0B32F154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CD874F8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9F4BCE6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38CEAA8E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DD2261"/>
    <w:multiLevelType w:val="hybridMultilevel"/>
    <w:tmpl w:val="1A44EF6A"/>
    <w:lvl w:ilvl="0" w:tplc="64348E1C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0987FFE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CA523184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0A04B2EE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D50A8E4C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9F262B0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B343612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3D0E1E2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BC040C4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782F84"/>
    <w:multiLevelType w:val="hybridMultilevel"/>
    <w:tmpl w:val="501A6176"/>
    <w:lvl w:ilvl="0" w:tplc="5784CDF4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8B0681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56ACE2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3BA93A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988C41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1F7C4B5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7C96030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0C888F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83EC32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FD7CF0"/>
    <w:multiLevelType w:val="hybridMultilevel"/>
    <w:tmpl w:val="CAC695E0"/>
    <w:lvl w:ilvl="0" w:tplc="516C09F6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D823D6A">
      <w:start w:val="1"/>
      <w:numFmt w:val="bullet"/>
      <w:lvlText w:val="o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B6EECEC">
      <w:start w:val="1"/>
      <w:numFmt w:val="bullet"/>
      <w:lvlText w:val="▪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660F5C2">
      <w:start w:val="1"/>
      <w:numFmt w:val="bullet"/>
      <w:lvlText w:val="•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3FA09EA">
      <w:start w:val="1"/>
      <w:numFmt w:val="bullet"/>
      <w:lvlText w:val="o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6CE3E7E">
      <w:start w:val="1"/>
      <w:numFmt w:val="bullet"/>
      <w:lvlText w:val="▪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080F2B8">
      <w:start w:val="1"/>
      <w:numFmt w:val="bullet"/>
      <w:lvlText w:val="•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8CCFC3A">
      <w:start w:val="1"/>
      <w:numFmt w:val="bullet"/>
      <w:lvlText w:val="o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1AE61CA">
      <w:start w:val="1"/>
      <w:numFmt w:val="bullet"/>
      <w:lvlText w:val="▪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EAF65B2"/>
    <w:multiLevelType w:val="hybridMultilevel"/>
    <w:tmpl w:val="37D44E92"/>
    <w:lvl w:ilvl="0" w:tplc="8E10A726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E9B0AE1A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800DCDE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AC6CF04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16E2B72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1BCCAD2E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D32EEB8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AA923D18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238C020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4F47DD"/>
    <w:multiLevelType w:val="hybridMultilevel"/>
    <w:tmpl w:val="65A02024"/>
    <w:lvl w:ilvl="0" w:tplc="65C6E698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69255F8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58CF654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2767190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3DE2DDA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2704BA0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02AC01A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1ADA95C8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2FE10F6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837AF5"/>
    <w:multiLevelType w:val="hybridMultilevel"/>
    <w:tmpl w:val="D4987452"/>
    <w:lvl w:ilvl="0" w:tplc="EB1AF60A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749604A6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CD002386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13CCC38E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A22AA850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2FA4C12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A1C983E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2CE24AB2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1EC342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42A626F"/>
    <w:multiLevelType w:val="hybridMultilevel"/>
    <w:tmpl w:val="EE966E40"/>
    <w:lvl w:ilvl="0" w:tplc="1B0C0618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6E626E2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9665B12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AFEABDA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61C0EAC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1F10050A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B40A955C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CBE5A46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334AA5E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6D83A78"/>
    <w:multiLevelType w:val="hybridMultilevel"/>
    <w:tmpl w:val="B3A67CC8"/>
    <w:lvl w:ilvl="0" w:tplc="78FE2C02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C8AE502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99A358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4184FA4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17CCB7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768A4F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BD815C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0782D4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4FB409C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972B89"/>
    <w:multiLevelType w:val="hybridMultilevel"/>
    <w:tmpl w:val="CDC22868"/>
    <w:lvl w:ilvl="0" w:tplc="8FE0211E">
      <w:start w:val="1"/>
      <w:numFmt w:val="bullet"/>
      <w:lvlText w:val="•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6AE16C">
      <w:start w:val="1"/>
      <w:numFmt w:val="bullet"/>
      <w:lvlText w:val="o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97E2442">
      <w:start w:val="1"/>
      <w:numFmt w:val="bullet"/>
      <w:lvlText w:val="▪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4DC284A">
      <w:start w:val="1"/>
      <w:numFmt w:val="bullet"/>
      <w:lvlText w:val="•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408980C">
      <w:start w:val="1"/>
      <w:numFmt w:val="bullet"/>
      <w:lvlText w:val="o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DE471C4">
      <w:start w:val="1"/>
      <w:numFmt w:val="bullet"/>
      <w:lvlText w:val="▪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AA6E32A">
      <w:start w:val="1"/>
      <w:numFmt w:val="bullet"/>
      <w:lvlText w:val="•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894525C">
      <w:start w:val="1"/>
      <w:numFmt w:val="bullet"/>
      <w:lvlText w:val="o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D362144">
      <w:start w:val="1"/>
      <w:numFmt w:val="bullet"/>
      <w:lvlText w:val="▪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CEB5183"/>
    <w:multiLevelType w:val="hybridMultilevel"/>
    <w:tmpl w:val="89642B50"/>
    <w:lvl w:ilvl="0" w:tplc="1B341D76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BDBEA2D2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D8804B6A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92381008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E2A03E2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DA23FDA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D1C12C8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194E0E6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808FC56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B11AFE"/>
    <w:multiLevelType w:val="hybridMultilevel"/>
    <w:tmpl w:val="4B149622"/>
    <w:lvl w:ilvl="0" w:tplc="460CD068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C0A29E9A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B44FBDA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6B26131A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3FE2254A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D94FA04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7605374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0F69972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8ECB806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82565FA"/>
    <w:multiLevelType w:val="hybridMultilevel"/>
    <w:tmpl w:val="0EDEC3FA"/>
    <w:lvl w:ilvl="0" w:tplc="C0924BEA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61CAA5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416112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9B69A5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572CE7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B2679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594503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5B4D9F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84C481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97606F3"/>
    <w:multiLevelType w:val="hybridMultilevel"/>
    <w:tmpl w:val="B5BA184C"/>
    <w:lvl w:ilvl="0" w:tplc="91FE3ACE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1BE0A0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7A6667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4DEE4A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A8A467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12C857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344611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29ED32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784C694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AC10016"/>
    <w:multiLevelType w:val="hybridMultilevel"/>
    <w:tmpl w:val="DE7CF8A8"/>
    <w:lvl w:ilvl="0" w:tplc="D736CEDE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9C4474A8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27C4C0E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49E89632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2C8018A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4D18FC86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3F9A48B2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2782FC74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8A243262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B181E39"/>
    <w:multiLevelType w:val="hybridMultilevel"/>
    <w:tmpl w:val="6A3AAAAA"/>
    <w:lvl w:ilvl="0" w:tplc="D3D4032E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4302124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D3D41FB4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A282F288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CA4EAE3E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99EB18C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396A8A8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A1C810B4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6387E04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6"/>
  </w:num>
  <w:num w:numId="3">
    <w:abstractNumId w:val="23"/>
  </w:num>
  <w:num w:numId="4">
    <w:abstractNumId w:val="17"/>
  </w:num>
  <w:num w:numId="5">
    <w:abstractNumId w:val="0"/>
  </w:num>
  <w:num w:numId="6">
    <w:abstractNumId w:val="6"/>
  </w:num>
  <w:num w:numId="7">
    <w:abstractNumId w:val="24"/>
  </w:num>
  <w:num w:numId="8">
    <w:abstractNumId w:val="2"/>
  </w:num>
  <w:num w:numId="9">
    <w:abstractNumId w:val="8"/>
  </w:num>
  <w:num w:numId="10">
    <w:abstractNumId w:val="25"/>
  </w:num>
  <w:num w:numId="11">
    <w:abstractNumId w:val="11"/>
  </w:num>
  <w:num w:numId="12">
    <w:abstractNumId w:val="7"/>
  </w:num>
  <w:num w:numId="13">
    <w:abstractNumId w:val="9"/>
  </w:num>
  <w:num w:numId="14">
    <w:abstractNumId w:val="1"/>
  </w:num>
  <w:num w:numId="15">
    <w:abstractNumId w:val="19"/>
  </w:num>
  <w:num w:numId="16">
    <w:abstractNumId w:val="29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21"/>
  </w:num>
  <w:num w:numId="22">
    <w:abstractNumId w:val="12"/>
  </w:num>
  <w:num w:numId="23">
    <w:abstractNumId w:val="28"/>
  </w:num>
  <w:num w:numId="24">
    <w:abstractNumId w:val="10"/>
  </w:num>
  <w:num w:numId="25">
    <w:abstractNumId w:val="5"/>
  </w:num>
  <w:num w:numId="26">
    <w:abstractNumId w:val="13"/>
  </w:num>
  <w:num w:numId="27">
    <w:abstractNumId w:val="22"/>
  </w:num>
  <w:num w:numId="28">
    <w:abstractNumId w:val="16"/>
  </w:num>
  <w:num w:numId="29">
    <w:abstractNumId w:val="27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revisionView w:inkAnnotations="0"/>
  <w:defaultTabStop w:val="720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9B6"/>
    <w:rsid w:val="007129B6"/>
    <w:rsid w:val="00C5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5B7A089-716C-4E69-90AE-7F3B5662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6" w:line="265" w:lineRule="auto"/>
      <w:ind w:left="10" w:hanging="10"/>
      <w:jc w:val="both"/>
    </w:pPr>
    <w:rPr>
      <w:rFonts w:ascii="Calibri" w:eastAsia="Calibri" w:hAnsi="Calibri" w:cs="Calibri"/>
      <w:color w:val="000000"/>
      <w:sz w:val="16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14"/>
      <w:ind w:left="10" w:hanging="10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46"/>
      <w:ind w:left="10" w:hanging="10"/>
      <w:outlineLvl w:val="2"/>
    </w:pPr>
    <w:rPr>
      <w:rFonts w:ascii="Calibri" w:eastAsia="Calibri" w:hAnsi="Calibri" w:cs="Calibri"/>
      <w:b/>
      <w:color w:val="000000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119" w:line="265" w:lineRule="auto"/>
      <w:ind w:left="10" w:hanging="10"/>
      <w:outlineLvl w:val="3"/>
    </w:pPr>
    <w:rPr>
      <w:rFonts w:ascii="Calibri" w:eastAsia="Calibri" w:hAnsi="Calibri" w:cs="Calibri"/>
      <w:b/>
      <w:color w:val="000000"/>
      <w:sz w:val="16"/>
    </w:rPr>
  </w:style>
  <w:style w:type="paragraph" w:styleId="Heading5">
    <w:name w:val="heading 5"/>
    <w:next w:val="Normal"/>
    <w:link w:val="Heading5Char"/>
    <w:uiPriority w:val="9"/>
    <w:unhideWhenUsed/>
    <w:qFormat/>
    <w:pPr>
      <w:keepNext/>
      <w:keepLines/>
      <w:spacing w:after="119" w:line="265" w:lineRule="auto"/>
      <w:ind w:left="10" w:hanging="10"/>
      <w:outlineLvl w:val="4"/>
    </w:pPr>
    <w:rPr>
      <w:rFonts w:ascii="Calibri" w:eastAsia="Calibri" w:hAnsi="Calibri" w:cs="Calibri"/>
      <w:b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000000"/>
      <w:sz w:val="2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4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3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43" w:lineRule="auto"/>
      <w:ind w:right="37" w:firstLine="227"/>
      <w:jc w:val="both"/>
    </w:pPr>
    <w:rPr>
      <w:rFonts w:ascii="Calibri" w:eastAsia="Calibri" w:hAnsi="Calibri" w:cs="Calibri"/>
      <w:i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4"/>
    </w:rPr>
  </w:style>
  <w:style w:type="character" w:customStyle="1" w:styleId="Heading4Char">
    <w:name w:val="Heading 4 Char"/>
    <w:link w:val="Heading4"/>
    <w:rPr>
      <w:rFonts w:ascii="Calibri" w:eastAsia="Calibri" w:hAnsi="Calibri" w:cs="Calibri"/>
      <w:b/>
      <w:color w:val="000000"/>
      <w:sz w:val="16"/>
    </w:rPr>
  </w:style>
  <w:style w:type="character" w:customStyle="1" w:styleId="Heading5Char">
    <w:name w:val="Heading 5 Char"/>
    <w:link w:val="Heading5"/>
    <w:rPr>
      <w:rFonts w:ascii="Calibri" w:eastAsia="Calibri" w:hAnsi="Calibri" w:cs="Calibri"/>
      <w:b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b/>
      <w:i/>
      <w:color w:val="000000"/>
      <w:sz w:val="13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6067</Words>
  <Characters>34582</Characters>
  <Application>Microsoft Office Word</Application>
  <DocSecurity>4</DocSecurity>
  <Lines>288</Lines>
  <Paragraphs>81</Paragraphs>
  <ScaleCrop>false</ScaleCrop>
  <Company/>
  <LinksUpToDate>false</LinksUpToDate>
  <CharactersWithSpaces>40568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Саркомы мягких тканей</dc:title>
  <dc:subject/>
  <dc:creator>Российское общество клинической онкологии (RUSSCO)</dc:creator>
  <cp:keywords>практические рекомендации RUSSCO, саркомы мягких тканей, диагностика, лечение</cp:keywords>
  <cp:lastModifiedBy>word</cp:lastModifiedBy>
  <cp:revision>2</cp:revision>
  <dcterms:created xsi:type="dcterms:W3CDTF">2024-04-12T13:50:00Z</dcterms:created>
  <dcterms:modified xsi:type="dcterms:W3CDTF">2024-04-12T13:50:00Z</dcterms:modified>
</cp:coreProperties>
</file>