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3A0918" w:rsidRDefault="00D87DBB">
      <w:pPr>
        <w:spacing w:after="0"/>
        <w:ind w:left="-569" w:right="11681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564" cy="10692381"/>
                <wp:effectExtent l="0" t="0" r="0" b="0"/>
                <wp:wrapTopAndBottom/>
                <wp:docPr id="120347" name="Group 1203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60564" cy="10692381"/>
                          <a:chOff x="0" y="0"/>
                          <a:chExt cx="7560564" cy="10692381"/>
                        </a:xfrm>
                      </wpg:grpSpPr>
                      <wps:wsp>
                        <wps:cNvPr id="6" name="Rectangle 6"/>
                        <wps:cNvSpPr/>
                        <wps:spPr>
                          <a:xfrm>
                            <a:off x="4068445" y="485644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" name="Rectangle 7"/>
                        <wps:cNvSpPr/>
                        <wps:spPr>
                          <a:xfrm>
                            <a:off x="1080821" y="660904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0163" name="Shape 150163"/>
                        <wps:cNvSpPr/>
                        <wps:spPr>
                          <a:xfrm>
                            <a:off x="0" y="0"/>
                            <a:ext cx="7560564" cy="106923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60564" h="10692381">
                                <a:moveTo>
                                  <a:pt x="0" y="0"/>
                                </a:moveTo>
                                <a:lnTo>
                                  <a:pt x="7560564" y="0"/>
                                </a:lnTo>
                                <a:lnTo>
                                  <a:pt x="7560564" y="10692381"/>
                                </a:lnTo>
                                <a:lnTo>
                                  <a:pt x="0" y="1069238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B595D">
                              <a:alpha val="9803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164" name="Shape 150164"/>
                        <wps:cNvSpPr/>
                        <wps:spPr>
                          <a:xfrm>
                            <a:off x="144780" y="361315"/>
                            <a:ext cx="7038975" cy="8440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38975" h="8440420">
                                <a:moveTo>
                                  <a:pt x="0" y="0"/>
                                </a:moveTo>
                                <a:lnTo>
                                  <a:pt x="7038975" y="0"/>
                                </a:lnTo>
                                <a:lnTo>
                                  <a:pt x="7038975" y="8440420"/>
                                </a:lnTo>
                                <a:lnTo>
                                  <a:pt x="0" y="8440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165" name="Shape 150165"/>
                        <wps:cNvSpPr/>
                        <wps:spPr>
                          <a:xfrm>
                            <a:off x="255270" y="9039834"/>
                            <a:ext cx="3429000" cy="1485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9000" h="1485900">
                                <a:moveTo>
                                  <a:pt x="0" y="0"/>
                                </a:moveTo>
                                <a:lnTo>
                                  <a:pt x="3429000" y="0"/>
                                </a:lnTo>
                                <a:lnTo>
                                  <a:pt x="3429000" y="1485900"/>
                                </a:lnTo>
                                <a:lnTo>
                                  <a:pt x="0" y="14859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166" name="Shape 150166"/>
                        <wps:cNvSpPr/>
                        <wps:spPr>
                          <a:xfrm>
                            <a:off x="3923665" y="9034119"/>
                            <a:ext cx="3358515" cy="1485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8515" h="1485900">
                                <a:moveTo>
                                  <a:pt x="0" y="0"/>
                                </a:moveTo>
                                <a:lnTo>
                                  <a:pt x="3358515" y="0"/>
                                </a:lnTo>
                                <a:lnTo>
                                  <a:pt x="3358515" y="1485900"/>
                                </a:lnTo>
                                <a:lnTo>
                                  <a:pt x="0" y="14859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167" name="Shape 150167"/>
                        <wps:cNvSpPr/>
                        <wps:spPr>
                          <a:xfrm>
                            <a:off x="333375" y="9154134"/>
                            <a:ext cx="3279140" cy="1318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79140" h="1318260">
                                <a:moveTo>
                                  <a:pt x="0" y="0"/>
                                </a:moveTo>
                                <a:lnTo>
                                  <a:pt x="3279140" y="0"/>
                                </a:lnTo>
                                <a:lnTo>
                                  <a:pt x="3279140" y="1318260"/>
                                </a:lnTo>
                                <a:lnTo>
                                  <a:pt x="0" y="1318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" name="Rectangle 16"/>
                        <wps:cNvSpPr/>
                        <wps:spPr>
                          <a:xfrm>
                            <a:off x="428244" y="9239290"/>
                            <a:ext cx="1077649" cy="1666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Утверждены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1237793" y="9239290"/>
                            <a:ext cx="46619" cy="1666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428244" y="9397000"/>
                            <a:ext cx="3206280" cy="1696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 xml:space="preserve">Российским респираторным обществом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2838323" y="9397000"/>
                            <a:ext cx="46619" cy="1696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428244" y="9562283"/>
                            <a:ext cx="4108162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Российская общественная организация «Рос-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428244" y="9737543"/>
                            <a:ext cx="410836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сийское научное медицинское общество тера-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428244" y="9912803"/>
                            <a:ext cx="681045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певтов»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" name="Rectangle 23"/>
                        <wps:cNvSpPr/>
                        <wps:spPr>
                          <a:xfrm>
                            <a:off x="940613" y="9912803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428244" y="10084325"/>
                            <a:ext cx="46619" cy="1696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" name="Rectangle 25"/>
                        <wps:cNvSpPr/>
                        <wps:spPr>
                          <a:xfrm>
                            <a:off x="656844" y="10248433"/>
                            <a:ext cx="46619" cy="1666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" name="Rectangle 26"/>
                        <wps:cNvSpPr/>
                        <wps:spPr>
                          <a:xfrm>
                            <a:off x="1530350" y="836164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1530350" y="1100070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1080821" y="1386582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2909951" y="1371492"/>
                            <a:ext cx="59287" cy="2119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3078988" y="791819"/>
                            <a:ext cx="1417828" cy="94757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0168" name="Shape 150168"/>
                        <wps:cNvSpPr/>
                        <wps:spPr>
                          <a:xfrm>
                            <a:off x="3964940" y="9136354"/>
                            <a:ext cx="3279775" cy="13188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79775" h="1318896">
                                <a:moveTo>
                                  <a:pt x="0" y="0"/>
                                </a:moveTo>
                                <a:lnTo>
                                  <a:pt x="3279775" y="0"/>
                                </a:lnTo>
                                <a:lnTo>
                                  <a:pt x="3279775" y="1318896"/>
                                </a:lnTo>
                                <a:lnTo>
                                  <a:pt x="0" y="131889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3" name="Rectangle 33"/>
                        <wps:cNvSpPr/>
                        <wps:spPr>
                          <a:xfrm>
                            <a:off x="4289425" y="9221002"/>
                            <a:ext cx="1130235" cy="1666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Согласованы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" name="Rectangle 34"/>
                        <wps:cNvSpPr/>
                        <wps:spPr>
                          <a:xfrm>
                            <a:off x="5139817" y="9218743"/>
                            <a:ext cx="46619" cy="1696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" name="Rectangle 35"/>
                        <wps:cNvSpPr/>
                        <wps:spPr>
                          <a:xfrm>
                            <a:off x="5173345" y="9218743"/>
                            <a:ext cx="46619" cy="1696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" name="Rectangle 36"/>
                        <wps:cNvSpPr/>
                        <wps:spPr>
                          <a:xfrm>
                            <a:off x="4289425" y="9378713"/>
                            <a:ext cx="2658784" cy="1696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 xml:space="preserve">Научным советом Министерства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" name="Rectangle 37"/>
                        <wps:cNvSpPr/>
                        <wps:spPr>
                          <a:xfrm>
                            <a:off x="6289294" y="9378713"/>
                            <a:ext cx="968373" cy="1696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>Здравоохра-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" name="Rectangle 38"/>
                        <wps:cNvSpPr/>
                        <wps:spPr>
                          <a:xfrm>
                            <a:off x="4289425" y="9540256"/>
                            <a:ext cx="2363778" cy="1696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>нения Российской Федерации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" name="Rectangle 39"/>
                        <wps:cNvSpPr/>
                        <wps:spPr>
                          <a:xfrm>
                            <a:off x="6066790" y="9540256"/>
                            <a:ext cx="46619" cy="1696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" name="Rectangle 40"/>
                        <wps:cNvSpPr/>
                        <wps:spPr>
                          <a:xfrm>
                            <a:off x="4289425" y="9701800"/>
                            <a:ext cx="1349904" cy="1696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>__ __________20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" name="Rectangle 41"/>
                        <wps:cNvSpPr/>
                        <wps:spPr>
                          <a:xfrm>
                            <a:off x="5302885" y="9701800"/>
                            <a:ext cx="93238" cy="1696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>_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2" name="Rectangle 42"/>
                        <wps:cNvSpPr/>
                        <wps:spPr>
                          <a:xfrm>
                            <a:off x="5372989" y="9701800"/>
                            <a:ext cx="263305" cy="1696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>_ г.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" name="Rectangle 43"/>
                        <wps:cNvSpPr/>
                        <wps:spPr>
                          <a:xfrm>
                            <a:off x="5569585" y="9704060"/>
                            <a:ext cx="46619" cy="1666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0169" name="Shape 150169"/>
                        <wps:cNvSpPr/>
                        <wps:spPr>
                          <a:xfrm>
                            <a:off x="1189355" y="2212848"/>
                            <a:ext cx="5267960" cy="60598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67960" h="6059806">
                                <a:moveTo>
                                  <a:pt x="0" y="0"/>
                                </a:moveTo>
                                <a:lnTo>
                                  <a:pt x="5267960" y="0"/>
                                </a:lnTo>
                                <a:lnTo>
                                  <a:pt x="5267960" y="6059806"/>
                                </a:lnTo>
                                <a:lnTo>
                                  <a:pt x="0" y="60598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" name="Rectangle 45"/>
                        <wps:cNvSpPr/>
                        <wps:spPr>
                          <a:xfrm>
                            <a:off x="1284986" y="2297934"/>
                            <a:ext cx="1190815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color w:val="808080"/>
                                  <w:sz w:val="24"/>
                                </w:rPr>
                                <w:t xml:space="preserve">Клинические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" name="Rectangle 46"/>
                        <wps:cNvSpPr/>
                        <wps:spPr>
                          <a:xfrm>
                            <a:off x="2181098" y="2297934"/>
                            <a:ext cx="123662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color w:val="767171"/>
                                  <w:sz w:val="24"/>
                                </w:rPr>
                                <w:t>рекомендации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" name="Rectangle 47"/>
                        <wps:cNvSpPr/>
                        <wps:spPr>
                          <a:xfrm>
                            <a:off x="3111119" y="2279971"/>
                            <a:ext cx="59287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" name="Rectangle 48"/>
                        <wps:cNvSpPr/>
                        <wps:spPr>
                          <a:xfrm>
                            <a:off x="1284986" y="2508856"/>
                            <a:ext cx="6335793" cy="3314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44"/>
                                </w:rPr>
                                <w:t xml:space="preserve">Хроническая обструктивная болезнь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" name="Rectangle 49"/>
                        <wps:cNvSpPr/>
                        <wps:spPr>
                          <a:xfrm>
                            <a:off x="1284986" y="2830420"/>
                            <a:ext cx="1154694" cy="3314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44"/>
                                </w:rPr>
                                <w:t>легких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0" name="Rectangle 50"/>
                        <wps:cNvSpPr/>
                        <wps:spPr>
                          <a:xfrm>
                            <a:off x="2153666" y="2895667"/>
                            <a:ext cx="59287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" name="Rectangle 51"/>
                        <wps:cNvSpPr/>
                        <wps:spPr>
                          <a:xfrm>
                            <a:off x="1303274" y="3685155"/>
                            <a:ext cx="3476979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Кодирование по Международной стати-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2" name="Rectangle 52"/>
                        <wps:cNvSpPr/>
                        <wps:spPr>
                          <a:xfrm>
                            <a:off x="1469390" y="3886323"/>
                            <a:ext cx="330347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стической классификации болезней 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3" name="Rectangle 53"/>
                        <wps:cNvSpPr/>
                        <wps:spPr>
                          <a:xfrm>
                            <a:off x="1675130" y="4087491"/>
                            <a:ext cx="3030651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проблем, связанных со здоровьем: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" name="Rectangle 54"/>
                        <wps:cNvSpPr/>
                        <wps:spPr>
                          <a:xfrm>
                            <a:off x="3955415" y="4087491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" name="Rectangle 55"/>
                        <wps:cNvSpPr/>
                        <wps:spPr>
                          <a:xfrm>
                            <a:off x="3917315" y="4283763"/>
                            <a:ext cx="42058" cy="1530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6" name="Rectangle 56"/>
                        <wps:cNvSpPr/>
                        <wps:spPr>
                          <a:xfrm>
                            <a:off x="4054729" y="376897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" name="Rectangle 57"/>
                        <wps:cNvSpPr/>
                        <wps:spPr>
                          <a:xfrm>
                            <a:off x="4054729" y="3970143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" name="Rectangle 58"/>
                        <wps:cNvSpPr/>
                        <wps:spPr>
                          <a:xfrm>
                            <a:off x="4054729" y="4171311"/>
                            <a:ext cx="78847" cy="184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J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" name="Rectangle 59"/>
                        <wps:cNvSpPr/>
                        <wps:spPr>
                          <a:xfrm>
                            <a:off x="4114165" y="4171311"/>
                            <a:ext cx="101346" cy="184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" name="Rectangle 60"/>
                        <wps:cNvSpPr/>
                        <wps:spPr>
                          <a:xfrm>
                            <a:off x="4190365" y="4171311"/>
                            <a:ext cx="101346" cy="184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" name="Rectangle 61"/>
                        <wps:cNvSpPr/>
                        <wps:spPr>
                          <a:xfrm>
                            <a:off x="4266565" y="4171311"/>
                            <a:ext cx="50673" cy="184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" name="Rectangle 62"/>
                        <wps:cNvSpPr/>
                        <wps:spPr>
                          <a:xfrm>
                            <a:off x="2655443" y="4457823"/>
                            <a:ext cx="1678898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Возрастная группа: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" name="Rectangle 63"/>
                        <wps:cNvSpPr/>
                        <wps:spPr>
                          <a:xfrm>
                            <a:off x="3917315" y="4457823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" name="Rectangle 64"/>
                        <wps:cNvSpPr/>
                        <wps:spPr>
                          <a:xfrm>
                            <a:off x="4054729" y="4457823"/>
                            <a:ext cx="79536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взрослые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" name="Rectangle 65"/>
                        <wps:cNvSpPr/>
                        <wps:spPr>
                          <a:xfrm>
                            <a:off x="4653661" y="4457823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6" name="Rectangle 66"/>
                        <wps:cNvSpPr/>
                        <wps:spPr>
                          <a:xfrm>
                            <a:off x="1341374" y="4974459"/>
                            <a:ext cx="1493232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Год утверждения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" name="Rectangle 67"/>
                        <wps:cNvSpPr/>
                        <wps:spPr>
                          <a:xfrm>
                            <a:off x="2464943" y="4974459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300" name="Rectangle 120300"/>
                        <wps:cNvSpPr/>
                        <wps:spPr>
                          <a:xfrm>
                            <a:off x="2553792" y="4974459"/>
                            <a:ext cx="168761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частота пересмотра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298" name="Rectangle 120298"/>
                        <wps:cNvSpPr/>
                        <wps:spPr>
                          <a:xfrm>
                            <a:off x="2503043" y="4974459"/>
                            <a:ext cx="6749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299" name="Rectangle 120299"/>
                        <wps:cNvSpPr/>
                        <wps:spPr>
                          <a:xfrm>
                            <a:off x="3822675" y="4974459"/>
                            <a:ext cx="67497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" name="Rectangle 69"/>
                        <wps:cNvSpPr/>
                        <wps:spPr>
                          <a:xfrm>
                            <a:off x="3873119" y="4974459"/>
                            <a:ext cx="56348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" name="Rectangle 70"/>
                        <wps:cNvSpPr/>
                        <wps:spPr>
                          <a:xfrm>
                            <a:off x="3917315" y="4974459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" name="Rectangle 71"/>
                        <wps:cNvSpPr/>
                        <wps:spPr>
                          <a:xfrm>
                            <a:off x="4054729" y="4974459"/>
                            <a:ext cx="202692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" name="Rectangle 72"/>
                        <wps:cNvSpPr/>
                        <wps:spPr>
                          <a:xfrm>
                            <a:off x="4207129" y="4974459"/>
                            <a:ext cx="202692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23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" name="Rectangle 73"/>
                        <wps:cNvSpPr/>
                        <wps:spPr>
                          <a:xfrm>
                            <a:off x="4359529" y="4974459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" name="Rectangle 74"/>
                        <wps:cNvSpPr/>
                        <wps:spPr>
                          <a:xfrm>
                            <a:off x="1284986" y="5492619"/>
                            <a:ext cx="107670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Разработчик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5" name="Rectangle 75"/>
                        <wps:cNvSpPr/>
                        <wps:spPr>
                          <a:xfrm>
                            <a:off x="2094230" y="5492619"/>
                            <a:ext cx="10844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" name="Rectangle 76"/>
                        <wps:cNvSpPr/>
                        <wps:spPr>
                          <a:xfrm>
                            <a:off x="2176526" y="5492619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7" name="Rectangle 77"/>
                        <wps:cNvSpPr/>
                        <wps:spPr>
                          <a:xfrm>
                            <a:off x="2214626" y="5492619"/>
                            <a:ext cx="2458249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клинической рекомендации: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8" name="Rectangle 78"/>
                        <wps:cNvSpPr/>
                        <wps:spPr>
                          <a:xfrm>
                            <a:off x="4063873" y="5510583"/>
                            <a:ext cx="42058" cy="1530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9" name="Rectangle 79"/>
                        <wps:cNvSpPr/>
                        <wps:spPr>
                          <a:xfrm>
                            <a:off x="1734566" y="5680325"/>
                            <a:ext cx="93238" cy="1850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•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" name="Rectangle 80"/>
                        <wps:cNvSpPr/>
                        <wps:spPr>
                          <a:xfrm>
                            <a:off x="1804670" y="5675042"/>
                            <a:ext cx="5634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1" name="Rectangle 81"/>
                        <wps:cNvSpPr/>
                        <wps:spPr>
                          <a:xfrm>
                            <a:off x="1963166" y="5680325"/>
                            <a:ext cx="162883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Межрегиональная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2" name="Rectangle 82"/>
                        <wps:cNvSpPr/>
                        <wps:spPr>
                          <a:xfrm>
                            <a:off x="3246755" y="5680325"/>
                            <a:ext cx="4031139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общественная организация «Российское Ре-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" name="Rectangle 83"/>
                        <wps:cNvSpPr/>
                        <wps:spPr>
                          <a:xfrm>
                            <a:off x="1963166" y="5940929"/>
                            <a:ext cx="211124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спираторное Общество»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4" name="Rectangle 84"/>
                        <wps:cNvSpPr/>
                        <wps:spPr>
                          <a:xfrm>
                            <a:off x="3551555" y="5940929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5" name="Rectangle 85"/>
                        <wps:cNvSpPr/>
                        <wps:spPr>
                          <a:xfrm>
                            <a:off x="1734566" y="6216773"/>
                            <a:ext cx="93238" cy="1850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•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" name="Rectangle 86"/>
                        <wps:cNvSpPr/>
                        <wps:spPr>
                          <a:xfrm>
                            <a:off x="1804670" y="6211490"/>
                            <a:ext cx="5634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7" name="Rectangle 87"/>
                        <wps:cNvSpPr/>
                        <wps:spPr>
                          <a:xfrm>
                            <a:off x="1963166" y="6216773"/>
                            <a:ext cx="573436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Российская общественная организация «Российское научное ме-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" name="Rectangle 88"/>
                        <wps:cNvSpPr/>
                        <wps:spPr>
                          <a:xfrm>
                            <a:off x="1963166" y="6478901"/>
                            <a:ext cx="2893429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дицинское общество терапевтов»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" name="Rectangle 89"/>
                        <wps:cNvSpPr/>
                        <wps:spPr>
                          <a:xfrm>
                            <a:off x="4140073" y="6478901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0" name="Rectangle 90"/>
                        <wps:cNvSpPr/>
                        <wps:spPr>
                          <a:xfrm>
                            <a:off x="1284986" y="6741029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1" name="Rectangle 91"/>
                        <wps:cNvSpPr/>
                        <wps:spPr>
                          <a:xfrm>
                            <a:off x="1284986" y="7013974"/>
                            <a:ext cx="59287" cy="2119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A0918" w:rsidRDefault="00D87DBB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20347" style="width:595.32pt;height:841.92pt;position:absolute;mso-position-horizontal-relative:page;mso-position-horizontal:absolute;margin-left:0pt;mso-position-vertical-relative:page;margin-top:0pt;" coordsize="75605,106923">
                <v:rect id="Rectangle 6" style="position:absolute;width:506;height:1843;left:40684;top:485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" style="position:absolute;width:506;height:1843;left:10808;top:660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50170" style="position:absolute;width:75605;height:106923;left:0;top:0;" coordsize="7560564,10692381" path="m0,0l7560564,0l7560564,10692381l0,10692381l0,0">
                  <v:stroke weight="0pt" endcap="flat" joinstyle="miter" miterlimit="10" on="false" color="#000000" opacity="0"/>
                  <v:fill on="true" color="#0b595d" opacity="0.0980392"/>
                </v:shape>
                <v:shape id="Shape 150171" style="position:absolute;width:70389;height:84404;left:1447;top:3613;" coordsize="7038975,8440420" path="m0,0l7038975,0l7038975,8440420l0,8440420l0,0">
                  <v:stroke weight="0pt" endcap="flat" joinstyle="miter" miterlimit="10" on="false" color="#000000" opacity="0"/>
                  <v:fill on="true" color="#ffffff"/>
                </v:shape>
                <v:shape id="Shape 150172" style="position:absolute;width:34290;height:14859;left:2552;top:90398;" coordsize="3429000,1485900" path="m0,0l3429000,0l3429000,1485900l0,1485900l0,0">
                  <v:stroke weight="0pt" endcap="flat" joinstyle="miter" miterlimit="10" on="false" color="#000000" opacity="0"/>
                  <v:fill on="true" color="#ffffff"/>
                </v:shape>
                <v:shape id="Shape 150173" style="position:absolute;width:33585;height:14859;left:39236;top:90341;" coordsize="3358515,1485900" path="m0,0l3358515,0l3358515,1485900l0,1485900l0,0">
                  <v:stroke weight="0pt" endcap="flat" joinstyle="miter" miterlimit="10" on="false" color="#000000" opacity="0"/>
                  <v:fill on="true" color="#ffffff"/>
                </v:shape>
                <v:shape id="Shape 150174" style="position:absolute;width:32791;height:13182;left:3333;top:91541;" coordsize="3279140,1318260" path="m0,0l3279140,0l3279140,1318260l0,1318260l0,0">
                  <v:stroke weight="0pt" endcap="flat" joinstyle="miter" miterlimit="10" on="false" color="#000000" opacity="0"/>
                  <v:fill on="true" color="#ffffff"/>
                </v:shape>
                <v:rect id="Rectangle 16" style="position:absolute;width:10776;height:1666;left:4282;top:9239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2"/>
                          </w:rPr>
                          <w:t xml:space="preserve">Утверждены</w:t>
                        </w:r>
                      </w:p>
                    </w:txbxContent>
                  </v:textbox>
                </v:rect>
                <v:rect id="Rectangle 17" style="position:absolute;width:466;height:1666;left:12377;top:9239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" style="position:absolute;width:32062;height:1696;left:4282;top:9397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2"/>
                          </w:rPr>
                          <w:t xml:space="preserve">Российским респираторным обществом </w:t>
                        </w:r>
                      </w:p>
                    </w:txbxContent>
                  </v:textbox>
                </v:rect>
                <v:rect id="Rectangle 19" style="position:absolute;width:466;height:1696;left:28383;top:9397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0" style="position:absolute;width:41081;height:1843;left:4282;top:9562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Российская общественная организация «Рос-</w:t>
                        </w:r>
                      </w:p>
                    </w:txbxContent>
                  </v:textbox>
                </v:rect>
                <v:rect id="Rectangle 21" style="position:absolute;width:41083;height:1843;left:4282;top:9737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сийское научное медицинское общество тера-</w:t>
                        </w:r>
                      </w:p>
                    </w:txbxContent>
                  </v:textbox>
                </v:rect>
                <v:rect id="Rectangle 22" style="position:absolute;width:6810;height:1843;left:4282;top:9912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певтов»</w:t>
                        </w:r>
                      </w:p>
                    </w:txbxContent>
                  </v:textbox>
                </v:rect>
                <v:rect id="Rectangle 23" style="position:absolute;width:506;height:1843;left:9406;top:9912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4" style="position:absolute;width:466;height:1696;left:4282;top:1008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5" style="position:absolute;width:466;height:1666;left:6568;top:10248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6" style="position:absolute;width:506;height:1843;left:15303;top:836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" style="position:absolute;width:506;height:1843;left:15303;top:1100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8" style="position:absolute;width:506;height:1843;left:10808;top:1386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9" style="position:absolute;width:592;height:2119;left:29099;top:1371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31" style="position:absolute;width:14178;height:9475;left:30789;top:7918;" filled="f">
                  <v:imagedata r:id="rId8"/>
                </v:shape>
                <v:shape id="Shape 150175" style="position:absolute;width:32797;height:13188;left:39649;top:91363;" coordsize="3279775,1318896" path="m0,0l3279775,0l3279775,1318896l0,1318896l0,0">
                  <v:stroke weight="0pt" endcap="flat" joinstyle="miter" miterlimit="10" on="false" color="#000000" opacity="0"/>
                  <v:fill on="true" color="#ffffff"/>
                </v:shape>
                <v:rect id="Rectangle 33" style="position:absolute;width:11302;height:1666;left:42894;top:9221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2"/>
                          </w:rPr>
                          <w:t xml:space="preserve">Согласованы</w:t>
                        </w:r>
                      </w:p>
                    </w:txbxContent>
                  </v:textbox>
                </v:rect>
                <v:rect id="Rectangle 34" style="position:absolute;width:466;height:1696;left:51398;top:9218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5" style="position:absolute;width:466;height:1696;left:51733;top:9218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6" style="position:absolute;width:26587;height:1696;left:42894;top:9378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2"/>
                          </w:rPr>
                          <w:t xml:space="preserve">Научным советом Министерства </w:t>
                        </w:r>
                      </w:p>
                    </w:txbxContent>
                  </v:textbox>
                </v:rect>
                <v:rect id="Rectangle 37" style="position:absolute;width:9683;height:1696;left:62892;top:9378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2"/>
                          </w:rPr>
                          <w:t xml:space="preserve">Здравоохра-</w:t>
                        </w:r>
                      </w:p>
                    </w:txbxContent>
                  </v:textbox>
                </v:rect>
                <v:rect id="Rectangle 38" style="position:absolute;width:23637;height:1696;left:42894;top:954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2"/>
                          </w:rPr>
                          <w:t xml:space="preserve">нения Российской Федерации</w:t>
                        </w:r>
                      </w:p>
                    </w:txbxContent>
                  </v:textbox>
                </v:rect>
                <v:rect id="Rectangle 39" style="position:absolute;width:466;height:1696;left:60667;top:954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0" style="position:absolute;width:13499;height:1696;left:42894;top:9701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2"/>
                          </w:rPr>
                          <w:t xml:space="preserve">__ __________20</w:t>
                        </w:r>
                      </w:p>
                    </w:txbxContent>
                  </v:textbox>
                </v:rect>
                <v:rect id="Rectangle 41" style="position:absolute;width:932;height:1696;left:53028;top:9701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2"/>
                          </w:rPr>
                          <w:t xml:space="preserve">_</w:t>
                        </w:r>
                      </w:p>
                    </w:txbxContent>
                  </v:textbox>
                </v:rect>
                <v:rect id="Rectangle 42" style="position:absolute;width:2633;height:1696;left:53729;top:9701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2"/>
                          </w:rPr>
                          <w:t xml:space="preserve">_ г.</w:t>
                        </w:r>
                      </w:p>
                    </w:txbxContent>
                  </v:textbox>
                </v:rect>
                <v:rect id="Rectangle 43" style="position:absolute;width:466;height:1666;left:55695;top:9704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50176" style="position:absolute;width:52679;height:60598;left:11893;top:22128;" coordsize="5267960,6059806" path="m0,0l5267960,0l5267960,6059806l0,6059806l0,0">
                  <v:stroke weight="0pt" endcap="flat" joinstyle="miter" miterlimit="10" on="false" color="#000000" opacity="0"/>
                  <v:fill on="true" color="#ffffff"/>
                </v:shape>
                <v:rect id="Rectangle 45" style="position:absolute;width:11908;height:1843;left:12849;top:2297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808080"/>
                            <w:sz w:val="24"/>
                          </w:rPr>
                          <w:t xml:space="preserve">Клинические </w:t>
                        </w:r>
                      </w:p>
                    </w:txbxContent>
                  </v:textbox>
                </v:rect>
                <v:rect id="Rectangle 46" style="position:absolute;width:12366;height:1843;left:21810;top:2297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767171"/>
                            <w:sz w:val="24"/>
                          </w:rPr>
                          <w:t xml:space="preserve">рекомендации</w:t>
                        </w:r>
                      </w:p>
                    </w:txbxContent>
                  </v:textbox>
                </v:rect>
                <v:rect id="Rectangle 47" style="position:absolute;width:592;height:2157;left:31111;top:227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8" style="position:absolute;width:63357;height:3314;left:12849;top:250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44"/>
                          </w:rPr>
                          <w:t xml:space="preserve">Хроническая обструктивная болезнь </w:t>
                        </w:r>
                      </w:p>
                    </w:txbxContent>
                  </v:textbox>
                </v:rect>
                <v:rect id="Rectangle 49" style="position:absolute;width:11546;height:3314;left:12849;top:2830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44"/>
                          </w:rPr>
                          <w:t xml:space="preserve">легких</w:t>
                        </w:r>
                      </w:p>
                    </w:txbxContent>
                  </v:textbox>
                </v:rect>
                <v:rect id="Rectangle 50" style="position:absolute;width:592;height:2157;left:21536;top:2895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1" style="position:absolute;width:34769;height:1843;left:13032;top:368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Кодирование по Международной стати-</w:t>
                        </w:r>
                      </w:p>
                    </w:txbxContent>
                  </v:textbox>
                </v:rect>
                <v:rect id="Rectangle 52" style="position:absolute;width:33034;height:1843;left:14693;top:3886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стической классификации болезней и </w:t>
                        </w:r>
                      </w:p>
                    </w:txbxContent>
                  </v:textbox>
                </v:rect>
                <v:rect id="Rectangle 53" style="position:absolute;width:30306;height:1843;left:16751;top:4087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проблем, связанных со здоровьем: </w:t>
                        </w:r>
                      </w:p>
                    </w:txbxContent>
                  </v:textbox>
                </v:rect>
                <v:rect id="Rectangle 54" style="position:absolute;width:506;height:1843;left:39554;top:4087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5" style="position:absolute;width:420;height:1530;left:39173;top:4283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6" style="position:absolute;width:506;height:1843;left:40547;top:3768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7" style="position:absolute;width:506;height:1843;left:40547;top:397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8" style="position:absolute;width:788;height:1843;left:40547;top:417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J</w:t>
                        </w:r>
                      </w:p>
                    </w:txbxContent>
                  </v:textbox>
                </v:rect>
                <v:rect id="Rectangle 59" style="position:absolute;width:1013;height:1843;left:41141;top:417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4</w:t>
                        </w:r>
                      </w:p>
                    </w:txbxContent>
                  </v:textbox>
                </v:rect>
                <v:rect id="Rectangle 60" style="position:absolute;width:1013;height:1843;left:41903;top:417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4</w:t>
                        </w:r>
                      </w:p>
                    </w:txbxContent>
                  </v:textbox>
                </v:rect>
                <v:rect id="Rectangle 61" style="position:absolute;width:506;height:1843;left:42665;top:417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2" style="position:absolute;width:16788;height:1843;left:26554;top:4457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Возрастная группа:</w:t>
                        </w:r>
                      </w:p>
                    </w:txbxContent>
                  </v:textbox>
                </v:rect>
                <v:rect id="Rectangle 63" style="position:absolute;width:506;height:1843;left:39173;top:4457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4" style="position:absolute;width:7953;height:1843;left:40547;top:4457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взрослые</w:t>
                        </w:r>
                      </w:p>
                    </w:txbxContent>
                  </v:textbox>
                </v:rect>
                <v:rect id="Rectangle 65" style="position:absolute;width:506;height:1843;left:46536;top:4457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6" style="position:absolute;width:14932;height:1843;left:13413;top:497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Год утверждения</w:t>
                        </w:r>
                      </w:p>
                    </w:txbxContent>
                  </v:textbox>
                </v:rect>
                <v:rect id="Rectangle 67" style="position:absolute;width:506;height:1843;left:24649;top:497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0300" style="position:absolute;width:16876;height:1843;left:25537;top:497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частота пересмотра</w:t>
                        </w:r>
                      </w:p>
                    </w:txbxContent>
                  </v:textbox>
                </v:rect>
                <v:rect id="Rectangle 120298" style="position:absolute;width:674;height:1843;left:25030;top:497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(</w:t>
                        </w:r>
                      </w:p>
                    </w:txbxContent>
                  </v:textbox>
                </v:rect>
                <v:rect id="Rectangle 120299" style="position:absolute;width:674;height:1843;left:38226;top:497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)</w:t>
                        </w:r>
                      </w:p>
                    </w:txbxContent>
                  </v:textbox>
                </v:rect>
                <v:rect id="Rectangle 69" style="position:absolute;width:563;height:1843;left:38731;top:497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:</w:t>
                        </w:r>
                      </w:p>
                    </w:txbxContent>
                  </v:textbox>
                </v:rect>
                <v:rect id="Rectangle 70" style="position:absolute;width:506;height:1843;left:39173;top:497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1" style="position:absolute;width:2026;height:1843;left:40547;top:497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20</w:t>
                        </w:r>
                      </w:p>
                    </w:txbxContent>
                  </v:textbox>
                </v:rect>
                <v:rect id="Rectangle 72" style="position:absolute;width:2026;height:1843;left:42071;top:497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23</w:t>
                        </w:r>
                      </w:p>
                    </w:txbxContent>
                  </v:textbox>
                </v:rect>
                <v:rect id="Rectangle 73" style="position:absolute;width:506;height:1843;left:43595;top:497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4" style="position:absolute;width:10767;height:1843;left:12849;top:549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Разработчик</w:t>
                        </w:r>
                      </w:p>
                    </w:txbxContent>
                  </v:textbox>
                </v:rect>
                <v:rect id="Rectangle 75" style="position:absolute;width:1084;height:1843;left:20942;top:549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и</w:t>
                        </w:r>
                      </w:p>
                    </w:txbxContent>
                  </v:textbox>
                </v:rect>
                <v:rect id="Rectangle 76" style="position:absolute;width:506;height:1843;left:21765;top:549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7" style="position:absolute;width:24582;height:1843;left:22146;top:549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клинической рекомендации:</w:t>
                        </w:r>
                      </w:p>
                    </w:txbxContent>
                  </v:textbox>
                </v:rect>
                <v:rect id="Rectangle 78" style="position:absolute;width:420;height:1530;left:40638;top:5510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9" style="position:absolute;width:932;height:1850;left:17345;top:5680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•</w:t>
                        </w:r>
                      </w:p>
                    </w:txbxContent>
                  </v:textbox>
                </v:rect>
                <v:rect id="Rectangle 80" style="position:absolute;width:563;height:1905;left:18046;top:5675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Arial" w:hAnsi="Arial" w:eastAsia="Arial" w:asci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1" style="position:absolute;width:16288;height:1843;left:19631;top:5680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Межрегиональная </w:t>
                        </w:r>
                      </w:p>
                    </w:txbxContent>
                  </v:textbox>
                </v:rect>
                <v:rect id="Rectangle 82" style="position:absolute;width:40311;height:1843;left:32467;top:5680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общественная организация «Российское Ре-</w:t>
                        </w:r>
                      </w:p>
                    </w:txbxContent>
                  </v:textbox>
                </v:rect>
                <v:rect id="Rectangle 83" style="position:absolute;width:21112;height:1843;left:19631;top:5940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спираторное Общество»</w:t>
                        </w:r>
                      </w:p>
                    </w:txbxContent>
                  </v:textbox>
                </v:rect>
                <v:rect id="Rectangle 84" style="position:absolute;width:506;height:1843;left:35515;top:5940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5" style="position:absolute;width:932;height:1850;left:17345;top:6216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•</w:t>
                        </w:r>
                      </w:p>
                    </w:txbxContent>
                  </v:textbox>
                </v:rect>
                <v:rect id="Rectangle 86" style="position:absolute;width:563;height:1905;left:18046;top:6211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Arial" w:hAnsi="Arial" w:eastAsia="Arial" w:asci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7" style="position:absolute;width:57343;height:1843;left:19631;top:6216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Российская общественная организация «Российское научное ме-</w:t>
                        </w:r>
                      </w:p>
                    </w:txbxContent>
                  </v:textbox>
                </v:rect>
                <v:rect id="Rectangle 88" style="position:absolute;width:28934;height:1843;left:19631;top:6478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дицинское общество терапевтов»</w:t>
                        </w:r>
                      </w:p>
                    </w:txbxContent>
                  </v:textbox>
                </v:rect>
                <v:rect id="Rectangle 89" style="position:absolute;width:506;height:1843;left:41400;top:6478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0" style="position:absolute;width:506;height:1843;left:12849;top:6741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1" style="position:absolute;width:592;height:2119;left:12849;top:7013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topAndBottom"/>
              </v:group>
            </w:pict>
          </mc:Fallback>
        </mc:AlternateContent>
      </w:r>
      <w:r>
        <w:br w:type="page"/>
      </w:r>
    </w:p>
    <w:p w:rsidR="003A0918" w:rsidRDefault="00D87DBB">
      <w:pPr>
        <w:pStyle w:val="Heading1"/>
        <w:spacing w:after="212"/>
        <w:ind w:left="870" w:right="298"/>
      </w:pPr>
      <w:r>
        <w:lastRenderedPageBreak/>
        <w:t>Оглавление</w:t>
      </w:r>
      <w:r>
        <w:t xml:space="preserve"> </w:t>
      </w:r>
    </w:p>
    <w:p w:rsidR="003A0918" w:rsidRDefault="00D87DBB">
      <w:pPr>
        <w:spacing w:after="4"/>
        <w:ind w:left="1285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Оглавление </w:t>
      </w:r>
      <w:r>
        <w:rPr>
          <w:rFonts w:ascii="Times New Roman" w:eastAsia="Times New Roman" w:hAnsi="Times New Roman" w:cs="Times New Roman"/>
          <w:sz w:val="24"/>
        </w:rPr>
        <w:t>................................................................................................................................... 2</w:t>
      </w:r>
      <w:r>
        <w:t xml:space="preserve"> </w:t>
      </w:r>
    </w:p>
    <w:p w:rsidR="003A0918" w:rsidRDefault="00D87DBB">
      <w:pPr>
        <w:spacing w:after="4"/>
        <w:ind w:left="1285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Список сокращений 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4"/>
        </w:rPr>
        <w:t>............. 4</w:t>
      </w:r>
      <w:r>
        <w:t xml:space="preserve"> </w:t>
      </w:r>
    </w:p>
    <w:p w:rsidR="003A0918" w:rsidRDefault="00D87DBB">
      <w:pPr>
        <w:spacing w:after="4"/>
        <w:ind w:left="1285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Термины и определения ............................................................................................................. 6</w:t>
      </w:r>
      <w:r>
        <w:t xml:space="preserve"> </w:t>
      </w:r>
    </w:p>
    <w:p w:rsidR="003A0918" w:rsidRDefault="00D87DBB">
      <w:pPr>
        <w:numPr>
          <w:ilvl w:val="0"/>
          <w:numId w:val="1"/>
        </w:numPr>
        <w:spacing w:after="5"/>
        <w:ind w:right="560" w:hanging="24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Краткая информация по заболеванию или состоянию (группе заболеваний или </w:t>
      </w:r>
    </w:p>
    <w:p w:rsidR="003A0918" w:rsidRDefault="00D87DBB">
      <w:pPr>
        <w:spacing w:after="4"/>
        <w:ind w:left="1285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состояний) ....................</w:t>
      </w:r>
      <w:r>
        <w:rPr>
          <w:rFonts w:ascii="Times New Roman" w:eastAsia="Times New Roman" w:hAnsi="Times New Roman" w:cs="Times New Roman"/>
          <w:sz w:val="24"/>
        </w:rPr>
        <w:t>................................................................................................................ 7</w:t>
      </w:r>
      <w:r>
        <w:t xml:space="preserve"> </w:t>
      </w:r>
    </w:p>
    <w:p w:rsidR="003A0918" w:rsidRDefault="00D87DBB">
      <w:pPr>
        <w:numPr>
          <w:ilvl w:val="1"/>
          <w:numId w:val="1"/>
        </w:numPr>
        <w:spacing w:after="5"/>
        <w:ind w:right="563" w:hanging="360"/>
        <w:jc w:val="both"/>
      </w:pPr>
      <w:r>
        <w:rPr>
          <w:rFonts w:ascii="Times New Roman" w:eastAsia="Times New Roman" w:hAnsi="Times New Roman" w:cs="Times New Roman"/>
          <w:sz w:val="24"/>
        </w:rPr>
        <w:t>Определение заболевания или состояния (группы заболеваний или состояний) ......... 7</w:t>
      </w:r>
      <w:r>
        <w:t xml:space="preserve"> </w:t>
      </w:r>
    </w:p>
    <w:p w:rsidR="003A0918" w:rsidRDefault="00D87DBB">
      <w:pPr>
        <w:numPr>
          <w:ilvl w:val="1"/>
          <w:numId w:val="1"/>
        </w:numPr>
        <w:spacing w:after="5"/>
        <w:ind w:right="563" w:hanging="360"/>
        <w:jc w:val="both"/>
      </w:pPr>
      <w:r>
        <w:rPr>
          <w:rFonts w:ascii="Times New Roman" w:eastAsia="Times New Roman" w:hAnsi="Times New Roman" w:cs="Times New Roman"/>
          <w:sz w:val="24"/>
        </w:rPr>
        <w:t>Этиология и патогенез заболевания или состояния (групп</w:t>
      </w:r>
      <w:r>
        <w:rPr>
          <w:rFonts w:ascii="Times New Roman" w:eastAsia="Times New Roman" w:hAnsi="Times New Roman" w:cs="Times New Roman"/>
          <w:sz w:val="24"/>
        </w:rPr>
        <w:t xml:space="preserve">ы заболеваний или </w:t>
      </w:r>
    </w:p>
    <w:p w:rsidR="003A0918" w:rsidRDefault="00D87DBB">
      <w:pPr>
        <w:spacing w:after="4"/>
        <w:ind w:left="1383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состояний) .................................................................................................................................. 7</w:t>
      </w:r>
      <w:r>
        <w:t xml:space="preserve"> </w:t>
      </w:r>
    </w:p>
    <w:p w:rsidR="003A0918" w:rsidRDefault="00D87DBB">
      <w:pPr>
        <w:numPr>
          <w:ilvl w:val="1"/>
          <w:numId w:val="1"/>
        </w:numPr>
        <w:spacing w:after="3" w:line="235" w:lineRule="auto"/>
        <w:ind w:right="563" w:hanging="360"/>
        <w:jc w:val="both"/>
      </w:pPr>
      <w:r>
        <w:rPr>
          <w:rFonts w:ascii="Times New Roman" w:eastAsia="Times New Roman" w:hAnsi="Times New Roman" w:cs="Times New Roman"/>
          <w:sz w:val="24"/>
        </w:rPr>
        <w:t>Эпидемиология заболевания или состояния (группы заболеваний или состояний) .. 11</w:t>
      </w:r>
      <w:r>
        <w:t xml:space="preserve"> </w:t>
      </w:r>
      <w:r>
        <w:rPr>
          <w:rFonts w:ascii="Times New Roman" w:eastAsia="Times New Roman" w:hAnsi="Times New Roman" w:cs="Times New Roman"/>
          <w:sz w:val="24"/>
        </w:rPr>
        <w:t>1.4 Особенн</w:t>
      </w:r>
      <w:r>
        <w:rPr>
          <w:rFonts w:ascii="Times New Roman" w:eastAsia="Times New Roman" w:hAnsi="Times New Roman" w:cs="Times New Roman"/>
          <w:sz w:val="24"/>
        </w:rPr>
        <w:t xml:space="preserve">ости кодирования заболевания или состояния (группы заболеваний или состояний) по Международной статистической классификации болезней и проблем, </w:t>
      </w:r>
    </w:p>
    <w:p w:rsidR="003A0918" w:rsidRDefault="00D87DBB">
      <w:pPr>
        <w:spacing w:after="4"/>
        <w:ind w:left="1383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связанных со здоровьем 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4"/>
        </w:rPr>
        <w:t>.................. 12</w:t>
      </w:r>
      <w:r>
        <w:t xml:space="preserve"> </w:t>
      </w:r>
    </w:p>
    <w:p w:rsidR="003A0918" w:rsidRDefault="00D87DBB">
      <w:pPr>
        <w:numPr>
          <w:ilvl w:val="1"/>
          <w:numId w:val="2"/>
        </w:numPr>
        <w:spacing w:after="5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>Классификация заболевания или состояния (группы заболеваний или состояний) ... 12</w:t>
      </w:r>
      <w:r>
        <w:t xml:space="preserve"> </w:t>
      </w:r>
    </w:p>
    <w:p w:rsidR="003A0918" w:rsidRDefault="00D87DBB">
      <w:pPr>
        <w:numPr>
          <w:ilvl w:val="1"/>
          <w:numId w:val="2"/>
        </w:numPr>
        <w:spacing w:after="5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Клиническая картина заболевания или состояния (группы заболеваний или </w:t>
      </w:r>
    </w:p>
    <w:p w:rsidR="003A0918" w:rsidRDefault="00D87DBB">
      <w:pPr>
        <w:spacing w:after="4"/>
        <w:ind w:left="1383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состояний) ....................................................................</w:t>
      </w:r>
      <w:r>
        <w:rPr>
          <w:rFonts w:ascii="Times New Roman" w:eastAsia="Times New Roman" w:hAnsi="Times New Roman" w:cs="Times New Roman"/>
          <w:sz w:val="24"/>
        </w:rPr>
        <w:t>............................................................ 15</w:t>
      </w:r>
      <w:r>
        <w:t xml:space="preserve"> </w:t>
      </w:r>
    </w:p>
    <w:p w:rsidR="003A0918" w:rsidRDefault="00D87DBB">
      <w:pPr>
        <w:numPr>
          <w:ilvl w:val="0"/>
          <w:numId w:val="1"/>
        </w:numPr>
        <w:spacing w:after="5" w:line="238" w:lineRule="auto"/>
        <w:ind w:right="560" w:hanging="240"/>
        <w:jc w:val="both"/>
      </w:pPr>
      <w:r>
        <w:rPr>
          <w:rFonts w:ascii="Times New Roman" w:eastAsia="Times New Roman" w:hAnsi="Times New Roman" w:cs="Times New Roman"/>
          <w:sz w:val="24"/>
        </w:rPr>
        <w:t>Диагностика заболевания или состояния (группы заболеваний или состояний), медицинские показания и противопоказания к применению методов диагностики ......... 17</w:t>
      </w:r>
      <w:r>
        <w:t xml:space="preserve"> </w:t>
      </w:r>
    </w:p>
    <w:p w:rsidR="003A0918" w:rsidRDefault="00D87DBB">
      <w:pPr>
        <w:numPr>
          <w:ilvl w:val="1"/>
          <w:numId w:val="1"/>
        </w:numPr>
        <w:spacing w:after="4"/>
        <w:ind w:right="563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Жалобы и анамнез </w:t>
      </w:r>
      <w:r>
        <w:rPr>
          <w:rFonts w:ascii="Times New Roman" w:eastAsia="Times New Roman" w:hAnsi="Times New Roman" w:cs="Times New Roman"/>
          <w:sz w:val="24"/>
        </w:rPr>
        <w:t>............................................................................................................. 17</w:t>
      </w:r>
      <w:r>
        <w:t xml:space="preserve"> </w:t>
      </w:r>
    </w:p>
    <w:p w:rsidR="003A0918" w:rsidRDefault="00D87DBB">
      <w:pPr>
        <w:numPr>
          <w:ilvl w:val="1"/>
          <w:numId w:val="1"/>
        </w:numPr>
        <w:spacing w:after="4"/>
        <w:ind w:right="563" w:hanging="360"/>
        <w:jc w:val="both"/>
      </w:pPr>
      <w:r>
        <w:rPr>
          <w:rFonts w:ascii="Times New Roman" w:eastAsia="Times New Roman" w:hAnsi="Times New Roman" w:cs="Times New Roman"/>
          <w:sz w:val="24"/>
        </w:rPr>
        <w:t>Физикальное обследование .............................................................................................. 18</w:t>
      </w:r>
      <w:r>
        <w:t xml:space="preserve"> </w:t>
      </w:r>
    </w:p>
    <w:p w:rsidR="003A0918" w:rsidRDefault="00D87DBB">
      <w:pPr>
        <w:numPr>
          <w:ilvl w:val="1"/>
          <w:numId w:val="1"/>
        </w:numPr>
        <w:spacing w:after="4"/>
        <w:ind w:right="563" w:hanging="360"/>
        <w:jc w:val="both"/>
      </w:pPr>
      <w:r>
        <w:rPr>
          <w:rFonts w:ascii="Times New Roman" w:eastAsia="Times New Roman" w:hAnsi="Times New Roman" w:cs="Times New Roman"/>
          <w:sz w:val="24"/>
        </w:rPr>
        <w:t>Лабораторные диагн</w:t>
      </w:r>
      <w:r>
        <w:rPr>
          <w:rFonts w:ascii="Times New Roman" w:eastAsia="Times New Roman" w:hAnsi="Times New Roman" w:cs="Times New Roman"/>
          <w:sz w:val="24"/>
        </w:rPr>
        <w:t>остические исследования .............................................................. 18</w:t>
      </w:r>
      <w:r>
        <w:t xml:space="preserve"> </w:t>
      </w:r>
    </w:p>
    <w:p w:rsidR="003A0918" w:rsidRDefault="00D87DBB">
      <w:pPr>
        <w:numPr>
          <w:ilvl w:val="1"/>
          <w:numId w:val="1"/>
        </w:numPr>
        <w:spacing w:after="4"/>
        <w:ind w:right="563" w:hanging="360"/>
        <w:jc w:val="both"/>
      </w:pPr>
      <w:r>
        <w:rPr>
          <w:rFonts w:ascii="Times New Roman" w:eastAsia="Times New Roman" w:hAnsi="Times New Roman" w:cs="Times New Roman"/>
          <w:sz w:val="24"/>
        </w:rPr>
        <w:t>Инструментальные диагностические исследования ...................................................... 19</w:t>
      </w:r>
      <w:r>
        <w:t xml:space="preserve"> </w:t>
      </w:r>
    </w:p>
    <w:p w:rsidR="003A0918" w:rsidRDefault="00D87DBB">
      <w:pPr>
        <w:numPr>
          <w:ilvl w:val="1"/>
          <w:numId w:val="1"/>
        </w:numPr>
        <w:spacing w:after="4"/>
        <w:ind w:right="563" w:hanging="360"/>
        <w:jc w:val="both"/>
      </w:pPr>
      <w:r>
        <w:rPr>
          <w:rFonts w:ascii="Times New Roman" w:eastAsia="Times New Roman" w:hAnsi="Times New Roman" w:cs="Times New Roman"/>
          <w:sz w:val="24"/>
        </w:rPr>
        <w:t>Иные диагностические исследования ..........................</w:t>
      </w:r>
      <w:r>
        <w:rPr>
          <w:rFonts w:ascii="Times New Roman" w:eastAsia="Times New Roman" w:hAnsi="Times New Roman" w:cs="Times New Roman"/>
          <w:sz w:val="24"/>
        </w:rPr>
        <w:t>.................................................... 22</w:t>
      </w:r>
      <w:r>
        <w:t xml:space="preserve"> </w:t>
      </w:r>
    </w:p>
    <w:p w:rsidR="003A0918" w:rsidRDefault="00D87DBB">
      <w:pPr>
        <w:numPr>
          <w:ilvl w:val="1"/>
          <w:numId w:val="1"/>
        </w:numPr>
        <w:spacing w:after="4"/>
        <w:ind w:right="563" w:hanging="360"/>
        <w:jc w:val="both"/>
      </w:pPr>
      <w:r>
        <w:rPr>
          <w:rFonts w:ascii="Times New Roman" w:eastAsia="Times New Roman" w:hAnsi="Times New Roman" w:cs="Times New Roman"/>
          <w:sz w:val="24"/>
        </w:rPr>
        <w:t>Дифференциальная диагностика ХОБЛ .......................................................................... 23</w:t>
      </w:r>
      <w:r>
        <w:t xml:space="preserve"> </w:t>
      </w:r>
    </w:p>
    <w:p w:rsidR="003A0918" w:rsidRDefault="00D87DBB">
      <w:pPr>
        <w:numPr>
          <w:ilvl w:val="0"/>
          <w:numId w:val="1"/>
        </w:numPr>
        <w:spacing w:after="5" w:line="238" w:lineRule="auto"/>
        <w:ind w:right="560" w:hanging="240"/>
        <w:jc w:val="both"/>
      </w:pPr>
      <w:r>
        <w:rPr>
          <w:rFonts w:ascii="Times New Roman" w:eastAsia="Times New Roman" w:hAnsi="Times New Roman" w:cs="Times New Roman"/>
          <w:sz w:val="24"/>
        </w:rPr>
        <w:t>Лечение, включая медикаментозную и немедикаментозную терапии, диетотерапию, обезболива</w:t>
      </w:r>
      <w:r>
        <w:rPr>
          <w:rFonts w:ascii="Times New Roman" w:eastAsia="Times New Roman" w:hAnsi="Times New Roman" w:cs="Times New Roman"/>
          <w:sz w:val="24"/>
        </w:rPr>
        <w:t xml:space="preserve">ние, медицинские показания и противопоказания к применению методов </w:t>
      </w:r>
    </w:p>
    <w:p w:rsidR="003A0918" w:rsidRDefault="00D87DBB">
      <w:pPr>
        <w:spacing w:after="4"/>
        <w:ind w:left="1285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лечения ....................................................................................................................................... 25</w:t>
      </w:r>
      <w:r>
        <w:t xml:space="preserve"> </w:t>
      </w:r>
    </w:p>
    <w:p w:rsidR="003A0918" w:rsidRDefault="00D87DBB">
      <w:pPr>
        <w:numPr>
          <w:ilvl w:val="1"/>
          <w:numId w:val="1"/>
        </w:numPr>
        <w:spacing w:after="4"/>
        <w:ind w:right="563" w:hanging="360"/>
        <w:jc w:val="both"/>
      </w:pPr>
      <w:r>
        <w:rPr>
          <w:rFonts w:ascii="Times New Roman" w:eastAsia="Times New Roman" w:hAnsi="Times New Roman" w:cs="Times New Roman"/>
          <w:sz w:val="24"/>
        </w:rPr>
        <w:t>Консервативное лечение .................</w:t>
      </w:r>
      <w:r>
        <w:rPr>
          <w:rFonts w:ascii="Times New Roman" w:eastAsia="Times New Roman" w:hAnsi="Times New Roman" w:cs="Times New Roman"/>
          <w:sz w:val="24"/>
        </w:rPr>
        <w:t>.................................................................................. 25</w:t>
      </w:r>
      <w:r>
        <w:t xml:space="preserve"> </w:t>
      </w:r>
    </w:p>
    <w:p w:rsidR="003A0918" w:rsidRDefault="00D87DBB">
      <w:pPr>
        <w:numPr>
          <w:ilvl w:val="1"/>
          <w:numId w:val="1"/>
        </w:numPr>
        <w:spacing w:after="4"/>
        <w:ind w:right="563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Хирургическое лечение .................................................................................................... 42 </w:t>
      </w:r>
    </w:p>
    <w:p w:rsidR="003A0918" w:rsidRDefault="00D87DBB">
      <w:pPr>
        <w:numPr>
          <w:ilvl w:val="1"/>
          <w:numId w:val="1"/>
        </w:numPr>
        <w:spacing w:after="5"/>
        <w:ind w:right="563" w:hanging="360"/>
        <w:jc w:val="both"/>
      </w:pPr>
      <w:r>
        <w:rPr>
          <w:rFonts w:ascii="Times New Roman" w:eastAsia="Times New Roman" w:hAnsi="Times New Roman" w:cs="Times New Roman"/>
          <w:sz w:val="24"/>
        </w:rPr>
        <w:t>Другие методы лечения.....................</w:t>
      </w:r>
      <w:r>
        <w:rPr>
          <w:rFonts w:ascii="Times New Roman" w:eastAsia="Times New Roman" w:hAnsi="Times New Roman" w:cs="Times New Roman"/>
          <w:sz w:val="24"/>
        </w:rPr>
        <w:t xml:space="preserve">............................................................................    43 </w:t>
      </w:r>
    </w:p>
    <w:p w:rsidR="003A0918" w:rsidRDefault="00D87DBB">
      <w:pPr>
        <w:numPr>
          <w:ilvl w:val="1"/>
          <w:numId w:val="1"/>
        </w:numPr>
        <w:spacing w:after="4"/>
        <w:ind w:right="563" w:hanging="360"/>
        <w:jc w:val="both"/>
      </w:pPr>
      <w:r>
        <w:rPr>
          <w:rFonts w:ascii="Times New Roman" w:eastAsia="Times New Roman" w:hAnsi="Times New Roman" w:cs="Times New Roman"/>
          <w:sz w:val="24"/>
        </w:rPr>
        <w:t>Лечение обострений ХОБЛ .............................................................................................. 47</w:t>
      </w:r>
      <w:r>
        <w:t xml:space="preserve"> </w:t>
      </w:r>
    </w:p>
    <w:p w:rsidR="003A0918" w:rsidRDefault="00D87DBB">
      <w:pPr>
        <w:numPr>
          <w:ilvl w:val="0"/>
          <w:numId w:val="1"/>
        </w:numPr>
        <w:spacing w:after="5"/>
        <w:ind w:right="560" w:hanging="24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Медицинская реабилитация, медицинские показания и противопоказания к </w:t>
      </w:r>
    </w:p>
    <w:p w:rsidR="003A0918" w:rsidRDefault="00D87DBB">
      <w:pPr>
        <w:spacing w:after="4"/>
        <w:ind w:left="1285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применению методов реабилитации ....................................................................................... 54</w:t>
      </w:r>
      <w:r>
        <w:t xml:space="preserve"> </w:t>
      </w:r>
    </w:p>
    <w:p w:rsidR="003A0918" w:rsidRDefault="00D87DBB">
      <w:pPr>
        <w:numPr>
          <w:ilvl w:val="0"/>
          <w:numId w:val="1"/>
        </w:numPr>
        <w:spacing w:after="5"/>
        <w:ind w:right="560" w:hanging="24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Профилактика и диспансерное наблюдение, медицинские показания </w:t>
      </w:r>
      <w:r>
        <w:rPr>
          <w:rFonts w:ascii="Times New Roman" w:eastAsia="Times New Roman" w:hAnsi="Times New Roman" w:cs="Times New Roman"/>
          <w:sz w:val="24"/>
        </w:rPr>
        <w:t xml:space="preserve">и </w:t>
      </w:r>
    </w:p>
    <w:p w:rsidR="003A0918" w:rsidRDefault="00D87DBB">
      <w:pPr>
        <w:spacing w:after="4"/>
        <w:ind w:left="1285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противопоказания к применению методов профилактики ................................................... 57</w:t>
      </w:r>
      <w:r>
        <w:t xml:space="preserve"> </w:t>
      </w:r>
    </w:p>
    <w:p w:rsidR="003A0918" w:rsidRDefault="00D87DBB">
      <w:pPr>
        <w:numPr>
          <w:ilvl w:val="0"/>
          <w:numId w:val="1"/>
        </w:numPr>
        <w:spacing w:after="4"/>
        <w:ind w:right="560" w:hanging="240"/>
        <w:jc w:val="both"/>
      </w:pPr>
      <w:r>
        <w:rPr>
          <w:rFonts w:ascii="Times New Roman" w:eastAsia="Times New Roman" w:hAnsi="Times New Roman" w:cs="Times New Roman"/>
          <w:sz w:val="24"/>
        </w:rPr>
        <w:t>Организация оказания медицинской помощи .................................................................... 59</w:t>
      </w:r>
      <w:r>
        <w:t xml:space="preserve"> </w:t>
      </w:r>
    </w:p>
    <w:p w:rsidR="003A0918" w:rsidRDefault="00D87DBB">
      <w:pPr>
        <w:numPr>
          <w:ilvl w:val="0"/>
          <w:numId w:val="1"/>
        </w:numPr>
        <w:spacing w:after="5"/>
        <w:ind w:right="560" w:hanging="24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Дополнительная информация (в том числе факторы, влияющие на исход заболевания </w:t>
      </w:r>
    </w:p>
    <w:p w:rsidR="003A0918" w:rsidRDefault="00D87DBB">
      <w:pPr>
        <w:spacing w:after="4" w:line="245" w:lineRule="auto"/>
        <w:ind w:left="1285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или состояния) ........................................................................................................................... 61</w:t>
      </w:r>
      <w:r>
        <w:t xml:space="preserve"> </w:t>
      </w:r>
      <w:r>
        <w:rPr>
          <w:rFonts w:ascii="Times New Roman" w:eastAsia="Times New Roman" w:hAnsi="Times New Roman" w:cs="Times New Roman"/>
          <w:sz w:val="24"/>
        </w:rPr>
        <w:t>7.1 Критерии оценки качества медици</w:t>
      </w:r>
      <w:r>
        <w:rPr>
          <w:rFonts w:ascii="Times New Roman" w:eastAsia="Times New Roman" w:hAnsi="Times New Roman" w:cs="Times New Roman"/>
          <w:sz w:val="24"/>
        </w:rPr>
        <w:t>нской помощи ........................................................... 61</w:t>
      </w:r>
      <w:r>
        <w:t xml:space="preserve"> </w:t>
      </w:r>
    </w:p>
    <w:p w:rsidR="003A0918" w:rsidRDefault="00D87DBB">
      <w:pPr>
        <w:spacing w:after="4"/>
        <w:ind w:left="1285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Список литературы ................................................................................................................... 63</w:t>
      </w:r>
      <w:r>
        <w:t xml:space="preserve"> </w:t>
      </w:r>
    </w:p>
    <w:p w:rsidR="003A0918" w:rsidRDefault="00D87DBB">
      <w:pPr>
        <w:spacing w:after="5"/>
        <w:ind w:left="1285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Приложение А1. Состав рабочей группы по р</w:t>
      </w:r>
      <w:r>
        <w:rPr>
          <w:rFonts w:ascii="Times New Roman" w:eastAsia="Times New Roman" w:hAnsi="Times New Roman" w:cs="Times New Roman"/>
          <w:sz w:val="24"/>
        </w:rPr>
        <w:t xml:space="preserve">азработке и пересмотру клинических </w:t>
      </w:r>
    </w:p>
    <w:p w:rsidR="003A0918" w:rsidRDefault="00D87DBB">
      <w:pPr>
        <w:spacing w:after="4"/>
        <w:ind w:left="1285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рекомендаций ............................................................................................................................ 82</w:t>
      </w:r>
      <w:r>
        <w:t xml:space="preserve"> </w:t>
      </w:r>
    </w:p>
    <w:p w:rsidR="003A0918" w:rsidRDefault="00D87DBB">
      <w:pPr>
        <w:spacing w:after="3" w:line="235" w:lineRule="auto"/>
        <w:ind w:left="1285" w:right="402" w:hanging="10"/>
      </w:pPr>
      <w:r>
        <w:rPr>
          <w:rFonts w:ascii="Times New Roman" w:eastAsia="Times New Roman" w:hAnsi="Times New Roman" w:cs="Times New Roman"/>
          <w:sz w:val="24"/>
        </w:rPr>
        <w:t>Приложение А2. Методология разработки клинических рекомендаций ...............</w:t>
      </w:r>
      <w:r>
        <w:rPr>
          <w:rFonts w:ascii="Times New Roman" w:eastAsia="Times New Roman" w:hAnsi="Times New Roman" w:cs="Times New Roman"/>
          <w:sz w:val="24"/>
        </w:rPr>
        <w:t>............. 83</w:t>
      </w:r>
      <w: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Приложение А3. Справочные материалы, включая соответствие показаний к применению и противопоказаний, способов применения и доз лекарственных препаратов, инструкции </w:t>
      </w:r>
    </w:p>
    <w:p w:rsidR="003A0918" w:rsidRDefault="00D87DBB">
      <w:pPr>
        <w:spacing w:after="4"/>
        <w:ind w:left="1285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по применению лекарственного препарата ...................................</w:t>
      </w:r>
      <w:r>
        <w:rPr>
          <w:rFonts w:ascii="Times New Roman" w:eastAsia="Times New Roman" w:hAnsi="Times New Roman" w:cs="Times New Roman"/>
          <w:sz w:val="24"/>
        </w:rPr>
        <w:t>......................................... 85</w:t>
      </w:r>
      <w:r>
        <w:t xml:space="preserve"> </w:t>
      </w:r>
    </w:p>
    <w:p w:rsidR="003A0918" w:rsidRDefault="00D87DBB">
      <w:pPr>
        <w:spacing w:after="4"/>
        <w:ind w:left="1285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Приложение Б. Алгоритмы действий врача ........................................................................... 85</w:t>
      </w:r>
      <w:r>
        <w:t xml:space="preserve"> </w:t>
      </w:r>
    </w:p>
    <w:p w:rsidR="003A0918" w:rsidRDefault="00D87DBB">
      <w:pPr>
        <w:spacing w:after="5"/>
        <w:ind w:left="1383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Приложение Б1. Алгоритм ведения пациента с установленным диагнозом ХОБЛ. ........ 87</w:t>
      </w:r>
      <w:r>
        <w:t xml:space="preserve"> </w:t>
      </w:r>
    </w:p>
    <w:p w:rsidR="003A0918" w:rsidRDefault="00D87DBB">
      <w:pPr>
        <w:spacing w:after="3" w:line="235" w:lineRule="auto"/>
        <w:ind w:left="1383" w:right="402" w:hanging="10"/>
      </w:pPr>
      <w:r>
        <w:rPr>
          <w:rFonts w:ascii="Times New Roman" w:eastAsia="Times New Roman" w:hAnsi="Times New Roman" w:cs="Times New Roman"/>
          <w:sz w:val="24"/>
        </w:rPr>
        <w:t>Прило</w:t>
      </w:r>
      <w:r>
        <w:rPr>
          <w:rFonts w:ascii="Times New Roman" w:eastAsia="Times New Roman" w:hAnsi="Times New Roman" w:cs="Times New Roman"/>
          <w:sz w:val="24"/>
        </w:rPr>
        <w:t>жение Б2. Алгоритм длительной кислородотерапии. ............................................... 87</w:t>
      </w:r>
      <w:r>
        <w:t xml:space="preserve"> </w:t>
      </w:r>
      <w:r>
        <w:rPr>
          <w:rFonts w:ascii="Times New Roman" w:eastAsia="Times New Roman" w:hAnsi="Times New Roman" w:cs="Times New Roman"/>
          <w:sz w:val="24"/>
        </w:rPr>
        <w:t>Приложение Б3. Доказательства, подтверждающие снижение смертности при проведении фармакотерапии и немедикаментозного лечения у пациентов с ХОБЛ,,,,,,,,,,,,,,</w:t>
      </w:r>
      <w:r>
        <w:rPr>
          <w:rFonts w:ascii="Times New Roman" w:eastAsia="Times New Roman" w:hAnsi="Times New Roman" w:cs="Times New Roman"/>
          <w:sz w:val="24"/>
        </w:rPr>
        <w:t xml:space="preserve">,,,,,,,,,,,,,,,,,88 </w:t>
      </w:r>
    </w:p>
    <w:p w:rsidR="003A0918" w:rsidRDefault="00D87DBB">
      <w:pPr>
        <w:spacing w:after="5" w:line="238" w:lineRule="auto"/>
        <w:ind w:left="1285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Приложение В Информация для пациента__________________________________          90 </w:t>
      </w:r>
    </w:p>
    <w:p w:rsidR="003A0918" w:rsidRDefault="00D87DBB">
      <w:pPr>
        <w:spacing w:after="5" w:line="238" w:lineRule="auto"/>
        <w:ind w:left="1285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Приложения Г1-Г7. Шкалы оценки и опросники, приведённые в тексте клинических </w:t>
      </w:r>
    </w:p>
    <w:p w:rsidR="003A0918" w:rsidRDefault="00D87DBB">
      <w:pPr>
        <w:spacing w:after="14"/>
        <w:ind w:right="632"/>
        <w:jc w:val="right"/>
      </w:pPr>
      <w:r>
        <w:rPr>
          <w:rFonts w:ascii="Times New Roman" w:eastAsia="Times New Roman" w:hAnsi="Times New Roman" w:cs="Times New Roman"/>
          <w:sz w:val="24"/>
        </w:rPr>
        <w:t xml:space="preserve">рекомендаций </w:t>
      </w:r>
      <w:r>
        <w:rPr>
          <w:rFonts w:ascii="Times New Roman" w:eastAsia="Times New Roman" w:hAnsi="Times New Roman" w:cs="Times New Roman"/>
          <w:sz w:val="24"/>
        </w:rPr>
        <w:t xml:space="preserve">.......................................................................................................................... </w:t>
      </w:r>
      <w:r>
        <w:rPr>
          <w:rFonts w:ascii="Times New Roman" w:eastAsia="Times New Roman" w:hAnsi="Times New Roman" w:cs="Times New Roman"/>
          <w:color w:val="0000FF"/>
          <w:sz w:val="24"/>
        </w:rPr>
        <w:t>_91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 w:line="356" w:lineRule="auto"/>
        <w:ind w:left="5838" w:right="5204"/>
        <w:jc w:val="both"/>
      </w:pPr>
      <w:r>
        <w:rPr>
          <w:rFonts w:ascii="Times New Roman" w:eastAsia="Times New Roman" w:hAnsi="Times New Roman" w:cs="Times New Roman"/>
          <w:b/>
          <w:sz w:val="28"/>
        </w:rPr>
        <w:t xml:space="preserve">                      </w:t>
      </w:r>
    </w:p>
    <w:p w:rsidR="003A0918" w:rsidRDefault="00D87DBB">
      <w:pPr>
        <w:spacing w:after="95"/>
        <w:ind w:left="634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pStyle w:val="Heading1"/>
        <w:spacing w:after="92"/>
        <w:ind w:left="870" w:right="295"/>
      </w:pPr>
      <w:r>
        <w:t>Список сокращений</w:t>
      </w:r>
      <w: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115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BODE – B – body mass index (индекс масс тела), O – obstruction (обструкция</w:t>
      </w:r>
      <w:r>
        <w:rPr>
          <w:rFonts w:ascii="Times New Roman" w:eastAsia="Times New Roman" w:hAnsi="Times New Roman" w:cs="Times New Roman"/>
          <w:sz w:val="24"/>
        </w:rPr>
        <w:t xml:space="preserve">) D – dyspnea </w:t>
      </w:r>
    </w:p>
    <w:p w:rsidR="003A0918" w:rsidRDefault="00D87DBB">
      <w:pPr>
        <w:spacing w:after="112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(одышка), E – exercise tolerance (толерантность к физической нагрузке) </w:t>
      </w:r>
    </w:p>
    <w:p w:rsidR="003A0918" w:rsidRDefault="00D87DBB">
      <w:pPr>
        <w:spacing w:after="4" w:line="360" w:lineRule="auto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CAT – COPD (chronic obstructive pulmonary disease – хроническая обструктивная болезнь легких) Assessment Test </w:t>
      </w:r>
    </w:p>
    <w:p w:rsidR="003A0918" w:rsidRDefault="00D87DBB">
      <w:pPr>
        <w:spacing w:after="115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COPD – chronic obstructive pulmonary disease (хроническая </w:t>
      </w:r>
      <w:r>
        <w:rPr>
          <w:rFonts w:ascii="Times New Roman" w:eastAsia="Times New Roman" w:hAnsi="Times New Roman" w:cs="Times New Roman"/>
          <w:sz w:val="24"/>
        </w:rPr>
        <w:t xml:space="preserve">обструктивная болезнь легких) </w:t>
      </w:r>
    </w:p>
    <w:p w:rsidR="003A0918" w:rsidRDefault="00D87DBB">
      <w:pPr>
        <w:spacing w:after="2" w:line="361" w:lineRule="auto"/>
        <w:ind w:left="1128" w:right="3349" w:hanging="10"/>
      </w:pPr>
      <w:r>
        <w:rPr>
          <w:rFonts w:ascii="Times New Roman" w:eastAsia="Times New Roman" w:hAnsi="Times New Roman" w:cs="Times New Roman"/>
          <w:sz w:val="24"/>
        </w:rPr>
        <w:t xml:space="preserve">FiO2 – фракция кислорода во вдыхаемой газовой смеси GOLD – Global Initiative for Chronic Obstructive Lung Disease  mMRC – шкала Modified Medical Research Council Dyspnea Scale </w:t>
      </w:r>
    </w:p>
    <w:p w:rsidR="003A0918" w:rsidRDefault="00D87DBB">
      <w:pPr>
        <w:spacing w:after="115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MMAD - средний размер частиц аэрозоля </w:t>
      </w:r>
    </w:p>
    <w:p w:rsidR="003A0918" w:rsidRDefault="00D87DBB">
      <w:pPr>
        <w:spacing w:after="112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PaO2 – па</w:t>
      </w:r>
      <w:r>
        <w:rPr>
          <w:rFonts w:ascii="Times New Roman" w:eastAsia="Times New Roman" w:hAnsi="Times New Roman" w:cs="Times New Roman"/>
          <w:sz w:val="24"/>
        </w:rPr>
        <w:t xml:space="preserve">рциальное напряжение кислорода в артериальной крови </w:t>
      </w:r>
    </w:p>
    <w:p w:rsidR="003A0918" w:rsidRDefault="00D87DBB">
      <w:pPr>
        <w:spacing w:after="115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PaСO2 – парциальное напряжение углекислого газа в артериальной крови </w:t>
      </w:r>
    </w:p>
    <w:p w:rsidR="003A0918" w:rsidRDefault="00D87DBB">
      <w:pPr>
        <w:spacing w:after="116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SGRQ – вопросник госпиталя Святого Георгия (St. Georges Respiratory questionnaire) </w:t>
      </w:r>
    </w:p>
    <w:p w:rsidR="003A0918" w:rsidRDefault="00D87DBB">
      <w:pPr>
        <w:spacing w:after="115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V</w:t>
      </w:r>
      <w:r>
        <w:rPr>
          <w:rFonts w:ascii="Times New Roman" w:eastAsia="Times New Roman" w:hAnsi="Times New Roman" w:cs="Times New Roman"/>
          <w:sz w:val="24"/>
          <w:vertAlign w:val="subscript"/>
        </w:rPr>
        <w:t>A</w:t>
      </w:r>
      <w:r>
        <w:rPr>
          <w:rFonts w:ascii="Times New Roman" w:eastAsia="Times New Roman" w:hAnsi="Times New Roman" w:cs="Times New Roman"/>
          <w:sz w:val="24"/>
        </w:rPr>
        <w:t xml:space="preserve">/Q – вентиляционно-перфузионное отношение </w:t>
      </w:r>
    </w:p>
    <w:p w:rsidR="003A0918" w:rsidRDefault="00D87DBB">
      <w:pPr>
        <w:spacing w:after="112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SаO2</w:t>
      </w:r>
      <w:r>
        <w:rPr>
          <w:rFonts w:ascii="Times New Roman" w:eastAsia="Times New Roman" w:hAnsi="Times New Roman" w:cs="Times New Roman"/>
          <w:sz w:val="24"/>
        </w:rPr>
        <w:t xml:space="preserve"> – насыщение гемоглобина кислородом,% </w:t>
      </w:r>
    </w:p>
    <w:p w:rsidR="003A0918" w:rsidRDefault="00D87DBB">
      <w:pPr>
        <w:spacing w:after="115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SpO2- насыщение гемоглобина кислородом, определяемое при пульсоксиметрии,% </w:t>
      </w:r>
    </w:p>
    <w:p w:rsidR="003A0918" w:rsidRDefault="00D87DBB">
      <w:pPr>
        <w:spacing w:after="113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БА – бронхиальная астма </w:t>
      </w:r>
    </w:p>
    <w:p w:rsidR="003A0918" w:rsidRDefault="00D87DBB">
      <w:pPr>
        <w:spacing w:after="115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БДУ – без дополнительных уточнений </w:t>
      </w:r>
    </w:p>
    <w:p w:rsidR="003A0918" w:rsidRDefault="00D87DBB">
      <w:pPr>
        <w:spacing w:after="112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ГКС – глюкокортикостероиды </w:t>
      </w:r>
    </w:p>
    <w:p w:rsidR="003A0918" w:rsidRDefault="00D87DBB">
      <w:pPr>
        <w:spacing w:after="115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ДАИ – дозированный аэрозольный ингалятор </w:t>
      </w:r>
    </w:p>
    <w:p w:rsidR="003A0918" w:rsidRDefault="00D87DBB">
      <w:pPr>
        <w:spacing w:after="115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ДДАХ – </w:t>
      </w:r>
      <w:r>
        <w:rPr>
          <w:rFonts w:ascii="Times New Roman" w:eastAsia="Times New Roman" w:hAnsi="Times New Roman" w:cs="Times New Roman"/>
          <w:sz w:val="24"/>
        </w:rPr>
        <w:t xml:space="preserve">длительнодействующие антихолинергики (АТХ Антихолинергические средства) </w:t>
      </w:r>
    </w:p>
    <w:p w:rsidR="003A0918" w:rsidRDefault="00D87DBB">
      <w:pPr>
        <w:spacing w:after="115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ДДБА – длительнодействующие β</w:t>
      </w:r>
      <w:r>
        <w:rPr>
          <w:rFonts w:ascii="Times New Roman" w:eastAsia="Times New Roman" w:hAnsi="Times New Roman" w:cs="Times New Roman"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sz w:val="24"/>
        </w:rPr>
        <w:t>–агонисты (</w:t>
      </w:r>
      <w:r>
        <w:rPr>
          <w:rFonts w:ascii="Times New Roman" w:eastAsia="Times New Roman" w:hAnsi="Times New Roman" w:cs="Times New Roman"/>
          <w:color w:val="333333"/>
          <w:sz w:val="24"/>
        </w:rPr>
        <w:t>АТХ Селективные бета 2-адреномиметики)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112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ДДБД – длительно действующие бронходилататоры  </w:t>
      </w:r>
    </w:p>
    <w:p w:rsidR="003A0918" w:rsidRDefault="00D87DBB">
      <w:pPr>
        <w:spacing w:after="115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ДДВЛ – длительная домашняя вентиляция легких </w:t>
      </w:r>
    </w:p>
    <w:p w:rsidR="003A0918" w:rsidRDefault="00D87DBB">
      <w:pPr>
        <w:spacing w:after="112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ДКТ – дл</w:t>
      </w:r>
      <w:r>
        <w:rPr>
          <w:rFonts w:ascii="Times New Roman" w:eastAsia="Times New Roman" w:hAnsi="Times New Roman" w:cs="Times New Roman"/>
          <w:sz w:val="24"/>
        </w:rPr>
        <w:t xml:space="preserve">ительная кислородотерапия </w:t>
      </w:r>
    </w:p>
    <w:p w:rsidR="003A0918" w:rsidRDefault="00D87DBB">
      <w:pPr>
        <w:spacing w:after="5" w:line="364" w:lineRule="auto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ДПИ – дозированный порошковый ингалятор (изделия вида Ингалятор сухого порошка, код 256560) </w:t>
      </w:r>
    </w:p>
    <w:p w:rsidR="003A0918" w:rsidRDefault="00D87DBB">
      <w:pPr>
        <w:spacing w:after="112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ИВЛ – искусственная вентиляция легких </w:t>
      </w:r>
    </w:p>
    <w:p w:rsidR="003A0918" w:rsidRDefault="00D87DBB">
      <w:pPr>
        <w:spacing w:after="115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ИГКС – ингаляционные глюкокортикостероиды  </w:t>
      </w:r>
    </w:p>
    <w:p w:rsidR="003A0918" w:rsidRDefault="00D87DBB">
      <w:pPr>
        <w:spacing w:after="114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КДАХ – короткодействующие антихолинергики (АТХ Антихо</w:t>
      </w:r>
      <w:r>
        <w:rPr>
          <w:rFonts w:ascii="Times New Roman" w:eastAsia="Times New Roman" w:hAnsi="Times New Roman" w:cs="Times New Roman"/>
          <w:sz w:val="24"/>
        </w:rPr>
        <w:t xml:space="preserve">линергические средства) </w:t>
      </w:r>
    </w:p>
    <w:p w:rsidR="003A0918" w:rsidRDefault="00D87DBB">
      <w:pPr>
        <w:spacing w:after="116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КДБА – короткодействующие β</w:t>
      </w:r>
      <w:r>
        <w:rPr>
          <w:rFonts w:ascii="Times New Roman" w:eastAsia="Times New Roman" w:hAnsi="Times New Roman" w:cs="Times New Roman"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sz w:val="24"/>
        </w:rPr>
        <w:t xml:space="preserve">–агонисты (АТХ Селективные бета 2-адреномиметики) </w:t>
      </w:r>
    </w:p>
    <w:p w:rsidR="003A0918" w:rsidRDefault="00D87DBB">
      <w:pPr>
        <w:spacing w:after="112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КТ – компьютерная томография </w:t>
      </w:r>
    </w:p>
    <w:p w:rsidR="003A0918" w:rsidRDefault="00D87DBB">
      <w:pPr>
        <w:spacing w:after="5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КТВР – компьютерная томография высокого разрешения </w:t>
      </w:r>
    </w:p>
    <w:p w:rsidR="003A0918" w:rsidRDefault="00D87DBB">
      <w:pPr>
        <w:spacing w:after="115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ЛГИ – легочная гиперинфляция </w:t>
      </w:r>
    </w:p>
    <w:p w:rsidR="003A0918" w:rsidRDefault="00D87DBB">
      <w:pPr>
        <w:spacing w:after="112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НИВЛ – неинвазивная вентиляция легких </w:t>
      </w:r>
    </w:p>
    <w:p w:rsidR="003A0918" w:rsidRDefault="00D87DBB">
      <w:pPr>
        <w:spacing w:after="115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Н</w:t>
      </w:r>
      <w:r>
        <w:rPr>
          <w:rFonts w:ascii="Times New Roman" w:eastAsia="Times New Roman" w:hAnsi="Times New Roman" w:cs="Times New Roman"/>
          <w:sz w:val="24"/>
        </w:rPr>
        <w:t xml:space="preserve">Я – нежелательные явления </w:t>
      </w:r>
    </w:p>
    <w:p w:rsidR="003A0918" w:rsidRDefault="00D87DBB">
      <w:pPr>
        <w:spacing w:after="112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ОДН – острая дыхательная недостаточность </w:t>
      </w:r>
    </w:p>
    <w:p w:rsidR="003A0918" w:rsidRDefault="00D87DBB">
      <w:pPr>
        <w:spacing w:after="118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ОЕЛ – общая емкость легких </w:t>
      </w:r>
    </w:p>
    <w:p w:rsidR="003A0918" w:rsidRDefault="00D87DBB">
      <w:pPr>
        <w:spacing w:after="112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ОФВ</w:t>
      </w:r>
      <w:r>
        <w:rPr>
          <w:rFonts w:ascii="Times New Roman" w:eastAsia="Times New Roman" w:hAnsi="Times New Roman" w:cs="Times New Roman"/>
          <w:sz w:val="24"/>
          <w:vertAlign w:val="subscript"/>
        </w:rPr>
        <w:t>1</w:t>
      </w:r>
      <w:r>
        <w:rPr>
          <w:rFonts w:ascii="Times New Roman" w:eastAsia="Times New Roman" w:hAnsi="Times New Roman" w:cs="Times New Roman"/>
          <w:sz w:val="24"/>
        </w:rPr>
        <w:t xml:space="preserve"> – объем форсированного выдоха за 1–ю секунду </w:t>
      </w:r>
    </w:p>
    <w:p w:rsidR="003A0918" w:rsidRDefault="00D87DBB">
      <w:pPr>
        <w:spacing w:after="115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ПСВ – пиковая скорость выдоха </w:t>
      </w:r>
    </w:p>
    <w:p w:rsidR="003A0918" w:rsidRDefault="00D87DBB">
      <w:pPr>
        <w:spacing w:after="112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РКИ – рандомизированное контролируемое исследование </w:t>
      </w:r>
    </w:p>
    <w:p w:rsidR="003A0918" w:rsidRDefault="00D87DBB">
      <w:pPr>
        <w:spacing w:after="115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ФЖЕЛ – </w:t>
      </w:r>
      <w:r>
        <w:rPr>
          <w:rFonts w:ascii="Times New Roman" w:eastAsia="Times New Roman" w:hAnsi="Times New Roman" w:cs="Times New Roman"/>
          <w:sz w:val="24"/>
        </w:rPr>
        <w:t xml:space="preserve">форсированная жизненная емкость легких </w:t>
      </w:r>
    </w:p>
    <w:p w:rsidR="003A0918" w:rsidRDefault="00D87DBB">
      <w:pPr>
        <w:spacing w:after="69" w:line="364" w:lineRule="auto"/>
        <w:ind w:left="1128" w:right="411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ХДН – хроническая дыхательная недостаточность ХОБЛ – хроническая обструктивная болезнь легких </w:t>
      </w:r>
    </w:p>
    <w:p w:rsidR="003A0918" w:rsidRDefault="00D87DBB">
      <w:pPr>
        <w:spacing w:after="78"/>
        <w:ind w:left="644"/>
        <w:jc w:val="center"/>
      </w:pPr>
      <w:r>
        <w:rPr>
          <w:rFonts w:ascii="Times New Roman" w:eastAsia="Times New Roman" w:hAnsi="Times New Roman" w:cs="Times New Roman"/>
          <w:b/>
          <w:sz w:val="32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pStyle w:val="Heading1"/>
        <w:spacing w:after="94"/>
        <w:ind w:left="870" w:right="298"/>
      </w:pPr>
      <w:r>
        <w:t>Термины и определения</w:t>
      </w:r>
      <w: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b/>
          <w:sz w:val="24"/>
        </w:rPr>
        <w:t>Хронический бронхит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обычно определяется клинически как наличие кашля с продукцией мокроты на протяжении, по крайней мере, 3-х месяцев в течение 2-х последовательных лет.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b/>
          <w:sz w:val="24"/>
        </w:rPr>
        <w:t>Эмфизема</w:t>
      </w:r>
      <w:r>
        <w:rPr>
          <w:rFonts w:ascii="Times New Roman" w:eastAsia="Times New Roman" w:hAnsi="Times New Roman" w:cs="Times New Roman"/>
          <w:sz w:val="24"/>
        </w:rPr>
        <w:t xml:space="preserve"> синдромное понятие, характеризующееся необратимым увеличением воздушного пространства дистальнее</w:t>
      </w:r>
      <w:r>
        <w:rPr>
          <w:rFonts w:ascii="Times New Roman" w:eastAsia="Times New Roman" w:hAnsi="Times New Roman" w:cs="Times New Roman"/>
          <w:sz w:val="24"/>
        </w:rPr>
        <w:t xml:space="preserve"> терминальных бронхиол, ассоциированное с деструкцией стенок альвеол, несвязанное с фиброзом. 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Легочная гиперинфляция – </w:t>
      </w:r>
      <w:r>
        <w:rPr>
          <w:rFonts w:ascii="Times New Roman" w:eastAsia="Times New Roman" w:hAnsi="Times New Roman" w:cs="Times New Roman"/>
          <w:sz w:val="24"/>
        </w:rPr>
        <w:t xml:space="preserve">патологическое увеличение объема воздух, остающегося в легких после спокойного выдоха.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b/>
          <w:sz w:val="24"/>
        </w:rPr>
        <w:t>Легочная гипертензия</w:t>
      </w:r>
      <w:r>
        <w:rPr>
          <w:rFonts w:ascii="Times New Roman" w:eastAsia="Times New Roman" w:hAnsi="Times New Roman" w:cs="Times New Roman"/>
          <w:sz w:val="24"/>
        </w:rPr>
        <w:t xml:space="preserve"> – клинический синдром, хар</w:t>
      </w:r>
      <w:r>
        <w:rPr>
          <w:rFonts w:ascii="Times New Roman" w:eastAsia="Times New Roman" w:hAnsi="Times New Roman" w:cs="Times New Roman"/>
          <w:sz w:val="24"/>
        </w:rPr>
        <w:t xml:space="preserve">актеризующийся повышением среднего давления в легочной артерии более 25 мм рт. ст.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Бронхорасширяющие средства </w:t>
      </w:r>
      <w:r>
        <w:rPr>
          <w:rFonts w:ascii="Times New Roman" w:eastAsia="Times New Roman" w:hAnsi="Times New Roman" w:cs="Times New Roman"/>
          <w:sz w:val="24"/>
        </w:rPr>
        <w:t>(синонимы: бронходилататоры, бронхолитические средства, бронхолитики)</w:t>
      </w:r>
      <w:r>
        <w:rPr>
          <w:rFonts w:ascii="Times New Roman" w:eastAsia="Times New Roman" w:hAnsi="Times New Roman" w:cs="Times New Roman"/>
          <w:b/>
          <w:sz w:val="24"/>
        </w:rPr>
        <w:t xml:space="preserve"> – </w:t>
      </w:r>
      <w:r>
        <w:rPr>
          <w:rFonts w:ascii="Times New Roman" w:eastAsia="Times New Roman" w:hAnsi="Times New Roman" w:cs="Times New Roman"/>
          <w:sz w:val="24"/>
        </w:rPr>
        <w:t>лекарственные средства разных фармакологических классов, объединяемые в о</w:t>
      </w:r>
      <w:r>
        <w:rPr>
          <w:rFonts w:ascii="Times New Roman" w:eastAsia="Times New Roman" w:hAnsi="Times New Roman" w:cs="Times New Roman"/>
          <w:sz w:val="24"/>
        </w:rPr>
        <w:t xml:space="preserve">дну группу по общей для них способности устранять бронхоспазм, действуя на тонус бронхиальных мышц и различные звенья его регуляции. АТХ: Препараты для лечения обструктивных заболеваний дыхательных путей (R03) </w:t>
      </w:r>
      <w:r>
        <w:br w:type="page"/>
      </w:r>
    </w:p>
    <w:p w:rsidR="003A0918" w:rsidRDefault="00D87DBB">
      <w:pPr>
        <w:pStyle w:val="Heading1"/>
        <w:ind w:left="1582" w:right="22"/>
        <w:jc w:val="left"/>
      </w:pPr>
      <w:r>
        <w:t>1.</w:t>
      </w:r>
      <w:r>
        <w:rPr>
          <w:rFonts w:ascii="Arial" w:eastAsia="Arial" w:hAnsi="Arial" w:cs="Arial"/>
        </w:rPr>
        <w:t xml:space="preserve"> </w:t>
      </w:r>
      <w:r>
        <w:t>Краткая информация по заболеванию или состоянию</w:t>
      </w:r>
      <w:r>
        <w:t xml:space="preserve"> </w:t>
      </w:r>
      <w:r>
        <w:t>(группе заболеваний или состояний)</w:t>
      </w:r>
      <w:r>
        <w:t xml:space="preserve"> </w:t>
      </w:r>
    </w:p>
    <w:p w:rsidR="003A0918" w:rsidRDefault="00D87DBB">
      <w:pPr>
        <w:spacing w:after="66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 w:line="249" w:lineRule="auto"/>
        <w:ind w:left="2208" w:right="556" w:hanging="730"/>
        <w:jc w:val="both"/>
      </w:pPr>
      <w:r>
        <w:rPr>
          <w:rFonts w:ascii="Times New Roman" w:eastAsia="Times New Roman" w:hAnsi="Times New Roman" w:cs="Times New Roman"/>
          <w:b/>
          <w:sz w:val="32"/>
        </w:rPr>
        <w:t>1.1</w:t>
      </w:r>
      <w:r>
        <w:rPr>
          <w:rFonts w:ascii="Arial" w:eastAsia="Arial" w:hAnsi="Arial" w:cs="Arial"/>
          <w:b/>
          <w:sz w:val="32"/>
        </w:rPr>
        <w:t xml:space="preserve"> </w:t>
      </w:r>
      <w:r>
        <w:rPr>
          <w:rFonts w:ascii="Times New Roman" w:eastAsia="Times New Roman" w:hAnsi="Times New Roman" w:cs="Times New Roman"/>
          <w:b/>
          <w:sz w:val="32"/>
        </w:rPr>
        <w:t xml:space="preserve">Определение </w:t>
      </w:r>
      <w:r>
        <w:rPr>
          <w:rFonts w:ascii="Times New Roman" w:eastAsia="Times New Roman" w:hAnsi="Times New Roman" w:cs="Times New Roman"/>
          <w:b/>
          <w:color w:val="333333"/>
          <w:sz w:val="32"/>
        </w:rPr>
        <w:t xml:space="preserve">заболевания или состояния (группы заболеваний или состояний) </w:t>
      </w:r>
    </w:p>
    <w:p w:rsidR="003A0918" w:rsidRDefault="00D87DBB">
      <w:pPr>
        <w:spacing w:after="78"/>
        <w:ind w:left="2213"/>
      </w:pPr>
      <w:r>
        <w:rPr>
          <w:rFonts w:ascii="Times New Roman" w:eastAsia="Times New Roman" w:hAnsi="Times New Roman" w:cs="Times New Roman"/>
          <w:b/>
          <w:sz w:val="32"/>
        </w:rPr>
        <w:t xml:space="preserve"> </w:t>
      </w:r>
    </w:p>
    <w:p w:rsidR="003A0918" w:rsidRDefault="00D87DBB">
      <w:pPr>
        <w:spacing w:after="1" w:line="357" w:lineRule="auto"/>
        <w:ind w:left="1118" w:right="551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Хроническая обструктивная болезнь легких (ХОБЛ) – </w:t>
      </w:r>
      <w:r>
        <w:rPr>
          <w:rFonts w:ascii="Times New Roman" w:eastAsia="Times New Roman" w:hAnsi="Times New Roman" w:cs="Times New Roman"/>
          <w:color w:val="212121"/>
          <w:sz w:val="24"/>
        </w:rPr>
        <w:t>гетерогенное состояние, характеризующеес</w:t>
      </w:r>
      <w:r>
        <w:rPr>
          <w:rFonts w:ascii="Times New Roman" w:eastAsia="Times New Roman" w:hAnsi="Times New Roman" w:cs="Times New Roman"/>
          <w:color w:val="212121"/>
          <w:sz w:val="24"/>
        </w:rPr>
        <w:t>я хроническими респираторными симптомами (одышка, кашель, отхождение мокроты) и обострениями из-за поражения дыхательных путей (бронхит, бронхиолит) и/или альвеол (эмфизема), которые вызывают персистирующее, часто прогрессирующее ограничение воздушного пот</w:t>
      </w:r>
      <w:r>
        <w:rPr>
          <w:rFonts w:ascii="Times New Roman" w:eastAsia="Times New Roman" w:hAnsi="Times New Roman" w:cs="Times New Roman"/>
          <w:color w:val="212121"/>
          <w:sz w:val="24"/>
        </w:rPr>
        <w:t>ока [1].</w:t>
      </w:r>
      <w:r>
        <w:rPr>
          <w:rFonts w:ascii="Times New Roman" w:eastAsia="Times New Roman" w:hAnsi="Times New Roman" w:cs="Times New Roman"/>
          <w:sz w:val="24"/>
        </w:rPr>
        <w:t xml:space="preserve"> Обострения и коморбидные состояния являются неотъемлемой частью болезни и вносят значительный вклад в клиническую картину </w:t>
      </w:r>
    </w:p>
    <w:p w:rsidR="003A0918" w:rsidRDefault="00D87DBB">
      <w:pPr>
        <w:spacing w:after="112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[1]. </w:t>
      </w:r>
    </w:p>
    <w:p w:rsidR="003A0918" w:rsidRDefault="00D87DBB">
      <w:pPr>
        <w:spacing w:after="205"/>
        <w:ind w:left="1841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pStyle w:val="Heading1"/>
        <w:spacing w:after="13"/>
        <w:ind w:left="2223" w:right="22"/>
        <w:jc w:val="left"/>
      </w:pPr>
      <w:r>
        <w:t>1.2</w:t>
      </w:r>
      <w:r>
        <w:rPr>
          <w:rFonts w:ascii="Arial" w:eastAsia="Arial" w:hAnsi="Arial" w:cs="Arial"/>
        </w:rPr>
        <w:t xml:space="preserve"> </w:t>
      </w:r>
      <w:r>
        <w:t>Этиология и патогенез заболевания или состояния (группы заболеваний или состояний)</w:t>
      </w:r>
      <w:r>
        <w:t xml:space="preserve"> </w:t>
      </w:r>
    </w:p>
    <w:p w:rsidR="003A0918" w:rsidRDefault="00D87DBB">
      <w:pPr>
        <w:spacing w:after="117"/>
        <w:ind w:left="2213"/>
      </w:pPr>
      <w:r>
        <w:rPr>
          <w:rFonts w:ascii="Times New Roman" w:eastAsia="Times New Roman" w:hAnsi="Times New Roman" w:cs="Times New Roman"/>
          <w:b/>
          <w:sz w:val="32"/>
        </w:rPr>
        <w:t xml:space="preserve"> </w:t>
      </w:r>
    </w:p>
    <w:p w:rsidR="003A0918" w:rsidRDefault="00D87DBB">
      <w:pPr>
        <w:pStyle w:val="Heading2"/>
        <w:spacing w:after="104"/>
        <w:ind w:left="1836" w:right="119"/>
      </w:pPr>
      <w:r>
        <w:rPr>
          <w:sz w:val="28"/>
        </w:rPr>
        <w:t>Факторы риска</w:t>
      </w:r>
      <w:r>
        <w:rPr>
          <w:sz w:val="28"/>
        </w:rP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 развитии </w:t>
      </w:r>
      <w:r>
        <w:rPr>
          <w:rFonts w:ascii="Times New Roman" w:eastAsia="Times New Roman" w:hAnsi="Times New Roman" w:cs="Times New Roman"/>
          <w:sz w:val="24"/>
        </w:rPr>
        <w:t>ХОБЛ играют роль, как эндогенные факторы, так и воздействие факторов внешней среды. Курение остается основной причиной ХОБЛ. По некоторым оценкам, в индустриальных странах курение вносит вклад в смертность около 80% мужчин и 60% женщин, а в развивающихся с</w:t>
      </w:r>
      <w:r>
        <w:rPr>
          <w:rFonts w:ascii="Times New Roman" w:eastAsia="Times New Roman" w:hAnsi="Times New Roman" w:cs="Times New Roman"/>
          <w:sz w:val="24"/>
        </w:rPr>
        <w:t xml:space="preserve">транах − 45% мужчин и 20% [3]. В развивающихся странах существенное повреждающее действие на органы дыхания оказывает использование биомасс для приготовления пищи и обогрева жилых помещений.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Этиологическую роль также могут играть </w:t>
      </w:r>
      <w:r>
        <w:rPr>
          <w:rFonts w:ascii="Times New Roman" w:eastAsia="Times New Roman" w:hAnsi="Times New Roman" w:cs="Times New Roman"/>
          <w:sz w:val="24"/>
        </w:rPr>
        <w:t>профессиональные вредности, пассивное курение и загрязнение воздуха вне помещений. В Европе и Северной Америке вклад загрязнения воздуха на рабочем месте в развитие ХОБЛ оценивается как 15-20% [2]. Вероятно, этот вклад существенно больше в странах, где про</w:t>
      </w:r>
      <w:r>
        <w:rPr>
          <w:rFonts w:ascii="Times New Roman" w:eastAsia="Times New Roman" w:hAnsi="Times New Roman" w:cs="Times New Roman"/>
          <w:sz w:val="24"/>
        </w:rPr>
        <w:t xml:space="preserve">фессиональные вредности контролируются менее тщательно. Загрязнение воздуха на рабочем месте биологической, минеральной пылью, газами и дымом (на основании самостоятельной оценки пациентами) ассоциировалось с большей распространенностью ХОБЛ [4]. 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Эндоген</w:t>
      </w:r>
      <w:r>
        <w:rPr>
          <w:rFonts w:ascii="Times New Roman" w:eastAsia="Times New Roman" w:hAnsi="Times New Roman" w:cs="Times New Roman"/>
          <w:sz w:val="24"/>
        </w:rPr>
        <w:t>ные факторы риска включают генетические, эпигенетические и другие характеристики пациента, такие как бронхиальная гиперреактивность и бронхиальная астма (БА) в анамнезе [5], а также перенесенные тяжелые респираторные инфекции в детском возрасте. При этом б</w:t>
      </w:r>
      <w:r>
        <w:rPr>
          <w:rFonts w:ascii="Times New Roman" w:eastAsia="Times New Roman" w:hAnsi="Times New Roman" w:cs="Times New Roman"/>
          <w:sz w:val="24"/>
        </w:rPr>
        <w:t xml:space="preserve">ронхиальная гиперреактивность является фактором риска развития ХОБЛ даже в отсутствии БА [6, 7]; имеются данные и о том, что симптомы хронического бронхита могут увеличивать риск развития ХОБЛ [8, 9].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Врожденный дефицит альфа 1-антитрипсина - аутосомно-ре</w:t>
      </w:r>
      <w:r>
        <w:rPr>
          <w:rFonts w:ascii="Times New Roman" w:eastAsia="Times New Roman" w:hAnsi="Times New Roman" w:cs="Times New Roman"/>
          <w:sz w:val="24"/>
        </w:rPr>
        <w:t>цессивное наследственное заболевание, предрасполагающее к развитию ХОБЛ, выявляется менее чем в 1% случаев [10, 11]. Другие генетические факторы предрасположенности к ХОБЛ сложны, и вклад их в развитие заболевания в настоящее время недостаточно ясен. Разви</w:t>
      </w:r>
      <w:r>
        <w:rPr>
          <w:rFonts w:ascii="Times New Roman" w:eastAsia="Times New Roman" w:hAnsi="Times New Roman" w:cs="Times New Roman"/>
          <w:sz w:val="24"/>
        </w:rPr>
        <w:t xml:space="preserve">тие ХОБЛ ассоциировано с полиморфизмом множества генов, но только немногие из этих ассоциаций были показаны в независимых популяционных выборках [12]. Участие различных этилогических факторов в развитии ХОБЛ представлено в таблице 1 [1]. </w:t>
      </w:r>
    </w:p>
    <w:p w:rsidR="003A0918" w:rsidRDefault="00D87DBB">
      <w:pPr>
        <w:spacing w:after="113"/>
        <w:ind w:left="1128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Таблица 1</w:t>
      </w:r>
      <w:r>
        <w:rPr>
          <w:rFonts w:ascii="Times New Roman" w:eastAsia="Times New Roman" w:hAnsi="Times New Roman" w:cs="Times New Roman"/>
          <w:sz w:val="24"/>
        </w:rPr>
        <w:t>. Этилог</w:t>
      </w:r>
      <w:r>
        <w:rPr>
          <w:rFonts w:ascii="Times New Roman" w:eastAsia="Times New Roman" w:hAnsi="Times New Roman" w:cs="Times New Roman"/>
          <w:sz w:val="24"/>
        </w:rPr>
        <w:t xml:space="preserve">ические факторы в развитии ХОБЛ 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tbl>
      <w:tblPr>
        <w:tblStyle w:val="TableGrid"/>
        <w:tblW w:w="9520" w:type="dxa"/>
        <w:tblInd w:w="1133" w:type="dxa"/>
        <w:tblCellMar>
          <w:top w:w="62" w:type="dxa"/>
          <w:left w:w="108" w:type="dxa"/>
          <w:bottom w:w="0" w:type="dxa"/>
          <w:right w:w="52" w:type="dxa"/>
        </w:tblCellMar>
        <w:tblLook w:val="04A0" w:firstRow="1" w:lastRow="0" w:firstColumn="1" w:lastColumn="0" w:noHBand="0" w:noVBand="1"/>
      </w:tblPr>
      <w:tblGrid>
        <w:gridCol w:w="4705"/>
        <w:gridCol w:w="4815"/>
      </w:tblGrid>
      <w:tr w:rsidR="003A0918">
        <w:trPr>
          <w:trHeight w:val="286"/>
        </w:trPr>
        <w:tc>
          <w:tcPr>
            <w:tcW w:w="4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Этилогические факторы ХОБЛ </w:t>
            </w:r>
          </w:p>
        </w:tc>
        <w:tc>
          <w:tcPr>
            <w:tcW w:w="4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Описание </w:t>
            </w:r>
          </w:p>
        </w:tc>
      </w:tr>
      <w:tr w:rsidR="003A0918">
        <w:trPr>
          <w:trHeight w:val="838"/>
        </w:trPr>
        <w:tc>
          <w:tcPr>
            <w:tcW w:w="4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Генетически обусловленная ХОБЛ  (ХОБЛ-G) </w:t>
            </w:r>
          </w:p>
        </w:tc>
        <w:tc>
          <w:tcPr>
            <w:tcW w:w="4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Дефицит альфа-1-антитрипсина </w:t>
            </w:r>
          </w:p>
          <w:p w:rsidR="003A0918" w:rsidRDefault="00D87DBB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Другие генетические варианты с меньшим эффектами в комбинации </w:t>
            </w:r>
          </w:p>
        </w:tc>
      </w:tr>
      <w:tr w:rsidR="003A0918">
        <w:trPr>
          <w:trHeight w:val="562"/>
        </w:trPr>
        <w:tc>
          <w:tcPr>
            <w:tcW w:w="4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ХОБЛ, обусловленная пороками развития легких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(ХОБЛ-D) </w:t>
            </w:r>
          </w:p>
        </w:tc>
        <w:tc>
          <w:tcPr>
            <w:tcW w:w="4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События в ранний период жизни, недоношенность, низкая масса тела при рождении </w:t>
            </w:r>
          </w:p>
        </w:tc>
      </w:tr>
      <w:tr w:rsidR="003A0918">
        <w:trPr>
          <w:trHeight w:val="1390"/>
        </w:trPr>
        <w:tc>
          <w:tcPr>
            <w:tcW w:w="4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ХОБЛ, обусловленная курением сигарет 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(ХОБЛ-C)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ХОБЛ, обусловленная воздействием загрязненного воздуха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(ХОБЛ-P) </w:t>
            </w:r>
          </w:p>
        </w:tc>
        <w:tc>
          <w:tcPr>
            <w:tcW w:w="4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 w:line="238" w:lineRule="auto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Воздействие табачного дыма, включая воздействие в период беременности и пассивное курение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Вейпы или курение электронных сигарет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Курение марихуаны </w:t>
            </w:r>
          </w:p>
        </w:tc>
      </w:tr>
      <w:tr w:rsidR="003A0918">
        <w:trPr>
          <w:trHeight w:val="838"/>
        </w:trPr>
        <w:tc>
          <w:tcPr>
            <w:tcW w:w="4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ХОБЛ, обусловленная инфекцией     (ХОБЛ-I) </w:t>
            </w:r>
          </w:p>
        </w:tc>
        <w:tc>
          <w:tcPr>
            <w:tcW w:w="4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Детские инфекции, туберкулезассоциированная ХОБЛ, ВИЧ-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ассоции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рованная ХОБЛ </w:t>
            </w:r>
          </w:p>
        </w:tc>
      </w:tr>
      <w:tr w:rsidR="003A0918">
        <w:trPr>
          <w:trHeight w:val="288"/>
        </w:trPr>
        <w:tc>
          <w:tcPr>
            <w:tcW w:w="4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ХОБЛ и бронхиальная астма (ХОБЛ-A) </w:t>
            </w:r>
          </w:p>
        </w:tc>
        <w:tc>
          <w:tcPr>
            <w:tcW w:w="4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 частности, астма у детей </w:t>
            </w:r>
          </w:p>
        </w:tc>
      </w:tr>
      <w:tr w:rsidR="003A0918">
        <w:trPr>
          <w:trHeight w:val="286"/>
        </w:trPr>
        <w:tc>
          <w:tcPr>
            <w:tcW w:w="4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ХОБЛ неизвестной этиологии (ХОБЛ-U)  </w:t>
            </w:r>
          </w:p>
        </w:tc>
        <w:tc>
          <w:tcPr>
            <w:tcW w:w="4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3A0918" w:rsidRDefault="00D87DBB">
      <w:pPr>
        <w:spacing w:after="131"/>
        <w:ind w:left="1841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3A0918" w:rsidRDefault="00D87DBB">
      <w:pPr>
        <w:pStyle w:val="Heading2"/>
        <w:spacing w:after="104"/>
        <w:ind w:left="1836" w:right="119"/>
      </w:pPr>
      <w:r>
        <w:rPr>
          <w:sz w:val="28"/>
        </w:rPr>
        <w:t>Патогенез</w:t>
      </w:r>
      <w:r>
        <w:rPr>
          <w:sz w:val="28"/>
        </w:rPr>
        <w:t xml:space="preserve"> </w:t>
      </w:r>
    </w:p>
    <w:p w:rsidR="003A0918" w:rsidRDefault="00D87DBB">
      <w:pPr>
        <w:pStyle w:val="Heading3"/>
        <w:spacing w:after="114" w:line="259" w:lineRule="auto"/>
        <w:ind w:left="1836"/>
      </w:pPr>
      <w:r>
        <w:rPr>
          <w:b w:val="0"/>
          <w:u w:val="single" w:color="000000"/>
        </w:rPr>
        <w:t>Воспаление дыхательных путей</w:t>
      </w:r>
      <w:r>
        <w:rPr>
          <w:b w:val="0"/>
        </w:rP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ХОБЛ характеризуется повышением количества нейтрофилов, макрофагов и Т</w:t>
      </w:r>
      <w:r>
        <w:rPr>
          <w:rFonts w:ascii="Times New Roman" w:eastAsia="Times New Roman" w:hAnsi="Times New Roman" w:cs="Times New Roman"/>
          <w:sz w:val="24"/>
        </w:rPr>
        <w:t>лимфоцитов (особенно CD8+) в различных отделах дыхательных путей и легких. Повышенное число воспалительных клеток у пациентов с ХОБЛ обнаруживают как в проксимальных, так и в дистальных дыхательных путях. При обострении у некоторых пациентов может наблюдат</w:t>
      </w:r>
      <w:r>
        <w:rPr>
          <w:rFonts w:ascii="Times New Roman" w:eastAsia="Times New Roman" w:hAnsi="Times New Roman" w:cs="Times New Roman"/>
          <w:sz w:val="24"/>
        </w:rPr>
        <w:t xml:space="preserve">ься увеличение числа эозинофилов.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Оксидативный стресс, т.е. выделение в воздухоносных путях повышенного количества свободных радикалов, обладает мощным повреждающим действием на все структурные компоненты легких и приводит к необратимым изменениям легочно</w:t>
      </w:r>
      <w:r>
        <w:rPr>
          <w:rFonts w:ascii="Times New Roman" w:eastAsia="Times New Roman" w:hAnsi="Times New Roman" w:cs="Times New Roman"/>
          <w:sz w:val="24"/>
        </w:rPr>
        <w:t xml:space="preserve">й паренхимы, дыхательных путей, сосудов легких. 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Важное место в патогенезе ХОБЛ занимает дисбаланс системы «протеиназыантипротеиназы», который возникает в результате как увеличенной продукции или повышения активности протеиназ, так и снижения активности и</w:t>
      </w:r>
      <w:r>
        <w:rPr>
          <w:rFonts w:ascii="Times New Roman" w:eastAsia="Times New Roman" w:hAnsi="Times New Roman" w:cs="Times New Roman"/>
          <w:sz w:val="24"/>
        </w:rPr>
        <w:t xml:space="preserve">ли уменьшения продукции антипротеаз. Данный дисбаланс часто является следствием воспаления, вызваннного индуцированного воздействием повреждающих веществ.  </w:t>
      </w:r>
    </w:p>
    <w:p w:rsidR="003A0918" w:rsidRDefault="00D87DBB">
      <w:pPr>
        <w:pStyle w:val="Heading3"/>
        <w:spacing w:after="114" w:line="259" w:lineRule="auto"/>
        <w:ind w:left="1836"/>
      </w:pPr>
      <w:r>
        <w:rPr>
          <w:b w:val="0"/>
          <w:u w:val="single" w:color="000000"/>
        </w:rPr>
        <w:t>Ограничение воздушного потока и легочная гиперинфляция</w:t>
      </w:r>
      <w:r>
        <w:rPr>
          <w:b w:val="0"/>
        </w:rP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Экспираторное ограничение воздушного потока</w:t>
      </w:r>
      <w:r>
        <w:rPr>
          <w:rFonts w:ascii="Times New Roman" w:eastAsia="Times New Roman" w:hAnsi="Times New Roman" w:cs="Times New Roman"/>
          <w:sz w:val="24"/>
        </w:rPr>
        <w:t xml:space="preserve"> является основным патофизиологическим нарушением при ХОБЛ. В его основе лежат как обратимые, так и необратимые компоненты. К необратимым относятся:  </w:t>
      </w:r>
    </w:p>
    <w:p w:rsidR="003A0918" w:rsidRDefault="00D87DBB">
      <w:pPr>
        <w:numPr>
          <w:ilvl w:val="0"/>
          <w:numId w:val="3"/>
        </w:numPr>
        <w:spacing w:after="149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Фиброз и сужение просвета дыхательных путей; </w:t>
      </w:r>
    </w:p>
    <w:p w:rsidR="003A0918" w:rsidRDefault="00D87DBB">
      <w:pPr>
        <w:numPr>
          <w:ilvl w:val="0"/>
          <w:numId w:val="3"/>
        </w:numPr>
        <w:spacing w:after="151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>Потеря эластичной тяги легких вследствие альвеолярной дестр</w:t>
      </w:r>
      <w:r>
        <w:rPr>
          <w:rFonts w:ascii="Times New Roman" w:eastAsia="Times New Roman" w:hAnsi="Times New Roman" w:cs="Times New Roman"/>
          <w:sz w:val="24"/>
        </w:rPr>
        <w:t xml:space="preserve">укции; </w:t>
      </w:r>
    </w:p>
    <w:p w:rsidR="003A0918" w:rsidRDefault="00D87DBB">
      <w:pPr>
        <w:numPr>
          <w:ilvl w:val="0"/>
          <w:numId w:val="3"/>
        </w:numPr>
        <w:spacing w:after="119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Потеря альвеолярной поддержки просвета малых дыхательных путей. </w:t>
      </w:r>
    </w:p>
    <w:p w:rsidR="003A0918" w:rsidRDefault="00D87DBB">
      <w:pPr>
        <w:spacing w:after="133"/>
        <w:ind w:left="185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 обратимым причинам относятся:  </w:t>
      </w:r>
    </w:p>
    <w:p w:rsidR="003A0918" w:rsidRDefault="00D87DBB">
      <w:pPr>
        <w:numPr>
          <w:ilvl w:val="0"/>
          <w:numId w:val="4"/>
        </w:numPr>
        <w:spacing w:after="130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Накопление воспалительных клеток, слизи и экссудата плазмы в бронхах; </w:t>
      </w:r>
    </w:p>
    <w:p w:rsidR="003A0918" w:rsidRDefault="00D87DBB">
      <w:pPr>
        <w:numPr>
          <w:ilvl w:val="0"/>
          <w:numId w:val="4"/>
        </w:numPr>
        <w:spacing w:after="133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Сокращение гладкой мускулатуры бронхов; </w:t>
      </w:r>
    </w:p>
    <w:p w:rsidR="003A0918" w:rsidRDefault="00D87DBB">
      <w:pPr>
        <w:numPr>
          <w:ilvl w:val="0"/>
          <w:numId w:val="4"/>
        </w:numPr>
        <w:spacing w:after="113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Легочная гиперинфляция - ЛГИ </w:t>
      </w:r>
      <w:r>
        <w:rPr>
          <w:rFonts w:ascii="Times New Roman" w:eastAsia="Times New Roman" w:hAnsi="Times New Roman" w:cs="Times New Roman"/>
          <w:sz w:val="24"/>
        </w:rPr>
        <w:t xml:space="preserve">(т.е. повышенная воздушность легких).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В основе ЛГИ лежит неполное опустошение альвеол во время выдоха вследствие потери эластической тяги легких (статическая ЛГИ) или вследствие недостаточного времени выдоха в условиях выраженного ограничения экспираторно</w:t>
      </w:r>
      <w:r>
        <w:rPr>
          <w:rFonts w:ascii="Times New Roman" w:eastAsia="Times New Roman" w:hAnsi="Times New Roman" w:cs="Times New Roman"/>
          <w:sz w:val="24"/>
        </w:rPr>
        <w:t xml:space="preserve">го воздушного потока (динамическая ЛГИ). 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Согласно недавно выполненным исследованиям, сужение просвета и уменьшение числа терминальных бронхиол предшествует развитию эмфизематозной деструкции альвеол как при центриацинарной, так и при панацинарной эмфизем</w:t>
      </w:r>
      <w:r>
        <w:rPr>
          <w:rFonts w:ascii="Times New Roman" w:eastAsia="Times New Roman" w:hAnsi="Times New Roman" w:cs="Times New Roman"/>
          <w:sz w:val="24"/>
        </w:rPr>
        <w:t xml:space="preserve">е. 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Отражением ЛГИ является повышение легочных объемов (функциональной остаточной емкости, остаточного объема, общей емкости легких (ОЕЛ)) и снижение емкости вдоха. Нарастание динамической ЛГИ происходит во время выполнения физической нагрузки, т.к. во вр</w:t>
      </w:r>
      <w:r>
        <w:rPr>
          <w:rFonts w:ascii="Times New Roman" w:eastAsia="Times New Roman" w:hAnsi="Times New Roman" w:cs="Times New Roman"/>
          <w:sz w:val="24"/>
        </w:rPr>
        <w:t xml:space="preserve">емя нагрузки происходит учащение частоты дыхания, а значит укорачивается время выдоха, и еще большая часть легочного объема задерживается на уровне альвеол.  </w:t>
      </w:r>
    </w:p>
    <w:p w:rsidR="003A0918" w:rsidRDefault="00D87DBB">
      <w:pPr>
        <w:spacing w:after="123"/>
        <w:ind w:left="185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Неблагоприятными проявлениями ЛГИ являются: </w:t>
      </w:r>
    </w:p>
    <w:p w:rsidR="003A0918" w:rsidRDefault="00D87DBB">
      <w:pPr>
        <w:numPr>
          <w:ilvl w:val="0"/>
          <w:numId w:val="5"/>
        </w:numPr>
        <w:spacing w:after="5" w:line="364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уплощение диафрагмы, что приводит к нарушению ее функции и функции других дыхательных мышц; </w:t>
      </w:r>
    </w:p>
    <w:p w:rsidR="003A0918" w:rsidRDefault="00D87DBB">
      <w:pPr>
        <w:numPr>
          <w:ilvl w:val="0"/>
          <w:numId w:val="5"/>
        </w:numPr>
        <w:spacing w:after="5" w:line="364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ограничение возможности увеличения дыхательного объема во время физической нагрузки; </w:t>
      </w:r>
    </w:p>
    <w:p w:rsidR="003A0918" w:rsidRDefault="00D87DBB">
      <w:pPr>
        <w:numPr>
          <w:ilvl w:val="0"/>
          <w:numId w:val="5"/>
        </w:numPr>
        <w:spacing w:after="151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нарастание гиперкапнии при физической нагрузке; </w:t>
      </w:r>
    </w:p>
    <w:p w:rsidR="003A0918" w:rsidRDefault="00D87DBB">
      <w:pPr>
        <w:numPr>
          <w:ilvl w:val="0"/>
          <w:numId w:val="5"/>
        </w:numPr>
        <w:spacing w:after="5" w:line="364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>создание внутреннего положительного давления в конце выдоха; -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ab/>
      </w:r>
      <w:r>
        <w:rPr>
          <w:rFonts w:ascii="Times New Roman" w:eastAsia="Times New Roman" w:hAnsi="Times New Roman" w:cs="Times New Roman"/>
          <w:sz w:val="24"/>
        </w:rPr>
        <w:t xml:space="preserve">повышение эластической нагрузки на респираторную систему.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Функциональные параметры, отражающие ЛГИ, в частности, изменение емкости вдоха, обладают очень высокой корреляционной связью с одышко</w:t>
      </w:r>
      <w:r>
        <w:rPr>
          <w:rFonts w:ascii="Times New Roman" w:eastAsia="Times New Roman" w:hAnsi="Times New Roman" w:cs="Times New Roman"/>
          <w:sz w:val="24"/>
        </w:rPr>
        <w:t xml:space="preserve">й и толерантностью пациентов к физическим нагрузкам.  </w:t>
      </w:r>
    </w:p>
    <w:p w:rsidR="003A0918" w:rsidRDefault="00D87DBB">
      <w:pPr>
        <w:pStyle w:val="Heading3"/>
        <w:spacing w:after="114" w:line="259" w:lineRule="auto"/>
        <w:ind w:left="1836"/>
      </w:pPr>
      <w:r>
        <w:rPr>
          <w:b w:val="0"/>
          <w:u w:val="single" w:color="000000"/>
        </w:rPr>
        <w:t>Нарушения газообмена</w:t>
      </w:r>
      <w:r>
        <w:rPr>
          <w:b w:val="0"/>
        </w:rPr>
        <w:t xml:space="preserve"> 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ХОБЛ тяжелого течения характеризуется развитием гипоксемии и гиперкапнии. Основным патогенетическим механизмом гипоксемии является нарушение вентиляционно-перфузионных отношений </w:t>
      </w:r>
      <w:r>
        <w:rPr>
          <w:rFonts w:ascii="Times New Roman" w:eastAsia="Times New Roman" w:hAnsi="Times New Roman" w:cs="Times New Roman"/>
          <w:sz w:val="24"/>
        </w:rPr>
        <w:t>- V</w:t>
      </w:r>
      <w:r>
        <w:rPr>
          <w:rFonts w:ascii="Times New Roman" w:eastAsia="Times New Roman" w:hAnsi="Times New Roman" w:cs="Times New Roman"/>
          <w:sz w:val="24"/>
          <w:vertAlign w:val="subscript"/>
        </w:rPr>
        <w:t>A</w:t>
      </w:r>
      <w:r>
        <w:rPr>
          <w:rFonts w:ascii="Times New Roman" w:eastAsia="Times New Roman" w:hAnsi="Times New Roman" w:cs="Times New Roman"/>
          <w:sz w:val="24"/>
        </w:rPr>
        <w:t>/Q баланса (V</w:t>
      </w:r>
      <w:r>
        <w:rPr>
          <w:rFonts w:ascii="Times New Roman" w:eastAsia="Times New Roman" w:hAnsi="Times New Roman" w:cs="Times New Roman"/>
          <w:sz w:val="24"/>
          <w:vertAlign w:val="subscript"/>
        </w:rPr>
        <w:t xml:space="preserve">A – </w:t>
      </w:r>
      <w:r>
        <w:rPr>
          <w:rFonts w:ascii="Times New Roman" w:eastAsia="Times New Roman" w:hAnsi="Times New Roman" w:cs="Times New Roman"/>
          <w:sz w:val="24"/>
        </w:rPr>
        <w:t>альвеолярная вентиляция</w:t>
      </w:r>
      <w:r>
        <w:rPr>
          <w:rFonts w:ascii="Times New Roman" w:eastAsia="Times New Roman" w:hAnsi="Times New Roman" w:cs="Times New Roman"/>
          <w:sz w:val="24"/>
          <w:vertAlign w:val="subscript"/>
        </w:rPr>
        <w:t xml:space="preserve">, </w:t>
      </w:r>
      <w:r>
        <w:rPr>
          <w:rFonts w:ascii="Times New Roman" w:eastAsia="Times New Roman" w:hAnsi="Times New Roman" w:cs="Times New Roman"/>
          <w:sz w:val="24"/>
        </w:rPr>
        <w:t>Q-сердечный выброс). Участки легких с низким соотношением V</w:t>
      </w:r>
      <w:r>
        <w:rPr>
          <w:rFonts w:ascii="Times New Roman" w:eastAsia="Times New Roman" w:hAnsi="Times New Roman" w:cs="Times New Roman"/>
          <w:sz w:val="24"/>
          <w:vertAlign w:val="subscript"/>
        </w:rPr>
        <w:t>A</w:t>
      </w:r>
      <w:r>
        <w:rPr>
          <w:rFonts w:ascii="Times New Roman" w:eastAsia="Times New Roman" w:hAnsi="Times New Roman" w:cs="Times New Roman"/>
          <w:sz w:val="24"/>
        </w:rPr>
        <w:t>/Q вносят основной вклад в развитие гипоксемии. Наличие участков с повышенным отношением V</w:t>
      </w:r>
      <w:r>
        <w:rPr>
          <w:rFonts w:ascii="Times New Roman" w:eastAsia="Times New Roman" w:hAnsi="Times New Roman" w:cs="Times New Roman"/>
          <w:sz w:val="24"/>
          <w:vertAlign w:val="subscript"/>
        </w:rPr>
        <w:t>А</w:t>
      </w:r>
      <w:r>
        <w:rPr>
          <w:rFonts w:ascii="Times New Roman" w:eastAsia="Times New Roman" w:hAnsi="Times New Roman" w:cs="Times New Roman"/>
          <w:sz w:val="24"/>
        </w:rPr>
        <w:t>/Q ведет к увеличению физиологического мертвого пространств</w:t>
      </w:r>
      <w:r>
        <w:rPr>
          <w:rFonts w:ascii="Times New Roman" w:eastAsia="Times New Roman" w:hAnsi="Times New Roman" w:cs="Times New Roman"/>
          <w:sz w:val="24"/>
        </w:rPr>
        <w:t>а, вследствие чего для поддержания нормального уровня парциального напряжения углекислого газа в артериальной крови (РаСО</w:t>
      </w:r>
      <w:r>
        <w:rPr>
          <w:rFonts w:ascii="Times New Roman" w:eastAsia="Times New Roman" w:hAnsi="Times New Roman" w:cs="Times New Roman"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sz w:val="24"/>
        </w:rPr>
        <w:t xml:space="preserve">) требуется увеличение общей вентиляции легких. Увеличения шунтирования кровотока при ХОБЛ обычно не происходит, за исключением особо </w:t>
      </w:r>
      <w:r>
        <w:rPr>
          <w:rFonts w:ascii="Times New Roman" w:eastAsia="Times New Roman" w:hAnsi="Times New Roman" w:cs="Times New Roman"/>
          <w:sz w:val="24"/>
        </w:rPr>
        <w:t xml:space="preserve">тяжелых случаев обострения, требующих проведения респираторной поддержки. </w:t>
      </w:r>
    </w:p>
    <w:p w:rsidR="003A0918" w:rsidRDefault="00D87DBB">
      <w:pPr>
        <w:pStyle w:val="Heading3"/>
        <w:spacing w:after="114" w:line="259" w:lineRule="auto"/>
        <w:ind w:left="1836"/>
      </w:pPr>
      <w:r>
        <w:rPr>
          <w:b w:val="0"/>
          <w:u w:val="single" w:color="000000"/>
        </w:rPr>
        <w:t>Легочная гипертензия</w:t>
      </w:r>
      <w:r>
        <w:rPr>
          <w:b w:val="0"/>
        </w:rP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Легочная гипертензия может развиваться уже на поздних стадиях ХОБЛ вследствие обусловленного гипоксией спазма мелких артерий легких, который, в конечном счете,</w:t>
      </w:r>
      <w:r>
        <w:rPr>
          <w:rFonts w:ascii="Times New Roman" w:eastAsia="Times New Roman" w:hAnsi="Times New Roman" w:cs="Times New Roman"/>
          <w:sz w:val="24"/>
        </w:rPr>
        <w:t xml:space="preserve"> приводит к структурным изменениям: гиперплазии интимы и позднее гипертрофии/гиперплазии гладкомышечного слоя. В сосудах отмечается воспалительная реакция, сходная с реакцией в дыхательных путях, и дисфункция эндотелия. Прогрессирующая легочная гипертензия</w:t>
      </w:r>
      <w:r>
        <w:rPr>
          <w:rFonts w:ascii="Times New Roman" w:eastAsia="Times New Roman" w:hAnsi="Times New Roman" w:cs="Times New Roman"/>
          <w:sz w:val="24"/>
        </w:rPr>
        <w:t xml:space="preserve"> может приводить к гипертрофии правого желудочка и в итоге к правожелудочковой недостаточности (легочному сердцу). </w:t>
      </w:r>
    </w:p>
    <w:p w:rsidR="003A0918" w:rsidRDefault="00D87DBB">
      <w:pPr>
        <w:pStyle w:val="Heading3"/>
        <w:spacing w:after="114" w:line="259" w:lineRule="auto"/>
        <w:ind w:left="1836"/>
      </w:pPr>
      <w:r>
        <w:rPr>
          <w:b w:val="0"/>
          <w:u w:val="single" w:color="000000"/>
        </w:rPr>
        <w:t>Системные эффекты</w:t>
      </w:r>
      <w:r>
        <w:rPr>
          <w:b w:val="0"/>
        </w:rPr>
        <w:t xml:space="preserve"> 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Характерной чертой ХОБЛ является наличие системных эффектов, основными из которых являются системное воспаление, кахекси</w:t>
      </w:r>
      <w:r>
        <w:rPr>
          <w:rFonts w:ascii="Times New Roman" w:eastAsia="Times New Roman" w:hAnsi="Times New Roman" w:cs="Times New Roman"/>
          <w:sz w:val="24"/>
        </w:rPr>
        <w:t>я, дисфункция скелетных мышц, остеопороз, сердечно-сосудистые события, анемия, депрессия и др. Механизмы, лежащие в основе данных системных проявлений, достаточно многообразны и пока недостаточно изучены. Известно, что среди них важное место занимают гипок</w:t>
      </w:r>
      <w:r>
        <w:rPr>
          <w:rFonts w:ascii="Times New Roman" w:eastAsia="Times New Roman" w:hAnsi="Times New Roman" w:cs="Times New Roman"/>
          <w:sz w:val="24"/>
        </w:rPr>
        <w:t xml:space="preserve">семия, курение, малоподвижный образ жизни, системное воспаление и др.  </w:t>
      </w:r>
    </w:p>
    <w:p w:rsidR="003A0918" w:rsidRDefault="00D87DBB">
      <w:pPr>
        <w:spacing w:after="0"/>
        <w:ind w:left="1841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 w:line="249" w:lineRule="auto"/>
        <w:ind w:left="2208" w:right="556" w:hanging="730"/>
        <w:jc w:val="both"/>
      </w:pPr>
      <w:r>
        <w:rPr>
          <w:rFonts w:ascii="Times New Roman" w:eastAsia="Times New Roman" w:hAnsi="Times New Roman" w:cs="Times New Roman"/>
          <w:b/>
          <w:sz w:val="32"/>
        </w:rPr>
        <w:t>1.3</w:t>
      </w:r>
      <w:r>
        <w:rPr>
          <w:rFonts w:ascii="Arial" w:eastAsia="Arial" w:hAnsi="Arial" w:cs="Arial"/>
          <w:b/>
          <w:sz w:val="32"/>
        </w:rPr>
        <w:t xml:space="preserve"> </w:t>
      </w:r>
      <w:r>
        <w:rPr>
          <w:rFonts w:ascii="Times New Roman" w:eastAsia="Times New Roman" w:hAnsi="Times New Roman" w:cs="Times New Roman"/>
          <w:b/>
          <w:sz w:val="32"/>
        </w:rPr>
        <w:t xml:space="preserve">Эпидемиология </w:t>
      </w:r>
      <w:r>
        <w:rPr>
          <w:rFonts w:ascii="Times New Roman" w:eastAsia="Times New Roman" w:hAnsi="Times New Roman" w:cs="Times New Roman"/>
          <w:b/>
          <w:color w:val="333333"/>
          <w:sz w:val="32"/>
        </w:rPr>
        <w:t xml:space="preserve">заболевания или состояния (группы заболеваний или состояний) </w:t>
      </w:r>
    </w:p>
    <w:p w:rsidR="003A0918" w:rsidRDefault="00D87DBB">
      <w:pPr>
        <w:spacing w:after="93"/>
        <w:ind w:left="2213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ХОБЛ - заболевание, которое ложится тяжелым бременем на общество и приобретает все большую социальну</w:t>
      </w:r>
      <w:r>
        <w:rPr>
          <w:rFonts w:ascii="Times New Roman" w:eastAsia="Times New Roman" w:hAnsi="Times New Roman" w:cs="Times New Roman"/>
          <w:sz w:val="24"/>
        </w:rPr>
        <w:t xml:space="preserve">ю значимость.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 настоящее время ХОБЛ относится к наиболее распространенным заболеваниям человека, что обусловлено непрекращающимся загрязнением окружающей среды, усиливающимся табакокурением и повторяющимися респираторными инфекционными заболеваниями. По </w:t>
      </w:r>
      <w:r>
        <w:rPr>
          <w:rFonts w:ascii="Times New Roman" w:eastAsia="Times New Roman" w:hAnsi="Times New Roman" w:cs="Times New Roman"/>
          <w:sz w:val="24"/>
        </w:rPr>
        <w:t>данным ВОЗ, в 2019 году 212,3 млн человек в мире страдали ХОБЛ. От ХОБЛ умерли 3,3 млн пациентов и показатель DALYs составил 74,4 млн. Распространенность ХОБЛ составила 2638,2 на 100 000 человек, смертность – 42,5 на 100 000 человек [13]. В России, по данн</w:t>
      </w:r>
      <w:r>
        <w:rPr>
          <w:rFonts w:ascii="Times New Roman" w:eastAsia="Times New Roman" w:hAnsi="Times New Roman" w:cs="Times New Roman"/>
          <w:sz w:val="24"/>
        </w:rPr>
        <w:t xml:space="preserve">ым Минздрава, 2,4 млн человек страдают ХОБЛ. В действительности, по данным эпидемиологических исследований Российского респираторного обществ - около 11 млн, включая недиагностированные случаи. 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ХОБЛ является 3-й лидирующей причиной смерти в мире, ежегодн</w:t>
      </w:r>
      <w:r>
        <w:rPr>
          <w:rFonts w:ascii="Times New Roman" w:eastAsia="Times New Roman" w:hAnsi="Times New Roman" w:cs="Times New Roman"/>
          <w:sz w:val="24"/>
        </w:rPr>
        <w:t>о от ХОБЛ умирает около 2.8 млн человек, что составляет 4.8% всех причин смерти [14]. В Европе летальность от ХОБЛ значительно варьирует: от 0,2 на 100 тыс. населения в Греции, Швеции, Исландии и Норвегии. Основной причиной смерти пациентов с ХОБЛ является</w:t>
      </w:r>
      <w:r>
        <w:rPr>
          <w:rFonts w:ascii="Times New Roman" w:eastAsia="Times New Roman" w:hAnsi="Times New Roman" w:cs="Times New Roman"/>
          <w:sz w:val="24"/>
        </w:rPr>
        <w:t xml:space="preserve"> прогрессирование основного заболевания. В России по данным Росстата в структуре заболеваемости доля ХОБЛ составляет 14,1%, а в структуре смертности 26%. Около 50-80% больных ХОБЛ умирают от респираторных причин: либо во время обострений ХОБЛ, либо от опух</w:t>
      </w:r>
      <w:r>
        <w:rPr>
          <w:rFonts w:ascii="Times New Roman" w:eastAsia="Times New Roman" w:hAnsi="Times New Roman" w:cs="Times New Roman"/>
          <w:sz w:val="24"/>
        </w:rPr>
        <w:t xml:space="preserve">олей легких (от 0,5 до 27%), либо от других респираторных проблем.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ХОБЛ и нарушенная легочная функция независимо связаны с увеличением риска сердечно-сосудистых событий [224, 225]. Снижение функции легких (ОФВ</w:t>
      </w:r>
      <w:r>
        <w:rPr>
          <w:rFonts w:ascii="Times New Roman" w:eastAsia="Times New Roman" w:hAnsi="Times New Roman" w:cs="Times New Roman"/>
          <w:sz w:val="24"/>
          <w:vertAlign w:val="subscript"/>
        </w:rPr>
        <w:t>1</w:t>
      </w:r>
      <w:r>
        <w:rPr>
          <w:rFonts w:ascii="Times New Roman" w:eastAsia="Times New Roman" w:hAnsi="Times New Roman" w:cs="Times New Roman"/>
          <w:sz w:val="24"/>
        </w:rPr>
        <w:t xml:space="preserve">) является столь же сильным фактором риска сердечно-сосудистой смертности, как и основные факторы сердечно-сосудистого риска. По данным исследования The Lung Health Study (5887 курильщиков в возрасте 35-60 лет с умеренной степенью бронхиальной обструкции) </w:t>
      </w:r>
      <w:r>
        <w:rPr>
          <w:rFonts w:ascii="Times New Roman" w:eastAsia="Times New Roman" w:hAnsi="Times New Roman" w:cs="Times New Roman"/>
          <w:sz w:val="24"/>
        </w:rPr>
        <w:t>установлено, что при уменьшении ОФВ</w:t>
      </w:r>
      <w:r>
        <w:rPr>
          <w:rFonts w:ascii="Times New Roman" w:eastAsia="Times New Roman" w:hAnsi="Times New Roman" w:cs="Times New Roman"/>
          <w:sz w:val="24"/>
          <w:vertAlign w:val="subscript"/>
        </w:rPr>
        <w:t>1</w:t>
      </w:r>
      <w:r>
        <w:rPr>
          <w:rFonts w:ascii="Times New Roman" w:eastAsia="Times New Roman" w:hAnsi="Times New Roman" w:cs="Times New Roman"/>
          <w:sz w:val="24"/>
        </w:rPr>
        <w:t xml:space="preserve"> на 10% происходил рост показателя общей смертности на 14%, сердечно-сосудистой смертности – на 28%, риск развития ИБС увеличивался на 20% [226].  </w:t>
      </w:r>
    </w:p>
    <w:p w:rsidR="003A0918" w:rsidRDefault="00D87DBB">
      <w:pPr>
        <w:spacing w:after="115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112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115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 w:line="249" w:lineRule="auto"/>
        <w:ind w:left="2208" w:right="556" w:hanging="730"/>
        <w:jc w:val="both"/>
      </w:pPr>
      <w:r>
        <w:rPr>
          <w:rFonts w:ascii="Times New Roman" w:eastAsia="Times New Roman" w:hAnsi="Times New Roman" w:cs="Times New Roman"/>
          <w:b/>
          <w:sz w:val="32"/>
        </w:rPr>
        <w:t>1.4</w:t>
      </w:r>
      <w:r>
        <w:rPr>
          <w:rFonts w:ascii="Arial" w:eastAsia="Arial" w:hAnsi="Arial" w:cs="Arial"/>
          <w:b/>
          <w:sz w:val="32"/>
        </w:rPr>
        <w:t xml:space="preserve"> </w:t>
      </w:r>
      <w:r>
        <w:rPr>
          <w:rFonts w:ascii="Times New Roman" w:eastAsia="Times New Roman" w:hAnsi="Times New Roman" w:cs="Times New Roman"/>
          <w:b/>
          <w:color w:val="333333"/>
          <w:sz w:val="32"/>
        </w:rPr>
        <w:t>Особенности кодирования заболевания или состояния (группы заболеваний или состояний) по Международной статистической классификации болезней и проблем, связанных со здоровьем</w:t>
      </w:r>
      <w:r>
        <w:rPr>
          <w:rFonts w:ascii="Times New Roman" w:eastAsia="Times New Roman" w:hAnsi="Times New Roman" w:cs="Times New Roman"/>
          <w:b/>
          <w:sz w:val="32"/>
        </w:rPr>
        <w:t xml:space="preserve">  </w:t>
      </w:r>
    </w:p>
    <w:p w:rsidR="003A0918" w:rsidRDefault="00D87DBB">
      <w:pPr>
        <w:spacing w:after="96"/>
        <w:ind w:left="2213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3A0918" w:rsidRDefault="00D87DBB">
      <w:pPr>
        <w:spacing w:after="125" w:line="249" w:lineRule="auto"/>
        <w:ind w:left="1848" w:right="551" w:hanging="10"/>
      </w:pPr>
      <w:r>
        <w:rPr>
          <w:rFonts w:ascii="Times New Roman" w:eastAsia="Times New Roman" w:hAnsi="Times New Roman" w:cs="Times New Roman"/>
          <w:b/>
          <w:sz w:val="24"/>
        </w:rPr>
        <w:t>Хроническая обструктивная болезнь легких</w:t>
      </w:r>
      <w:r>
        <w:rPr>
          <w:rFonts w:ascii="Times New Roman" w:eastAsia="Times New Roman" w:hAnsi="Times New Roman" w:cs="Times New Roman"/>
          <w:sz w:val="24"/>
        </w:rPr>
        <w:t xml:space="preserve"> (J.44):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J44.0 – Хроническая обструкт</w:t>
      </w:r>
      <w:r>
        <w:rPr>
          <w:rFonts w:ascii="Times New Roman" w:eastAsia="Times New Roman" w:hAnsi="Times New Roman" w:cs="Times New Roman"/>
          <w:sz w:val="24"/>
        </w:rPr>
        <w:t xml:space="preserve">ивная болезнь легких с острой респираторной инфекцией нижних дыхательных путей (в т.ч. с пневмонией) </w:t>
      </w:r>
    </w:p>
    <w:p w:rsidR="003A0918" w:rsidRDefault="00D87DBB">
      <w:pPr>
        <w:spacing w:after="115"/>
        <w:ind w:left="185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J44.1 – Хроническая обструктивная болезнь легких с обострением неуточненная </w:t>
      </w:r>
    </w:p>
    <w:p w:rsidR="003A0918" w:rsidRDefault="00D87DBB">
      <w:pPr>
        <w:spacing w:after="113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(без пневмонии) </w:t>
      </w:r>
    </w:p>
    <w:p w:rsidR="003A0918" w:rsidRDefault="00D87DBB">
      <w:pPr>
        <w:spacing w:after="115"/>
        <w:ind w:left="185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J44.8 – Другая уточненная хроническая обструктивная болезнь </w:t>
      </w:r>
      <w:r>
        <w:rPr>
          <w:rFonts w:ascii="Times New Roman" w:eastAsia="Times New Roman" w:hAnsi="Times New Roman" w:cs="Times New Roman"/>
          <w:sz w:val="24"/>
        </w:rPr>
        <w:t xml:space="preserve">легких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Хронический бронхит: астматический (обструктивный) без дополнительных уточнений (БДУ), эмфизематозный БДУ, обструктивный БДУ </w:t>
      </w:r>
    </w:p>
    <w:p w:rsidR="003A0918" w:rsidRDefault="00D87DBB">
      <w:pPr>
        <w:spacing w:after="5" w:line="364" w:lineRule="auto"/>
        <w:ind w:left="1851" w:right="114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J44.9 – Хроническая обструктивная болезнь легких неуточненная Хроническая обструктивная болезнь легких БДУ. </w:t>
      </w:r>
    </w:p>
    <w:p w:rsidR="003A0918" w:rsidRDefault="00D87DBB">
      <w:pPr>
        <w:spacing w:after="203"/>
        <w:ind w:left="1841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pStyle w:val="Heading2"/>
        <w:spacing w:after="0"/>
        <w:ind w:left="2203" w:right="22" w:hanging="720"/>
      </w:pPr>
      <w:r>
        <w:rPr>
          <w:sz w:val="32"/>
        </w:rPr>
        <w:t>1.5</w:t>
      </w:r>
      <w:r>
        <w:rPr>
          <w:rFonts w:ascii="Arial" w:eastAsia="Arial" w:hAnsi="Arial" w:cs="Arial"/>
          <w:sz w:val="32"/>
        </w:rPr>
        <w:t xml:space="preserve"> </w:t>
      </w:r>
      <w:r>
        <w:rPr>
          <w:sz w:val="32"/>
        </w:rPr>
        <w:t>Классификация заболевания или состояния (группы заболеваний или состояний)</w:t>
      </w:r>
      <w:r>
        <w:rPr>
          <w:sz w:val="32"/>
        </w:rPr>
        <w:t xml:space="preserve"> </w:t>
      </w:r>
    </w:p>
    <w:p w:rsidR="003A0918" w:rsidRDefault="00D87DBB">
      <w:pPr>
        <w:spacing w:after="93"/>
        <w:ind w:left="2213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Ранее классификация ХОБЛ строилась на показателях функционального состояния легких, базирующихся на постбронходилатационных значениях объема форсированного выдоха за 1-ю секунду </w:t>
      </w:r>
      <w:r>
        <w:rPr>
          <w:rFonts w:ascii="Times New Roman" w:eastAsia="Times New Roman" w:hAnsi="Times New Roman" w:cs="Times New Roman"/>
          <w:sz w:val="24"/>
        </w:rPr>
        <w:t>(ОФВ</w:t>
      </w:r>
      <w:r>
        <w:rPr>
          <w:rFonts w:ascii="Times New Roman" w:eastAsia="Times New Roman" w:hAnsi="Times New Roman" w:cs="Times New Roman"/>
          <w:sz w:val="24"/>
          <w:vertAlign w:val="subscript"/>
        </w:rPr>
        <w:t>1</w:t>
      </w:r>
      <w:r>
        <w:rPr>
          <w:rFonts w:ascii="Times New Roman" w:eastAsia="Times New Roman" w:hAnsi="Times New Roman" w:cs="Times New Roman"/>
          <w:sz w:val="24"/>
        </w:rPr>
        <w:t xml:space="preserve">), и в ней выделялось 4 стадии заболевания (Табл. 2). </w:t>
      </w:r>
    </w:p>
    <w:p w:rsidR="003A0918" w:rsidRDefault="00D87DBB">
      <w:pPr>
        <w:spacing w:after="1" w:line="357" w:lineRule="auto"/>
        <w:ind w:left="1128" w:right="55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Таблица 2. </w:t>
      </w:r>
      <w:r>
        <w:rPr>
          <w:rFonts w:ascii="Times New Roman" w:eastAsia="Times New Roman" w:hAnsi="Times New Roman" w:cs="Times New Roman"/>
          <w:color w:val="212121"/>
          <w:sz w:val="24"/>
        </w:rPr>
        <w:t xml:space="preserve">Спирометрическая классификация бронхиальной обструкции при ХОБЛ по GOLD 2023 (ОФВ1/ФЖЕЛ &lt; 0,7 - все значения постбронходилатационные)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color w:val="212121"/>
          <w:sz w:val="24"/>
        </w:rPr>
        <w:t xml:space="preserve"> </w:t>
      </w:r>
    </w:p>
    <w:tbl>
      <w:tblPr>
        <w:tblStyle w:val="TableGrid"/>
        <w:tblW w:w="9465" w:type="dxa"/>
        <w:tblInd w:w="1025" w:type="dxa"/>
        <w:tblCellMar>
          <w:top w:w="62" w:type="dxa"/>
          <w:left w:w="7" w:type="dxa"/>
          <w:bottom w:w="6" w:type="dxa"/>
          <w:right w:w="7" w:type="dxa"/>
        </w:tblCellMar>
        <w:tblLook w:val="04A0" w:firstRow="1" w:lastRow="0" w:firstColumn="1" w:lastColumn="0" w:noHBand="0" w:noVBand="1"/>
      </w:tblPr>
      <w:tblGrid>
        <w:gridCol w:w="1385"/>
        <w:gridCol w:w="2552"/>
        <w:gridCol w:w="1560"/>
        <w:gridCol w:w="3968"/>
      </w:tblGrid>
      <w:tr w:rsidR="003A0918">
        <w:trPr>
          <w:trHeight w:val="720"/>
        </w:trPr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01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Градация по GOLD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98"/>
            </w:pPr>
            <w:r>
              <w:rPr>
                <w:rFonts w:ascii="Times New Roman" w:eastAsia="Times New Roman" w:hAnsi="Times New Roman" w:cs="Times New Roman"/>
                <w:color w:val="212121"/>
                <w:sz w:val="24"/>
              </w:rPr>
              <w:t xml:space="preserve">Оценка </w:t>
            </w:r>
            <w:r>
              <w:rPr>
                <w:rFonts w:ascii="Times New Roman" w:eastAsia="Times New Roman" w:hAnsi="Times New Roman" w:cs="Times New Roman"/>
                <w:color w:val="212121"/>
                <w:sz w:val="24"/>
              </w:rPr>
              <w:tab/>
              <w:t xml:space="preserve">бронхиальной обструкции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right="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ОФВ</w:t>
            </w:r>
            <w:r>
              <w:rPr>
                <w:rFonts w:ascii="Times New Roman" w:eastAsia="Times New Roman" w:hAnsi="Times New Roman" w:cs="Times New Roman"/>
                <w:sz w:val="24"/>
                <w:vertAlign w:val="subscript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/ </w:t>
            </w:r>
          </w:p>
          <w:p w:rsidR="003A0918" w:rsidRDefault="00D87DBB">
            <w:pPr>
              <w:spacing w:after="0"/>
              <w:ind w:right="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ФЖЕЛ 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ОФВ</w:t>
            </w:r>
            <w:r>
              <w:rPr>
                <w:rFonts w:ascii="Times New Roman" w:eastAsia="Times New Roman" w:hAnsi="Times New Roman" w:cs="Times New Roman"/>
                <w:sz w:val="24"/>
                <w:vertAlign w:val="subscript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, % от должного </w:t>
            </w:r>
          </w:p>
        </w:tc>
      </w:tr>
      <w:tr w:rsidR="003A0918">
        <w:trPr>
          <w:trHeight w:val="339"/>
        </w:trPr>
        <w:tc>
          <w:tcPr>
            <w:tcW w:w="13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01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I </w:t>
            </w:r>
          </w:p>
        </w:tc>
        <w:tc>
          <w:tcPr>
            <w:tcW w:w="25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9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Легкая 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bottom"/>
          </w:tcPr>
          <w:p w:rsidR="003A0918" w:rsidRDefault="00D87DBB">
            <w:pPr>
              <w:spacing w:after="57"/>
            </w:pPr>
            <w:r>
              <w:rPr>
                <w:noProof/>
              </w:rPr>
              <w:drawing>
                <wp:inline distT="0" distB="0" distL="0" distR="0">
                  <wp:extent cx="990600" cy="176784"/>
                  <wp:effectExtent l="0" t="0" r="0" b="0"/>
                  <wp:docPr id="146787" name="Picture 1467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787" name="Picture 14678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0600" cy="1767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A0918" w:rsidRDefault="00D87DBB">
            <w:pPr>
              <w:spacing w:after="57"/>
            </w:pPr>
            <w:r>
              <w:rPr>
                <w:noProof/>
              </w:rPr>
              <w:drawing>
                <wp:inline distT="0" distB="0" distL="0" distR="0">
                  <wp:extent cx="990600" cy="170688"/>
                  <wp:effectExtent l="0" t="0" r="0" b="0"/>
                  <wp:docPr id="146788" name="Picture 1467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788" name="Picture 14678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0600" cy="1706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A0918" w:rsidRDefault="00D87DBB">
            <w:pPr>
              <w:spacing w:after="57"/>
            </w:pPr>
            <w:r>
              <w:rPr>
                <w:noProof/>
              </w:rPr>
              <w:drawing>
                <wp:inline distT="0" distB="0" distL="0" distR="0">
                  <wp:extent cx="990600" cy="146304"/>
                  <wp:effectExtent l="0" t="0" r="0" b="0"/>
                  <wp:docPr id="146789" name="Picture 1467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789" name="Picture 146789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0600" cy="1463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A0918" w:rsidRDefault="00D87DBB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&lt; 0,7 </w:t>
            </w:r>
          </w:p>
        </w:tc>
        <w:tc>
          <w:tcPr>
            <w:tcW w:w="3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98"/>
            </w:pPr>
            <w:r>
              <w:rPr>
                <w:rFonts w:ascii="Times New Roman" w:eastAsia="Times New Roman" w:hAnsi="Times New Roman" w:cs="Times New Roman"/>
                <w:sz w:val="24"/>
              </w:rPr>
              <w:t>ОФВ</w:t>
            </w:r>
            <w:r>
              <w:rPr>
                <w:rFonts w:ascii="Times New Roman" w:eastAsia="Times New Roman" w:hAnsi="Times New Roman" w:cs="Times New Roman"/>
                <w:sz w:val="24"/>
                <w:vertAlign w:val="subscript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≥ 80%  </w:t>
            </w:r>
          </w:p>
        </w:tc>
      </w:tr>
      <w:tr w:rsidR="003A0918">
        <w:trPr>
          <w:trHeight w:val="322"/>
        </w:trPr>
        <w:tc>
          <w:tcPr>
            <w:tcW w:w="13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01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II  </w:t>
            </w:r>
          </w:p>
        </w:tc>
        <w:tc>
          <w:tcPr>
            <w:tcW w:w="25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9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Среднетяжелая 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vAlign w:val="bottom"/>
          </w:tcPr>
          <w:p w:rsidR="003A0918" w:rsidRDefault="003A0918"/>
        </w:tc>
        <w:tc>
          <w:tcPr>
            <w:tcW w:w="3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98"/>
            </w:pPr>
            <w:r>
              <w:rPr>
                <w:rFonts w:ascii="Times New Roman" w:eastAsia="Times New Roman" w:hAnsi="Times New Roman" w:cs="Times New Roman"/>
                <w:sz w:val="24"/>
              </w:rPr>
              <w:t>50%≤ОФВ</w:t>
            </w:r>
            <w:r>
              <w:rPr>
                <w:rFonts w:ascii="Times New Roman" w:eastAsia="Times New Roman" w:hAnsi="Times New Roman" w:cs="Times New Roman"/>
                <w:sz w:val="24"/>
                <w:vertAlign w:val="subscript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&lt; 80%  </w:t>
            </w:r>
          </w:p>
        </w:tc>
      </w:tr>
      <w:tr w:rsidR="003A0918">
        <w:trPr>
          <w:trHeight w:val="290"/>
        </w:trPr>
        <w:tc>
          <w:tcPr>
            <w:tcW w:w="13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01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III  </w:t>
            </w:r>
          </w:p>
        </w:tc>
        <w:tc>
          <w:tcPr>
            <w:tcW w:w="25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9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Тяжелая 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3A0918" w:rsidRDefault="003A0918"/>
        </w:tc>
        <w:tc>
          <w:tcPr>
            <w:tcW w:w="3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98"/>
            </w:pPr>
            <w:r>
              <w:rPr>
                <w:rFonts w:ascii="Times New Roman" w:eastAsia="Times New Roman" w:hAnsi="Times New Roman" w:cs="Times New Roman"/>
                <w:sz w:val="24"/>
              </w:rPr>
              <w:t>30%≤ОФВ</w:t>
            </w:r>
            <w:r>
              <w:rPr>
                <w:rFonts w:ascii="Times New Roman" w:eastAsia="Times New Roman" w:hAnsi="Times New Roman" w:cs="Times New Roman"/>
                <w:sz w:val="24"/>
                <w:vertAlign w:val="subscript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&lt; 50%  </w:t>
            </w:r>
          </w:p>
        </w:tc>
      </w:tr>
      <w:tr w:rsidR="003A0918">
        <w:trPr>
          <w:trHeight w:val="840"/>
        </w:trPr>
        <w:tc>
          <w:tcPr>
            <w:tcW w:w="138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01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IV  </w:t>
            </w:r>
          </w:p>
        </w:tc>
        <w:tc>
          <w:tcPr>
            <w:tcW w:w="255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9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Крайне тяжелая 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3A0918" w:rsidRDefault="003A0918"/>
        </w:tc>
        <w:tc>
          <w:tcPr>
            <w:tcW w:w="3968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98" w:right="10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ОФВ</w:t>
            </w:r>
            <w:r>
              <w:rPr>
                <w:rFonts w:ascii="Times New Roman" w:eastAsia="Times New Roman" w:hAnsi="Times New Roman" w:cs="Times New Roman"/>
                <w:sz w:val="24"/>
                <w:vertAlign w:val="subscript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&lt; 30% или &lt; 50% в сочетании с хронической дыхательной недостаточностью  </w:t>
            </w:r>
          </w:p>
        </w:tc>
      </w:tr>
    </w:tbl>
    <w:p w:rsidR="003A0918" w:rsidRDefault="00D87DBB">
      <w:pPr>
        <w:spacing w:after="115"/>
        <w:ind w:left="1841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1" w:line="357" w:lineRule="auto"/>
        <w:ind w:left="1128" w:right="551" w:hanging="10"/>
        <w:jc w:val="both"/>
      </w:pPr>
      <w:r>
        <w:rPr>
          <w:rFonts w:ascii="Times New Roman" w:eastAsia="Times New Roman" w:hAnsi="Times New Roman" w:cs="Times New Roman"/>
          <w:color w:val="212121"/>
          <w:sz w:val="24"/>
        </w:rPr>
        <w:t>В пересмотре документа GOLD (Global Initiative for Chronic Obstructive Lung Disease) в 2023 году предложена новая оценка категорий ХОБЛ [1]. Она учитывает не только степень тяжести</w:t>
      </w:r>
      <w:r>
        <w:rPr>
          <w:rFonts w:ascii="Times New Roman" w:eastAsia="Times New Roman" w:hAnsi="Times New Roman" w:cs="Times New Roman"/>
          <w:color w:val="212121"/>
          <w:sz w:val="24"/>
        </w:rPr>
        <w:t xml:space="preserve"> бронхиальной обструкции (степень нарушения бронхиальной проходимости) по результатам исследования неспровоцированных дыхательных объемов и потоков (спирометрии), но и клинические данные о пациенте: количество и тяжести обострений ХОБЛ за год и выраженност</w:t>
      </w:r>
      <w:r>
        <w:rPr>
          <w:rFonts w:ascii="Times New Roman" w:eastAsia="Times New Roman" w:hAnsi="Times New Roman" w:cs="Times New Roman"/>
          <w:color w:val="212121"/>
          <w:sz w:val="24"/>
        </w:rPr>
        <w:t>ь клинических симптомов по шкале mMRC (modified Medical Research Council Dyspnea Scale) и тесту CAT (COPD Assessment Test). К а т ег о р и и ХОБЛ с учетом рекомендаций программы GOLD 2023 выглядит следующим образом (см. Рис. 1). Критерии отнесения пациенто</w:t>
      </w:r>
      <w:r>
        <w:rPr>
          <w:rFonts w:ascii="Times New Roman" w:eastAsia="Times New Roman" w:hAnsi="Times New Roman" w:cs="Times New Roman"/>
          <w:color w:val="212121"/>
          <w:sz w:val="24"/>
        </w:rPr>
        <w:t xml:space="preserve">в к категориям А и В не изменились. Группы C и D было решено объединить в группу Е, чтобы подчеркнуть </w:t>
      </w:r>
      <w:r>
        <w:rPr>
          <w:rFonts w:ascii="Times New Roman" w:eastAsia="Times New Roman" w:hAnsi="Times New Roman" w:cs="Times New Roman"/>
          <w:b/>
          <w:color w:val="212121"/>
          <w:sz w:val="24"/>
        </w:rPr>
        <w:t>отсутствие значимости влияния выраженности симптомов вне обострения на стартовую терапию у пациентов, имеющих высокий риск развития обстрений.</w:t>
      </w:r>
      <w:r>
        <w:rPr>
          <w:rFonts w:ascii="Times New Roman" w:eastAsia="Times New Roman" w:hAnsi="Times New Roman" w:cs="Times New Roman"/>
          <w:color w:val="212121"/>
          <w:sz w:val="24"/>
        </w:rPr>
        <w:t xml:space="preserve"> Авторы GOLD</w:t>
      </w:r>
      <w:r>
        <w:rPr>
          <w:rFonts w:ascii="Times New Roman" w:eastAsia="Times New Roman" w:hAnsi="Times New Roman" w:cs="Times New Roman"/>
          <w:color w:val="212121"/>
          <w:sz w:val="24"/>
        </w:rPr>
        <w:t xml:space="preserve"> 2023 признают, что это предложение должно быть подтверждено клиническими исследованиями.  </w:t>
      </w:r>
    </w:p>
    <w:p w:rsidR="003A0918" w:rsidRDefault="00D87DBB">
      <w:pPr>
        <w:spacing w:after="56"/>
        <w:ind w:left="1133"/>
      </w:pPr>
      <w:r>
        <w:rPr>
          <w:rFonts w:ascii="Times New Roman" w:eastAsia="Times New Roman" w:hAnsi="Times New Roman" w:cs="Times New Roman"/>
          <w:color w:val="212121"/>
          <w:sz w:val="24"/>
        </w:rPr>
        <w:t xml:space="preserve"> </w:t>
      </w:r>
    </w:p>
    <w:p w:rsidR="003A0918" w:rsidRDefault="00D87DBB">
      <w:pPr>
        <w:spacing w:after="60"/>
        <w:ind w:right="823"/>
        <w:jc w:val="right"/>
      </w:pPr>
      <w:r>
        <w:rPr>
          <w:noProof/>
        </w:rPr>
        <w:drawing>
          <wp:inline distT="0" distB="0" distL="0" distR="0">
            <wp:extent cx="5762625" cy="2562225"/>
            <wp:effectExtent l="0" t="0" r="0" b="0"/>
            <wp:docPr id="2965" name="Picture 29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5" name="Picture 2965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212121"/>
          <w:sz w:val="24"/>
        </w:rPr>
        <w:t xml:space="preserve"> </w:t>
      </w:r>
    </w:p>
    <w:p w:rsidR="003A0918" w:rsidRDefault="00D87DBB">
      <w:pPr>
        <w:spacing w:after="1"/>
        <w:ind w:left="1128" w:right="551" w:hanging="10"/>
        <w:jc w:val="both"/>
      </w:pPr>
      <w:r>
        <w:rPr>
          <w:rFonts w:ascii="Times New Roman" w:eastAsia="Times New Roman" w:hAnsi="Times New Roman" w:cs="Times New Roman"/>
          <w:b/>
          <w:color w:val="212121"/>
          <w:sz w:val="24"/>
        </w:rPr>
        <w:t xml:space="preserve">Рис. 1. </w:t>
      </w:r>
      <w:r>
        <w:rPr>
          <w:rFonts w:ascii="Times New Roman" w:eastAsia="Times New Roman" w:hAnsi="Times New Roman" w:cs="Times New Roman"/>
          <w:color w:val="212121"/>
          <w:sz w:val="24"/>
        </w:rPr>
        <w:t xml:space="preserve">Критерии диагностики и категории ХОБЛ [1]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color w:val="212121"/>
          <w:sz w:val="24"/>
        </w:rPr>
        <w:t xml:space="preserve"> </w:t>
      </w:r>
    </w:p>
    <w:p w:rsidR="003A0918" w:rsidRDefault="00D87DBB">
      <w:pPr>
        <w:spacing w:after="5" w:line="364" w:lineRule="auto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Для оценки степени риска обострений ХОБЛ, рекомендуется </w:t>
      </w:r>
      <w:r>
        <w:rPr>
          <w:rFonts w:ascii="Times New Roman" w:eastAsia="Times New Roman" w:hAnsi="Times New Roman" w:cs="Times New Roman"/>
          <w:sz w:val="24"/>
        </w:rPr>
        <w:t xml:space="preserve">учитывать анамнестические сведения о частоте обострений заболевания, в т.ч. потребовавшие госпитализации в течение последних 12 мес.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При наличии у пациента в предыдущем году даже одного обострения, приведшего к госпитализации (то есть тяжелого обострения)</w:t>
      </w:r>
      <w:r>
        <w:rPr>
          <w:rFonts w:ascii="Times New Roman" w:eastAsia="Times New Roman" w:hAnsi="Times New Roman" w:cs="Times New Roman"/>
          <w:sz w:val="24"/>
        </w:rPr>
        <w:t xml:space="preserve">, его следует относить к группе высокого риска. 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spacing w:after="112"/>
        <w:ind w:left="185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 учетом вышесказанного диагноз ХОБЛ может выглядеть следующим образом: </w:t>
      </w:r>
    </w:p>
    <w:p w:rsidR="003A0918" w:rsidRDefault="00D87DBB">
      <w:pPr>
        <w:spacing w:after="144"/>
        <w:ind w:left="185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«Хроническая обструктивная болезнь лёгких…» и далее следует оценка: </w:t>
      </w:r>
    </w:p>
    <w:p w:rsidR="003A0918" w:rsidRDefault="00D87DBB">
      <w:pPr>
        <w:numPr>
          <w:ilvl w:val="0"/>
          <w:numId w:val="6"/>
        </w:numPr>
        <w:spacing w:after="5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степени тяжести (I – IV) нарушения бронхиальной проходимости; </w:t>
      </w:r>
    </w:p>
    <w:p w:rsidR="003A0918" w:rsidRDefault="00D87DBB">
      <w:pPr>
        <w:numPr>
          <w:ilvl w:val="0"/>
          <w:numId w:val="6"/>
        </w:numPr>
        <w:spacing w:after="5" w:line="364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>в</w:t>
      </w:r>
      <w:r>
        <w:rPr>
          <w:rFonts w:ascii="Times New Roman" w:eastAsia="Times New Roman" w:hAnsi="Times New Roman" w:cs="Times New Roman"/>
          <w:sz w:val="24"/>
        </w:rPr>
        <w:t xml:space="preserve">ыраженности клинических симптомов: выраженные (CAT≥10, mMRC≥2), невыраженные (CAT&lt;10, mMRC&lt;2);  </w:t>
      </w:r>
    </w:p>
    <w:p w:rsidR="003A0918" w:rsidRDefault="00D87DBB">
      <w:pPr>
        <w:numPr>
          <w:ilvl w:val="0"/>
          <w:numId w:val="6"/>
        </w:numPr>
        <w:spacing w:after="5" w:line="364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>частоты обострений: редкие (0–1), частые (≥2);</w:t>
      </w:r>
      <w:r>
        <w:rPr>
          <w:rFonts w:ascii="Times New Roman" w:eastAsia="Times New Roman" w:hAnsi="Times New Roman" w:cs="Times New Roman"/>
          <w:color w:val="212121"/>
          <w:sz w:val="24"/>
        </w:rPr>
        <w:t xml:space="preserve"> в т.ч. потребовашие госпитализации;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numPr>
          <w:ilvl w:val="0"/>
          <w:numId w:val="6"/>
        </w:numPr>
        <w:spacing w:after="151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фенотипа ХОБЛ (если это возможно); </w:t>
      </w:r>
    </w:p>
    <w:p w:rsidR="003A0918" w:rsidRDefault="00D87DBB">
      <w:pPr>
        <w:numPr>
          <w:ilvl w:val="0"/>
          <w:numId w:val="6"/>
        </w:numPr>
        <w:spacing w:after="5" w:line="364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осложнений (дыхательной </w:t>
      </w:r>
      <w:r>
        <w:rPr>
          <w:rFonts w:ascii="Times New Roman" w:eastAsia="Times New Roman" w:hAnsi="Times New Roman" w:cs="Times New Roman"/>
          <w:sz w:val="24"/>
        </w:rPr>
        <w:t>недостаточности, легочной гипертензии и др.); -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ab/>
      </w:r>
      <w:r>
        <w:rPr>
          <w:rFonts w:ascii="Times New Roman" w:eastAsia="Times New Roman" w:hAnsi="Times New Roman" w:cs="Times New Roman"/>
          <w:sz w:val="24"/>
        </w:rPr>
        <w:t xml:space="preserve">сопутствующих заболеваний. </w:t>
      </w:r>
    </w:p>
    <w:p w:rsidR="003A0918" w:rsidRDefault="00D87DBB">
      <w:pPr>
        <w:pStyle w:val="Heading3"/>
        <w:spacing w:after="150"/>
        <w:ind w:left="1848" w:right="551"/>
      </w:pPr>
      <w:r>
        <w:t>Фенотипы ХОБЛ</w:t>
      </w:r>
      <w:r>
        <w:t xml:space="preserve"> </w:t>
      </w:r>
      <w:r>
        <w:rPr>
          <w:b w:val="0"/>
        </w:rPr>
        <w:t xml:space="preserve">(табл. 3) </w:t>
      </w:r>
    </w:p>
    <w:p w:rsidR="003A0918" w:rsidRDefault="00D87DBB">
      <w:pPr>
        <w:numPr>
          <w:ilvl w:val="0"/>
          <w:numId w:val="7"/>
        </w:numPr>
        <w:spacing w:after="96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Преимущественно бронхитический фенотип </w:t>
      </w:r>
    </w:p>
    <w:p w:rsidR="003A0918" w:rsidRDefault="00D87DBB">
      <w:pPr>
        <w:numPr>
          <w:ilvl w:val="0"/>
          <w:numId w:val="7"/>
        </w:numPr>
        <w:spacing w:after="70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Преимущественно эмфизематозный фенотип </w:t>
      </w:r>
    </w:p>
    <w:p w:rsidR="003A0918" w:rsidRDefault="00D87DBB">
      <w:pPr>
        <w:spacing w:after="112"/>
        <w:ind w:left="1128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Таблица 3. </w:t>
      </w:r>
      <w:r>
        <w:rPr>
          <w:rFonts w:ascii="Times New Roman" w:eastAsia="Times New Roman" w:hAnsi="Times New Roman" w:cs="Times New Roman"/>
          <w:sz w:val="24"/>
        </w:rPr>
        <w:t xml:space="preserve">Клинико-лабораторные признаки двух основных фенотипов ХОБЛ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tbl>
      <w:tblPr>
        <w:tblStyle w:val="TableGrid"/>
        <w:tblW w:w="9081" w:type="dxa"/>
        <w:tblInd w:w="1126" w:type="dxa"/>
        <w:tblCellMar>
          <w:top w:w="64" w:type="dxa"/>
          <w:left w:w="0" w:type="dxa"/>
          <w:bottom w:w="0" w:type="dxa"/>
          <w:right w:w="6" w:type="dxa"/>
        </w:tblCellMar>
        <w:tblLook w:val="04A0" w:firstRow="1" w:lastRow="0" w:firstColumn="1" w:lastColumn="0" w:noHBand="0" w:noVBand="1"/>
      </w:tblPr>
      <w:tblGrid>
        <w:gridCol w:w="2842"/>
        <w:gridCol w:w="3284"/>
        <w:gridCol w:w="2955"/>
      </w:tblGrid>
      <w:tr w:rsidR="003A0918">
        <w:trPr>
          <w:trHeight w:val="842"/>
        </w:trPr>
        <w:tc>
          <w:tcPr>
            <w:tcW w:w="2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П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ризнаки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2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Преимущественно эмфизематозный фенотип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29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6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Преимущественно бронхитический фенотип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3A0918">
        <w:trPr>
          <w:trHeight w:val="842"/>
        </w:trPr>
        <w:tc>
          <w:tcPr>
            <w:tcW w:w="2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Возраст (лет) на момент диагностики ХОБЛ </w:t>
            </w:r>
          </w:p>
        </w:tc>
        <w:tc>
          <w:tcPr>
            <w:tcW w:w="32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Около 60 </w:t>
            </w:r>
          </w:p>
        </w:tc>
        <w:tc>
          <w:tcPr>
            <w:tcW w:w="29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Около 50 </w:t>
            </w:r>
          </w:p>
        </w:tc>
      </w:tr>
      <w:tr w:rsidR="003A0918">
        <w:trPr>
          <w:trHeight w:val="1258"/>
        </w:trPr>
        <w:tc>
          <w:tcPr>
            <w:tcW w:w="2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Особенности внешнего вида </w:t>
            </w:r>
          </w:p>
        </w:tc>
        <w:tc>
          <w:tcPr>
            <w:tcW w:w="32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tabs>
                <w:tab w:val="right" w:pos="3277"/>
              </w:tabs>
              <w:spacing w:after="121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Сниженное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питание</w:t>
            </w:r>
          </w:p>
          <w:p w:rsidR="003A0918" w:rsidRDefault="00D87DBB">
            <w:pPr>
              <w:spacing w:after="113"/>
              <w:ind w:left="15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Цианоз не выражен </w:t>
            </w:r>
          </w:p>
          <w:p w:rsidR="003A0918" w:rsidRDefault="00D87DBB">
            <w:pPr>
              <w:spacing w:after="0"/>
              <w:ind w:left="15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Конечности–холодные </w:t>
            </w:r>
          </w:p>
        </w:tc>
        <w:tc>
          <w:tcPr>
            <w:tcW w:w="29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tabs>
                <w:tab w:val="right" w:pos="2949"/>
              </w:tabs>
              <w:spacing w:after="121"/>
              <w:ind w:left="-1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Повышенное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>питание</w:t>
            </w:r>
          </w:p>
          <w:p w:rsidR="003A0918" w:rsidRDefault="00D87DBB">
            <w:pPr>
              <w:spacing w:after="113"/>
              <w:ind w:left="15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Диффузный цианоз </w:t>
            </w:r>
          </w:p>
          <w:p w:rsidR="003A0918" w:rsidRDefault="00D87DBB">
            <w:pPr>
              <w:spacing w:after="0"/>
              <w:ind w:left="15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Конечности-теплые </w:t>
            </w:r>
          </w:p>
        </w:tc>
      </w:tr>
      <w:tr w:rsidR="003A0918">
        <w:trPr>
          <w:trHeight w:val="427"/>
        </w:trPr>
        <w:tc>
          <w:tcPr>
            <w:tcW w:w="2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6"/>
            </w:pPr>
            <w:r>
              <w:rPr>
                <w:rFonts w:ascii="Times New Roman" w:eastAsia="Times New Roman" w:hAnsi="Times New Roman" w:cs="Times New Roman"/>
                <w:sz w:val="24"/>
              </w:rPr>
              <w:t>Преобладающий симптом</w:t>
            </w:r>
          </w:p>
        </w:tc>
        <w:tc>
          <w:tcPr>
            <w:tcW w:w="32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-1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Одышка </w:t>
            </w:r>
          </w:p>
        </w:tc>
        <w:tc>
          <w:tcPr>
            <w:tcW w:w="29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Кашель </w:t>
            </w:r>
          </w:p>
        </w:tc>
      </w:tr>
      <w:tr w:rsidR="003A0918">
        <w:trPr>
          <w:trHeight w:val="845"/>
        </w:trPr>
        <w:tc>
          <w:tcPr>
            <w:tcW w:w="2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Мокрота </w:t>
            </w:r>
          </w:p>
        </w:tc>
        <w:tc>
          <w:tcPr>
            <w:tcW w:w="32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Скудная – чаще слизистая </w:t>
            </w:r>
          </w:p>
        </w:tc>
        <w:tc>
          <w:tcPr>
            <w:tcW w:w="29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Обильная – чаще слизисто-гнойная </w:t>
            </w:r>
          </w:p>
        </w:tc>
      </w:tr>
      <w:tr w:rsidR="003A0918">
        <w:trPr>
          <w:trHeight w:val="427"/>
        </w:trPr>
        <w:tc>
          <w:tcPr>
            <w:tcW w:w="2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Бронхиальная инфекция </w:t>
            </w:r>
          </w:p>
        </w:tc>
        <w:tc>
          <w:tcPr>
            <w:tcW w:w="32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Нечасто </w:t>
            </w:r>
          </w:p>
        </w:tc>
        <w:tc>
          <w:tcPr>
            <w:tcW w:w="29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Часто </w:t>
            </w:r>
          </w:p>
        </w:tc>
      </w:tr>
      <w:tr w:rsidR="003A0918">
        <w:trPr>
          <w:trHeight w:val="569"/>
        </w:trPr>
        <w:tc>
          <w:tcPr>
            <w:tcW w:w="2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Легочное сердце </w:t>
            </w:r>
          </w:p>
        </w:tc>
        <w:tc>
          <w:tcPr>
            <w:tcW w:w="32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Редко, лишь в терминальной стадии </w:t>
            </w:r>
          </w:p>
        </w:tc>
        <w:tc>
          <w:tcPr>
            <w:tcW w:w="29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Часто </w:t>
            </w:r>
          </w:p>
        </w:tc>
      </w:tr>
      <w:tr w:rsidR="003A0918">
        <w:trPr>
          <w:trHeight w:val="842"/>
        </w:trPr>
        <w:tc>
          <w:tcPr>
            <w:tcW w:w="2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Рентгенография органов грудной клетки </w:t>
            </w:r>
          </w:p>
        </w:tc>
        <w:tc>
          <w:tcPr>
            <w:tcW w:w="32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Гиперинфляция, буллезные изменения, «вертикальное» сердце </w:t>
            </w:r>
          </w:p>
        </w:tc>
        <w:tc>
          <w:tcPr>
            <w:tcW w:w="29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Усиление легочного рисунка, увеличение размеров сердца </w:t>
            </w:r>
          </w:p>
        </w:tc>
      </w:tr>
      <w:tr w:rsidR="003A0918">
        <w:trPr>
          <w:trHeight w:val="291"/>
        </w:trPr>
        <w:tc>
          <w:tcPr>
            <w:tcW w:w="2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Гематокрит, % </w:t>
            </w:r>
          </w:p>
        </w:tc>
        <w:tc>
          <w:tcPr>
            <w:tcW w:w="32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35 – 45 </w:t>
            </w:r>
          </w:p>
        </w:tc>
        <w:tc>
          <w:tcPr>
            <w:tcW w:w="29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50 – 55 </w:t>
            </w:r>
          </w:p>
        </w:tc>
      </w:tr>
      <w:tr w:rsidR="003A0918">
        <w:trPr>
          <w:trHeight w:val="290"/>
        </w:trPr>
        <w:tc>
          <w:tcPr>
            <w:tcW w:w="2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6"/>
            </w:pPr>
            <w:r>
              <w:rPr>
                <w:rFonts w:ascii="Times New Roman" w:eastAsia="Times New Roman" w:hAnsi="Times New Roman" w:cs="Times New Roman"/>
                <w:sz w:val="24"/>
              </w:rPr>
              <w:t>PaO</w:t>
            </w:r>
            <w:r>
              <w:rPr>
                <w:rFonts w:ascii="Times New Roman" w:eastAsia="Times New Roman" w:hAnsi="Times New Roman" w:cs="Times New Roman"/>
                <w:sz w:val="24"/>
                <w:vertAlign w:val="subscript"/>
              </w:rPr>
              <w:t>2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2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65 – 75 </w:t>
            </w:r>
          </w:p>
        </w:tc>
        <w:tc>
          <w:tcPr>
            <w:tcW w:w="29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45 – 60 </w:t>
            </w:r>
          </w:p>
        </w:tc>
      </w:tr>
      <w:tr w:rsidR="003A0918">
        <w:trPr>
          <w:trHeight w:val="293"/>
        </w:trPr>
        <w:tc>
          <w:tcPr>
            <w:tcW w:w="2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6"/>
            </w:pPr>
            <w:r>
              <w:rPr>
                <w:rFonts w:ascii="Times New Roman" w:eastAsia="Times New Roman" w:hAnsi="Times New Roman" w:cs="Times New Roman"/>
                <w:sz w:val="24"/>
              </w:rPr>
              <w:t>PaCO</w:t>
            </w:r>
            <w:r>
              <w:rPr>
                <w:rFonts w:ascii="Times New Roman" w:eastAsia="Times New Roman" w:hAnsi="Times New Roman" w:cs="Times New Roman"/>
                <w:sz w:val="24"/>
                <w:vertAlign w:val="subscript"/>
              </w:rPr>
              <w:t>2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2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35 – 40 </w:t>
            </w:r>
          </w:p>
        </w:tc>
        <w:tc>
          <w:tcPr>
            <w:tcW w:w="29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50 – 60 </w:t>
            </w:r>
          </w:p>
        </w:tc>
      </w:tr>
      <w:tr w:rsidR="003A0918">
        <w:trPr>
          <w:trHeight w:val="566"/>
        </w:trPr>
        <w:tc>
          <w:tcPr>
            <w:tcW w:w="2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Диффузионная способность </w:t>
            </w:r>
          </w:p>
        </w:tc>
        <w:tc>
          <w:tcPr>
            <w:tcW w:w="32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Снижена </w:t>
            </w:r>
          </w:p>
        </w:tc>
        <w:tc>
          <w:tcPr>
            <w:tcW w:w="29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A0918" w:rsidRDefault="00D87DBB">
            <w:pPr>
              <w:spacing w:after="0"/>
              <w:ind w:left="15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Норма, небольшое снижение </w:t>
            </w:r>
          </w:p>
        </w:tc>
      </w:tr>
    </w:tbl>
    <w:p w:rsidR="003A0918" w:rsidRDefault="00D87DBB">
      <w:pPr>
        <w:spacing w:after="0"/>
        <w:ind w:left="185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25" w:line="358" w:lineRule="auto"/>
        <w:ind w:left="1143" w:right="3810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ХОБЛ, сочетающийся с бронхиальной астмой </w:t>
      </w:r>
      <w:r>
        <w:rPr>
          <w:rFonts w:ascii="Times New Roman" w:eastAsia="Times New Roman" w:hAnsi="Times New Roman" w:cs="Times New Roman"/>
          <w:sz w:val="24"/>
        </w:rPr>
        <w:t xml:space="preserve">Сочетание признаков БА и ХОБЛ: </w:t>
      </w:r>
    </w:p>
    <w:p w:rsidR="003A0918" w:rsidRDefault="00D87DBB">
      <w:pPr>
        <w:numPr>
          <w:ilvl w:val="0"/>
          <w:numId w:val="7"/>
        </w:numPr>
        <w:spacing w:after="5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возраст более 35 лет, с длительным анамнезом одной из болезней, </w:t>
      </w:r>
    </w:p>
    <w:p w:rsidR="003A0918" w:rsidRDefault="00D87DBB">
      <w:pPr>
        <w:numPr>
          <w:ilvl w:val="0"/>
          <w:numId w:val="7"/>
        </w:numPr>
        <w:spacing w:after="97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чаще ХОБЛ присоединяется к БА, чем наоборот, </w:t>
      </w:r>
    </w:p>
    <w:p w:rsidR="003A0918" w:rsidRDefault="00D87DBB">
      <w:pPr>
        <w:numPr>
          <w:ilvl w:val="0"/>
          <w:numId w:val="7"/>
        </w:numPr>
        <w:spacing w:after="69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сочетание ХОБЛ к БА связано с длительным воздействием факторов риска </w:t>
      </w:r>
    </w:p>
    <w:p w:rsidR="003A0918" w:rsidRDefault="00D87DBB">
      <w:pPr>
        <w:spacing w:after="140"/>
        <w:ind w:left="221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ХОБЛ (курение, профессиональные или бытовые вредности), </w:t>
      </w:r>
    </w:p>
    <w:p w:rsidR="003A0918" w:rsidRDefault="00D87DBB">
      <w:pPr>
        <w:numPr>
          <w:ilvl w:val="0"/>
          <w:numId w:val="7"/>
        </w:numPr>
        <w:spacing w:after="5" w:line="364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при длительном наблюдении за больными отмечается прогрессирование дыхательной недостаточности, </w:t>
      </w:r>
    </w:p>
    <w:p w:rsidR="003A0918" w:rsidRDefault="00D87DBB">
      <w:pPr>
        <w:numPr>
          <w:ilvl w:val="0"/>
          <w:numId w:val="7"/>
        </w:numPr>
        <w:spacing w:after="96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>снижается эффективность ингаляцио</w:t>
      </w:r>
      <w:r>
        <w:rPr>
          <w:rFonts w:ascii="Times New Roman" w:eastAsia="Times New Roman" w:hAnsi="Times New Roman" w:cs="Times New Roman"/>
          <w:sz w:val="24"/>
        </w:rPr>
        <w:t xml:space="preserve">ннных кортикостероидов, </w:t>
      </w:r>
    </w:p>
    <w:p w:rsidR="003A0918" w:rsidRDefault="00D87DBB">
      <w:pPr>
        <w:numPr>
          <w:ilvl w:val="0"/>
          <w:numId w:val="7"/>
        </w:numPr>
        <w:spacing w:after="70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снижается переносимость физической нагрузки </w:t>
      </w:r>
    </w:p>
    <w:p w:rsidR="003A0918" w:rsidRDefault="00D87DBB">
      <w:pPr>
        <w:spacing w:after="5" w:line="364" w:lineRule="auto"/>
        <w:ind w:left="1128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ХОБЛ с частыми обострениями</w:t>
      </w:r>
      <w:r>
        <w:rPr>
          <w:rFonts w:ascii="Times New Roman" w:eastAsia="Times New Roman" w:hAnsi="Times New Roman" w:cs="Times New Roman"/>
          <w:sz w:val="24"/>
        </w:rPr>
        <w:t xml:space="preserve">  - это пациенты с частыми обострениями (2 или более обострения за предыдущий год, или 1 и более обострений, приведших к госпитализации). Важность этого феноти</w:t>
      </w:r>
      <w:r>
        <w:rPr>
          <w:rFonts w:ascii="Times New Roman" w:eastAsia="Times New Roman" w:hAnsi="Times New Roman" w:cs="Times New Roman"/>
          <w:sz w:val="24"/>
        </w:rPr>
        <w:t xml:space="preserve">па определяется тем, что из обострения пациент выходит с уменьшенными функциональными показателями легких, а частота обострений напрямую влияет на продолжительность жизни больных и требует индивидуального подхода к лечению. </w:t>
      </w:r>
    </w:p>
    <w:p w:rsidR="003A0918" w:rsidRDefault="00D87DBB">
      <w:pPr>
        <w:spacing w:after="233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tabs>
          <w:tab w:val="center" w:pos="2826"/>
          <w:tab w:val="center" w:pos="5098"/>
          <w:tab w:val="center" w:pos="6944"/>
          <w:tab w:val="center" w:pos="8455"/>
          <w:tab w:val="center" w:pos="9803"/>
        </w:tabs>
        <w:spacing w:after="0"/>
      </w:pPr>
      <w:r>
        <w:tab/>
      </w:r>
      <w:r>
        <w:rPr>
          <w:rFonts w:ascii="Times New Roman" w:eastAsia="Times New Roman" w:hAnsi="Times New Roman" w:cs="Times New Roman"/>
          <w:b/>
          <w:sz w:val="32"/>
        </w:rPr>
        <w:t>1.6</w:t>
      </w:r>
      <w:r>
        <w:rPr>
          <w:rFonts w:ascii="Arial" w:eastAsia="Arial" w:hAnsi="Arial" w:cs="Arial"/>
          <w:b/>
          <w:sz w:val="32"/>
        </w:rPr>
        <w:t xml:space="preserve"> </w:t>
      </w:r>
      <w:r>
        <w:rPr>
          <w:rFonts w:ascii="Times New Roman" w:eastAsia="Times New Roman" w:hAnsi="Times New Roman" w:cs="Times New Roman"/>
          <w:b/>
          <w:sz w:val="32"/>
        </w:rPr>
        <w:t xml:space="preserve">Клиническая </w:t>
      </w:r>
      <w:r>
        <w:rPr>
          <w:rFonts w:ascii="Times New Roman" w:eastAsia="Times New Roman" w:hAnsi="Times New Roman" w:cs="Times New Roman"/>
          <w:b/>
          <w:sz w:val="32"/>
        </w:rPr>
        <w:tab/>
        <w:t xml:space="preserve">картина </w:t>
      </w:r>
      <w:r>
        <w:rPr>
          <w:rFonts w:ascii="Times New Roman" w:eastAsia="Times New Roman" w:hAnsi="Times New Roman" w:cs="Times New Roman"/>
          <w:b/>
          <w:sz w:val="32"/>
        </w:rPr>
        <w:tab/>
      </w:r>
      <w:r>
        <w:rPr>
          <w:rFonts w:ascii="Times New Roman" w:eastAsia="Times New Roman" w:hAnsi="Times New Roman" w:cs="Times New Roman"/>
          <w:b/>
          <w:color w:val="333333"/>
          <w:sz w:val="32"/>
        </w:rPr>
        <w:t xml:space="preserve">заболевания </w:t>
      </w:r>
      <w:r>
        <w:rPr>
          <w:rFonts w:ascii="Times New Roman" w:eastAsia="Times New Roman" w:hAnsi="Times New Roman" w:cs="Times New Roman"/>
          <w:b/>
          <w:color w:val="333333"/>
          <w:sz w:val="32"/>
        </w:rPr>
        <w:tab/>
        <w:t xml:space="preserve">или </w:t>
      </w:r>
      <w:r>
        <w:rPr>
          <w:rFonts w:ascii="Times New Roman" w:eastAsia="Times New Roman" w:hAnsi="Times New Roman" w:cs="Times New Roman"/>
          <w:b/>
          <w:color w:val="333333"/>
          <w:sz w:val="32"/>
        </w:rPr>
        <w:tab/>
        <w:t xml:space="preserve">состояния </w:t>
      </w:r>
    </w:p>
    <w:p w:rsidR="003A0918" w:rsidRDefault="00D87DBB">
      <w:pPr>
        <w:spacing w:after="0" w:line="249" w:lineRule="auto"/>
        <w:ind w:left="2213" w:right="556"/>
        <w:jc w:val="both"/>
      </w:pPr>
      <w:r>
        <w:rPr>
          <w:rFonts w:ascii="Times New Roman" w:eastAsia="Times New Roman" w:hAnsi="Times New Roman" w:cs="Times New Roman"/>
          <w:b/>
          <w:color w:val="333333"/>
          <w:sz w:val="32"/>
        </w:rPr>
        <w:t xml:space="preserve">(группы заболеваний или состояний) </w:t>
      </w:r>
    </w:p>
    <w:p w:rsidR="003A0918" w:rsidRDefault="00D87DBB">
      <w:pPr>
        <w:spacing w:after="93"/>
        <w:ind w:left="2213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3A0918" w:rsidRDefault="00D87DBB">
      <w:pPr>
        <w:pStyle w:val="Heading4"/>
        <w:spacing w:after="114" w:line="259" w:lineRule="auto"/>
        <w:ind w:left="1836"/>
      </w:pPr>
      <w:r>
        <w:rPr>
          <w:b w:val="0"/>
          <w:u w:val="single" w:color="000000"/>
        </w:rPr>
        <w:t>Обострение ХОБЛ</w:t>
      </w:r>
      <w:r>
        <w:rPr>
          <w:b w:val="0"/>
        </w:rPr>
        <w:t xml:space="preserve"> </w:t>
      </w:r>
    </w:p>
    <w:p w:rsidR="003A0918" w:rsidRDefault="00D87DBB">
      <w:pPr>
        <w:spacing w:after="1" w:line="357" w:lineRule="auto"/>
        <w:ind w:left="1118" w:right="551" w:firstLine="566"/>
        <w:jc w:val="both"/>
      </w:pPr>
      <w:r>
        <w:rPr>
          <w:rFonts w:ascii="Times New Roman" w:eastAsia="Times New Roman" w:hAnsi="Times New Roman" w:cs="Times New Roman"/>
          <w:color w:val="212121"/>
          <w:sz w:val="24"/>
        </w:rPr>
        <w:t xml:space="preserve">Обострение ХОБЛ - событие, характеризующееся усилением одышки и/или кашлем с мокротой, ухудшающееся в течение ≤ 14 дней: </w:t>
      </w:r>
    </w:p>
    <w:p w:rsidR="003A0918" w:rsidRDefault="00D87DBB">
      <w:pPr>
        <w:numPr>
          <w:ilvl w:val="0"/>
          <w:numId w:val="8"/>
        </w:numPr>
        <w:spacing w:after="29"/>
        <w:ind w:right="551" w:hanging="360"/>
        <w:jc w:val="both"/>
      </w:pPr>
      <w:r>
        <w:rPr>
          <w:rFonts w:ascii="Times New Roman" w:eastAsia="Times New Roman" w:hAnsi="Times New Roman" w:cs="Times New Roman"/>
          <w:color w:val="212121"/>
          <w:sz w:val="24"/>
        </w:rPr>
        <w:t xml:space="preserve">может сопровождаться тахипноэ и/или тахикардией,  </w:t>
      </w:r>
    </w:p>
    <w:p w:rsidR="003A0918" w:rsidRDefault="00D87DBB">
      <w:pPr>
        <w:numPr>
          <w:ilvl w:val="0"/>
          <w:numId w:val="8"/>
        </w:numPr>
        <w:spacing w:after="1" w:line="357" w:lineRule="auto"/>
        <w:ind w:right="551" w:hanging="360"/>
        <w:jc w:val="both"/>
      </w:pPr>
      <w:r>
        <w:rPr>
          <w:rFonts w:ascii="Times New Roman" w:eastAsia="Times New Roman" w:hAnsi="Times New Roman" w:cs="Times New Roman"/>
          <w:color w:val="212121"/>
          <w:sz w:val="24"/>
        </w:rPr>
        <w:t xml:space="preserve">часто связано с усилением местного и системного воспаления, вызванного инфекцией дыхательных путей, поллютантами или другими повреждениями воздухоносной системы [1].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Развитие обострений является характерной чертой течения ХОБЛ. Обострение ХОБЛ является о</w:t>
      </w:r>
      <w:r>
        <w:rPr>
          <w:rFonts w:ascii="Times New Roman" w:eastAsia="Times New Roman" w:hAnsi="Times New Roman" w:cs="Times New Roman"/>
          <w:sz w:val="24"/>
        </w:rPr>
        <w:t>дной из самых частых причин обращения пациентов за неотложной медицинской помощью. Частое развитие обострений у пациентов с ХОБЛ приводит к длительному ухудшению (до несколько недель) показателей функции дыхания и газообмена, более быстрому прогрессировани</w:t>
      </w:r>
      <w:r>
        <w:rPr>
          <w:rFonts w:ascii="Times New Roman" w:eastAsia="Times New Roman" w:hAnsi="Times New Roman" w:cs="Times New Roman"/>
          <w:sz w:val="24"/>
        </w:rPr>
        <w:t>ю заболевания, к значимому снижению качества жизни пациентов и сопряжено с существенными экономическими расходами на лечение. Более того, обострения ХОБЛ приводят к декомпенсации сопутствующих хронических заболеваний. Тяжелые обострения ХОБЛ являются основ</w:t>
      </w:r>
      <w:r>
        <w:rPr>
          <w:rFonts w:ascii="Times New Roman" w:eastAsia="Times New Roman" w:hAnsi="Times New Roman" w:cs="Times New Roman"/>
          <w:sz w:val="24"/>
        </w:rPr>
        <w:t xml:space="preserve">ной причиной смерти пациентов.  В первые 5 дней от начала обострения риск развития острого инфаркта миокарда повышается более чем в 2 раза.  </w:t>
      </w:r>
    </w:p>
    <w:p w:rsidR="003A0918" w:rsidRDefault="00D87DBB">
      <w:pPr>
        <w:spacing w:after="5" w:line="364" w:lineRule="auto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В GOLD 2023 предложено обновленное определение и классификация тяжести обострений ХОБЛ, получившее название Римско</w:t>
      </w:r>
      <w:r>
        <w:rPr>
          <w:rFonts w:ascii="Times New Roman" w:eastAsia="Times New Roman" w:hAnsi="Times New Roman" w:cs="Times New Roman"/>
          <w:sz w:val="24"/>
        </w:rPr>
        <w:t xml:space="preserve">е предложение объединенной Рабочей группы [15], </w:t>
      </w:r>
    </w:p>
    <w:p w:rsidR="003A0918" w:rsidRDefault="00D87DBB">
      <w:pPr>
        <w:spacing w:after="115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(рис. 2).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53"/>
        <w:ind w:left="1009"/>
      </w:pPr>
      <w:r>
        <w:rPr>
          <w:noProof/>
        </w:rPr>
        <w:drawing>
          <wp:inline distT="0" distB="0" distL="0" distR="0">
            <wp:extent cx="6126481" cy="5882641"/>
            <wp:effectExtent l="0" t="0" r="0" b="0"/>
            <wp:docPr id="146790" name="Picture 1467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790" name="Picture 146790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26481" cy="5882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112"/>
        <w:ind w:left="1128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Рис. 2. </w:t>
      </w:r>
      <w:r>
        <w:rPr>
          <w:rFonts w:ascii="Times New Roman" w:eastAsia="Times New Roman" w:hAnsi="Times New Roman" w:cs="Times New Roman"/>
          <w:sz w:val="24"/>
        </w:rPr>
        <w:t xml:space="preserve">Классификация тяжести обострения ХОБЛ [15] </w:t>
      </w:r>
    </w:p>
    <w:p w:rsidR="003A0918" w:rsidRDefault="00D87DBB">
      <w:pPr>
        <w:spacing w:after="5" w:line="364" w:lineRule="auto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Данная классификация отличается тем, что критериями тяжести являются не уровень использования ресурсов здравоохранения, а определенные клинические маркеры. Отмечено, что обострения ХОБЛ чаще всего развиваются в осенне-зимние месяцы. 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Наиболее частыми прич</w:t>
      </w:r>
      <w:r>
        <w:rPr>
          <w:rFonts w:ascii="Times New Roman" w:eastAsia="Times New Roman" w:hAnsi="Times New Roman" w:cs="Times New Roman"/>
          <w:sz w:val="24"/>
        </w:rPr>
        <w:t xml:space="preserve">инами обострений ХОБЛ являются бактериальные и вирусные респираторные инфекции и атмосферные поллютанты, однако причины примерно 2030% случаев обострений установить не удается. Среди бактерий при обострении ХОБЛ наибольшую роль играют нетипируемые </w:t>
      </w:r>
      <w:r>
        <w:rPr>
          <w:rFonts w:ascii="Times New Roman" w:eastAsia="Times New Roman" w:hAnsi="Times New Roman" w:cs="Times New Roman"/>
          <w:i/>
          <w:sz w:val="24"/>
        </w:rPr>
        <w:t>Haemophi</w:t>
      </w:r>
      <w:r>
        <w:rPr>
          <w:rFonts w:ascii="Times New Roman" w:eastAsia="Times New Roman" w:hAnsi="Times New Roman" w:cs="Times New Roman"/>
          <w:i/>
          <w:sz w:val="24"/>
        </w:rPr>
        <w:t xml:space="preserve">lus influenzae, Streptococcus pneumoniae </w:t>
      </w:r>
      <w:r>
        <w:rPr>
          <w:rFonts w:ascii="Times New Roman" w:eastAsia="Times New Roman" w:hAnsi="Times New Roman" w:cs="Times New Roman"/>
          <w:sz w:val="24"/>
        </w:rPr>
        <w:t>и</w:t>
      </w:r>
      <w:r>
        <w:rPr>
          <w:rFonts w:ascii="Times New Roman" w:eastAsia="Times New Roman" w:hAnsi="Times New Roman" w:cs="Times New Roman"/>
          <w:i/>
          <w:sz w:val="24"/>
        </w:rPr>
        <w:t xml:space="preserve"> Moraxella catarrhalis</w:t>
      </w:r>
      <w:r>
        <w:rPr>
          <w:rFonts w:ascii="Times New Roman" w:eastAsia="Times New Roman" w:hAnsi="Times New Roman" w:cs="Times New Roman"/>
          <w:sz w:val="24"/>
        </w:rPr>
        <w:t xml:space="preserve">. У пациентов с тяжелыми обострениями ХОБЛ могут чаще встречаться грамотрицательные энтеробактерии и </w:t>
      </w:r>
      <w:r>
        <w:rPr>
          <w:rFonts w:ascii="Times New Roman" w:eastAsia="Times New Roman" w:hAnsi="Times New Roman" w:cs="Times New Roman"/>
          <w:i/>
          <w:sz w:val="24"/>
        </w:rPr>
        <w:t>Pseudomonas aeruginosa</w:t>
      </w:r>
      <w:r>
        <w:rPr>
          <w:rFonts w:ascii="Times New Roman" w:eastAsia="Times New Roman" w:hAnsi="Times New Roman" w:cs="Times New Roman"/>
          <w:sz w:val="24"/>
        </w:rPr>
        <w:t>. Значимую роль в этиологии обострений ХОБЛ могут играть и риновирусы</w:t>
      </w:r>
      <w:r>
        <w:rPr>
          <w:rFonts w:ascii="Times New Roman" w:eastAsia="Times New Roman" w:hAnsi="Times New Roman" w:cs="Times New Roman"/>
          <w:sz w:val="24"/>
        </w:rPr>
        <w:t xml:space="preserve"> как один из наиболее частых возбудителей острых респираторных вирусных инфекций. 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К состояниям, которые могут напоминать обострения и/или утяжелять их течение, относятся пневмония, тромбоэмболия легочной артерии, застойная сердечная недостаточность, арит</w:t>
      </w:r>
      <w:r>
        <w:rPr>
          <w:rFonts w:ascii="Times New Roman" w:eastAsia="Times New Roman" w:hAnsi="Times New Roman" w:cs="Times New Roman"/>
          <w:sz w:val="24"/>
        </w:rPr>
        <w:t xml:space="preserve">мии, пневмоторакс, выпот в плевральной полости. Эти состояния следует дифференцировать от обострений и при их наличии проводить соответствующее лечение. </w:t>
      </w:r>
    </w:p>
    <w:p w:rsidR="003A0918" w:rsidRDefault="00D87DBB">
      <w:pPr>
        <w:spacing w:after="204"/>
        <w:ind w:left="1841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pStyle w:val="Heading1"/>
        <w:ind w:left="1843" w:right="22" w:hanging="360"/>
        <w:jc w:val="left"/>
      </w:pPr>
      <w:r>
        <w:t>2.</w:t>
      </w:r>
      <w:r>
        <w:rPr>
          <w:rFonts w:ascii="Arial" w:eastAsia="Arial" w:hAnsi="Arial" w:cs="Arial"/>
        </w:rPr>
        <w:t xml:space="preserve"> </w:t>
      </w:r>
      <w:r>
        <w:t>Диагностика заболевания или состояния (группы заболеваний или состояний), медицинские показания и противопоказания к применению методов диагностики</w:t>
      </w:r>
      <w:r>
        <w:t xml:space="preserve"> </w:t>
      </w:r>
    </w:p>
    <w:p w:rsidR="003A0918" w:rsidRDefault="00D87DBB">
      <w:pPr>
        <w:spacing w:after="3"/>
        <w:ind w:left="185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5" w:line="364" w:lineRule="auto"/>
        <w:ind w:left="1128" w:right="560" w:hanging="10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Диагноз ХОБЛ рекомендуется устанавливать на основании жалоб и анамнестических данных пациента, результа</w:t>
      </w:r>
      <w:r>
        <w:rPr>
          <w:rFonts w:ascii="Times New Roman" w:eastAsia="Times New Roman" w:hAnsi="Times New Roman" w:cs="Times New Roman"/>
          <w:sz w:val="24"/>
        </w:rPr>
        <w:t xml:space="preserve">тов функциональных методов обследования и исключения других заболеваний [1]. </w:t>
      </w:r>
    </w:p>
    <w:p w:rsidR="003A0918" w:rsidRDefault="00D87DBB">
      <w:pPr>
        <w:spacing w:after="125" w:line="249" w:lineRule="auto"/>
        <w:ind w:left="1143" w:right="551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C (уровень достоверности доказательств - 5) </w:t>
      </w:r>
    </w:p>
    <w:p w:rsidR="003A0918" w:rsidRDefault="00D87DBB">
      <w:pPr>
        <w:spacing w:after="205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pStyle w:val="Heading2"/>
        <w:spacing w:after="92"/>
        <w:ind w:left="1143" w:right="22"/>
      </w:pPr>
      <w:r>
        <w:rPr>
          <w:sz w:val="32"/>
        </w:rPr>
        <w:t>2.1</w:t>
      </w:r>
      <w:r>
        <w:rPr>
          <w:rFonts w:ascii="Arial" w:eastAsia="Arial" w:hAnsi="Arial" w:cs="Arial"/>
          <w:sz w:val="32"/>
        </w:rPr>
        <w:t xml:space="preserve"> </w:t>
      </w:r>
      <w:r>
        <w:rPr>
          <w:sz w:val="32"/>
        </w:rPr>
        <w:t>Жалобы и анамнез</w:t>
      </w:r>
      <w:r>
        <w:rPr>
          <w:sz w:val="32"/>
        </w:rPr>
        <w:t xml:space="preserve"> </w:t>
      </w:r>
    </w:p>
    <w:p w:rsidR="003A0918" w:rsidRDefault="00D87DBB">
      <w:pPr>
        <w:spacing w:after="112"/>
        <w:ind w:left="1133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Основные симптомы ХОБЛ – </w:t>
      </w:r>
      <w:r>
        <w:rPr>
          <w:rFonts w:ascii="Times New Roman" w:eastAsia="Times New Roman" w:hAnsi="Times New Roman" w:cs="Times New Roman"/>
          <w:sz w:val="24"/>
        </w:rPr>
        <w:t xml:space="preserve">одышка при физической нагрузке, снижение переносимости физических нагрузок и хронический кашель [16].  </w:t>
      </w:r>
    </w:p>
    <w:p w:rsidR="003A0918" w:rsidRDefault="00D87DBB">
      <w:pPr>
        <w:numPr>
          <w:ilvl w:val="0"/>
          <w:numId w:val="9"/>
        </w:numPr>
        <w:spacing w:after="5" w:line="364" w:lineRule="auto"/>
        <w:ind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Выраженность одышки рекомендуется оценивать с помощью модифицированной шкалы mMRC (приложение Г1) [17]. </w:t>
      </w:r>
    </w:p>
    <w:p w:rsidR="003A0918" w:rsidRDefault="00D87DBB">
      <w:pPr>
        <w:spacing w:after="5" w:line="364" w:lineRule="auto"/>
        <w:ind w:left="1128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C (уровень </w:t>
      </w:r>
      <w:r>
        <w:rPr>
          <w:rFonts w:ascii="Times New Roman" w:eastAsia="Times New Roman" w:hAnsi="Times New Roman" w:cs="Times New Roman"/>
          <w:b/>
          <w:sz w:val="24"/>
        </w:rPr>
        <w:t xml:space="preserve">достоверности доказательств – 4) </w:t>
      </w: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Для комплексной оценки симптомов ХОБЛ рекомендуется использовать шкалу CAT (приложение Г2) [18]. </w:t>
      </w:r>
    </w:p>
    <w:p w:rsidR="003A0918" w:rsidRDefault="00D87DBB">
      <w:pPr>
        <w:spacing w:after="29" w:line="355" w:lineRule="auto"/>
        <w:ind w:left="1143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Уровень убедительности рекомендаций С (уровень достоверности доказательств – 4) 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Шкала CAT лучше отражает влиян</w:t>
      </w:r>
      <w:r>
        <w:rPr>
          <w:rFonts w:ascii="Times New Roman" w:eastAsia="Times New Roman" w:hAnsi="Times New Roman" w:cs="Times New Roman"/>
          <w:i/>
          <w:sz w:val="24"/>
        </w:rPr>
        <w:t xml:space="preserve">ие ХОБЛ на повседневную жизнь, самочувствие пациентов и тесно коррелирует с состоянием здоровья. </w:t>
      </w:r>
    </w:p>
    <w:p w:rsidR="003A0918" w:rsidRDefault="00D87DBB">
      <w:pPr>
        <w:numPr>
          <w:ilvl w:val="0"/>
          <w:numId w:val="9"/>
        </w:numPr>
        <w:spacing w:after="5" w:line="364" w:lineRule="auto"/>
        <w:ind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При сборе анамнеза рекомендуется оценивать статус курения и определять индекс курящего человека [1]. </w:t>
      </w:r>
    </w:p>
    <w:p w:rsidR="003A0918" w:rsidRDefault="00D87DBB">
      <w:pPr>
        <w:pStyle w:val="Heading3"/>
        <w:ind w:left="1143" w:right="551"/>
      </w:pPr>
      <w:r>
        <w:t>Уровень убедительности рекомендаций С (уровень достоверн</w:t>
      </w:r>
      <w:r>
        <w:t>ости доказательств –</w:t>
      </w:r>
      <w:r>
        <w:t xml:space="preserve"> 5) </w:t>
      </w:r>
    </w:p>
    <w:p w:rsidR="003A0918" w:rsidRDefault="00D87DBB">
      <w:pPr>
        <w:numPr>
          <w:ilvl w:val="0"/>
          <w:numId w:val="10"/>
        </w:numPr>
        <w:spacing w:after="5" w:line="364" w:lineRule="auto"/>
        <w:ind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При сборе анамнеза рекомендуется оценивать частоту предыдущих обострений ХОБЛ [19].  </w:t>
      </w:r>
    </w:p>
    <w:p w:rsidR="003A0918" w:rsidRDefault="00D87DBB">
      <w:pPr>
        <w:spacing w:after="29" w:line="355" w:lineRule="auto"/>
        <w:ind w:left="1143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Уровень убедительности рекомендаций С (уровень достоверности доказательств – 4)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Лучшие прогностические факторы частых обострений (2 и более в год) – это частота и тяжесть предшествующих обострений и тяжесть течения ХОБЛ.</w:t>
      </w:r>
      <w:r>
        <w:rPr>
          <w:rFonts w:ascii="Times New Roman" w:eastAsia="Times New Roman" w:hAnsi="Times New Roman" w:cs="Times New Roman"/>
          <w:sz w:val="24"/>
        </w:rPr>
        <w:t xml:space="preserve">  </w:t>
      </w:r>
    </w:p>
    <w:p w:rsidR="003A0918" w:rsidRDefault="00D87DBB">
      <w:pPr>
        <w:numPr>
          <w:ilvl w:val="0"/>
          <w:numId w:val="10"/>
        </w:numPr>
        <w:spacing w:after="5" w:line="364" w:lineRule="auto"/>
        <w:ind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У пациентов с ХОБЛ рекомендуется проводить обследование для выявления сопутствующих заболеваний</w:t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[20]. </w:t>
      </w:r>
    </w:p>
    <w:p w:rsidR="003A0918" w:rsidRDefault="00D87DBB">
      <w:pPr>
        <w:spacing w:after="7" w:line="355" w:lineRule="auto"/>
        <w:ind w:left="1143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Уровень уб</w:t>
      </w:r>
      <w:r>
        <w:rPr>
          <w:rFonts w:ascii="Times New Roman" w:eastAsia="Times New Roman" w:hAnsi="Times New Roman" w:cs="Times New Roman"/>
          <w:b/>
          <w:sz w:val="24"/>
        </w:rPr>
        <w:t>едительности рекомендаций С (уровень достоверности доказательств - 5) 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Поскольку ХОБЛ обычно развивается у людей среднего возраста с длительным стажем курения, то эти пациенты часто имеют различные заболевания, связанные с курением и возрастом.</w:t>
      </w:r>
      <w:r>
        <w:rPr>
          <w:rFonts w:ascii="Times New Roman" w:eastAsia="Times New Roman" w:hAnsi="Times New Roman" w:cs="Times New Roman"/>
          <w:i/>
          <w:sz w:val="24"/>
        </w:rPr>
        <w:t xml:space="preserve"> ХОБЛ часто сопутствуют сердечно-сосудистые заболевания, дисфункция скелетных мышц, остеопороз, рак легких и депрессия. </w:t>
      </w:r>
    </w:p>
    <w:p w:rsidR="003A0918" w:rsidRDefault="00D87DBB">
      <w:pPr>
        <w:spacing w:after="5" w:line="364" w:lineRule="auto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Определенную помощь в постановке диагноза может оказать вопросник для диагностики ХОБЛ (приложение Г3).</w:t>
      </w:r>
      <w:r>
        <w:rPr>
          <w:rFonts w:ascii="Times New Roman" w:eastAsia="Times New Roman" w:hAnsi="Times New Roman" w:cs="Times New Roman"/>
          <w:color w:val="FF0000"/>
          <w:sz w:val="24"/>
        </w:rPr>
        <w:t xml:space="preserve">  </w:t>
      </w:r>
    </w:p>
    <w:p w:rsidR="003A0918" w:rsidRDefault="00D87DBB">
      <w:pPr>
        <w:spacing w:after="203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pStyle w:val="Heading2"/>
        <w:spacing w:after="92"/>
        <w:ind w:left="1493" w:right="22"/>
      </w:pPr>
      <w:r>
        <w:rPr>
          <w:sz w:val="32"/>
        </w:rPr>
        <w:t>2.2</w:t>
      </w:r>
      <w:r>
        <w:rPr>
          <w:rFonts w:ascii="Arial" w:eastAsia="Arial" w:hAnsi="Arial" w:cs="Arial"/>
          <w:sz w:val="32"/>
        </w:rPr>
        <w:t xml:space="preserve"> </w:t>
      </w:r>
      <w:r>
        <w:rPr>
          <w:sz w:val="32"/>
        </w:rPr>
        <w:t>Физикальное обследование</w:t>
      </w:r>
      <w:r>
        <w:rPr>
          <w:sz w:val="32"/>
        </w:rPr>
        <w:t xml:space="preserve"> </w:t>
      </w:r>
    </w:p>
    <w:p w:rsidR="003A0918" w:rsidRDefault="00D87DBB">
      <w:pPr>
        <w:spacing w:after="140"/>
        <w:ind w:left="2213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spacing w:after="5" w:line="364" w:lineRule="auto"/>
        <w:ind w:left="1128" w:right="560" w:hanging="10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Всем пациентам ХОБЛ рекомендуется проводить физикальное обследование для выявления признаков обструкции бронхов, эмфиземы, дыхательной недостаточности, оценки работы дыхательных мышц и исключения сопутствующих заболеваний [1].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7" w:line="355" w:lineRule="auto"/>
        <w:ind w:left="1143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Уровень убедительности рекомендаций С (уровень достоверности доказательств – 5) 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Физикальные симптомы бронхиальной обструкции и ЛГИ обычно обнаруживают у пациентов с уже тяжелой ХОБЛ. Хотя физикальное обследование и является важной частью диа</w:t>
      </w:r>
      <w:r>
        <w:rPr>
          <w:rFonts w:ascii="Times New Roman" w:eastAsia="Times New Roman" w:hAnsi="Times New Roman" w:cs="Times New Roman"/>
          <w:i/>
          <w:sz w:val="24"/>
        </w:rPr>
        <w:t xml:space="preserve">гностики в целом, оно обладает низкой чувствительностью и специфичностью в отношении диагностики легкой и среднетяжелой ХОБЛ.  </w:t>
      </w:r>
    </w:p>
    <w:p w:rsidR="003A0918" w:rsidRDefault="00D87DBB">
      <w:pPr>
        <w:spacing w:after="203"/>
        <w:ind w:left="1133"/>
      </w:pP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3A0918" w:rsidRDefault="00D87DBB">
      <w:pPr>
        <w:pStyle w:val="Heading2"/>
        <w:spacing w:after="92"/>
        <w:ind w:left="1143" w:right="22"/>
      </w:pPr>
      <w:r>
        <w:rPr>
          <w:sz w:val="32"/>
        </w:rPr>
        <w:t>2.3</w:t>
      </w:r>
      <w:r>
        <w:rPr>
          <w:rFonts w:ascii="Arial" w:eastAsia="Arial" w:hAnsi="Arial" w:cs="Arial"/>
          <w:sz w:val="32"/>
        </w:rPr>
        <w:t xml:space="preserve"> </w:t>
      </w:r>
      <w:r>
        <w:rPr>
          <w:sz w:val="32"/>
        </w:rPr>
        <w:t>Лабораторные диагностические исследования</w:t>
      </w:r>
      <w:r>
        <w:rPr>
          <w:sz w:val="32"/>
        </w:rPr>
        <w:t xml:space="preserve"> </w:t>
      </w:r>
    </w:p>
    <w:p w:rsidR="003A0918" w:rsidRDefault="00D87DBB">
      <w:pPr>
        <w:spacing w:after="142"/>
        <w:ind w:left="1133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spacing w:after="5" w:line="364" w:lineRule="auto"/>
        <w:ind w:left="1128" w:right="560" w:hanging="10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Рекомендуется проведение развернутого общего (клинического) анализа крови </w:t>
      </w:r>
      <w:r>
        <w:rPr>
          <w:rFonts w:ascii="Times New Roman" w:eastAsia="Times New Roman" w:hAnsi="Times New Roman" w:cs="Times New Roman"/>
          <w:sz w:val="24"/>
        </w:rPr>
        <w:t xml:space="preserve">всем пациентам c ХОБЛ для скрининга общих патологий [1]. </w:t>
      </w:r>
    </w:p>
    <w:p w:rsidR="003A0918" w:rsidRDefault="00D87DBB">
      <w:pPr>
        <w:spacing w:after="125" w:line="249" w:lineRule="auto"/>
        <w:ind w:left="1143" w:right="551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(уровень достоверности доказательств – 5) </w:t>
      </w:r>
    </w:p>
    <w:p w:rsidR="003A0918" w:rsidRDefault="00D87DBB">
      <w:pPr>
        <w:spacing w:after="0" w:line="358" w:lineRule="auto"/>
        <w:ind w:left="1133" w:right="9919"/>
      </w:pPr>
      <w:r>
        <w:rPr>
          <w:rFonts w:ascii="Times New Roman" w:eastAsia="Times New Roman" w:hAnsi="Times New Roman" w:cs="Times New Roman"/>
          <w:b/>
          <w:sz w:val="24"/>
        </w:rPr>
        <w:t xml:space="preserve">  </w:t>
      </w:r>
    </w:p>
    <w:p w:rsidR="003A0918" w:rsidRDefault="00D87DBB">
      <w:pPr>
        <w:pStyle w:val="Heading2"/>
        <w:spacing w:after="130"/>
        <w:ind w:left="1493" w:right="22"/>
      </w:pPr>
      <w:r>
        <w:rPr>
          <w:sz w:val="32"/>
        </w:rPr>
        <w:t>2.4</w:t>
      </w:r>
      <w:r>
        <w:rPr>
          <w:rFonts w:ascii="Arial" w:eastAsia="Arial" w:hAnsi="Arial" w:cs="Arial"/>
          <w:sz w:val="32"/>
        </w:rPr>
        <w:t xml:space="preserve"> </w:t>
      </w:r>
      <w:r>
        <w:rPr>
          <w:sz w:val="32"/>
        </w:rPr>
        <w:t>Инструментальные диагностические исследования</w:t>
      </w:r>
      <w:r>
        <w:rPr>
          <w:sz w:val="32"/>
        </w:rPr>
        <w:t xml:space="preserve">  </w:t>
      </w:r>
    </w:p>
    <w:p w:rsidR="003A0918" w:rsidRDefault="00D87DBB">
      <w:pPr>
        <w:spacing w:after="95"/>
        <w:ind w:left="2213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3A0918" w:rsidRDefault="00D87DBB">
      <w:pPr>
        <w:pStyle w:val="Heading3"/>
        <w:spacing w:after="150"/>
        <w:ind w:left="1143" w:right="551"/>
      </w:pPr>
      <w:r>
        <w:t xml:space="preserve">Функциональная диагностика </w:t>
      </w:r>
      <w:r>
        <w:t xml:space="preserve"> </w:t>
      </w:r>
    </w:p>
    <w:p w:rsidR="003A0918" w:rsidRDefault="00D87DBB">
      <w:pPr>
        <w:numPr>
          <w:ilvl w:val="0"/>
          <w:numId w:val="11"/>
        </w:numPr>
        <w:spacing w:after="5" w:line="364" w:lineRule="auto"/>
        <w:ind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Всем пациентам с подозрением на</w:t>
      </w:r>
      <w:r>
        <w:rPr>
          <w:rFonts w:ascii="Times New Roman" w:eastAsia="Times New Roman" w:hAnsi="Times New Roman" w:cs="Times New Roman"/>
          <w:sz w:val="24"/>
        </w:rPr>
        <w:t xml:space="preserve"> ХОБЛ рекомендуется проводить исследование неспровоцированных дыхательных объемов и потоков (спирометрию) для выявления и оценки степени тяжести обструкции дыхательных путей (методологию исследования см. приложение Г4) [1, 21]. </w:t>
      </w:r>
    </w:p>
    <w:p w:rsidR="003A0918" w:rsidRDefault="00D87DBB">
      <w:pPr>
        <w:spacing w:after="31" w:line="355" w:lineRule="auto"/>
        <w:ind w:left="1143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Уровень убедительности реко</w:t>
      </w:r>
      <w:r>
        <w:rPr>
          <w:rFonts w:ascii="Times New Roman" w:eastAsia="Times New Roman" w:hAnsi="Times New Roman" w:cs="Times New Roman"/>
          <w:b/>
          <w:sz w:val="24"/>
        </w:rPr>
        <w:t xml:space="preserve">мендаций С (уровень достоверности доказательств - 4) Комментарии: </w:t>
      </w:r>
      <w:r>
        <w:rPr>
          <w:rFonts w:ascii="Times New Roman" w:eastAsia="Times New Roman" w:hAnsi="Times New Roman" w:cs="Times New Roman"/>
          <w:i/>
          <w:sz w:val="24"/>
        </w:rPr>
        <w:t>Исследование неспровоцированных дыхательных объемов и потоков</w:t>
      </w:r>
      <w:r>
        <w:rPr>
          <w:rFonts w:ascii="Times New Roman" w:eastAsia="Times New Roman" w:hAnsi="Times New Roman" w:cs="Times New Roman"/>
          <w:sz w:val="24"/>
        </w:rPr>
        <w:t xml:space="preserve"> (</w:t>
      </w:r>
      <w:r>
        <w:rPr>
          <w:rFonts w:ascii="Times New Roman" w:eastAsia="Times New Roman" w:hAnsi="Times New Roman" w:cs="Times New Roman"/>
          <w:i/>
          <w:sz w:val="24"/>
        </w:rPr>
        <w:t>спирометри</w:t>
      </w:r>
      <w:r>
        <w:rPr>
          <w:rFonts w:ascii="Times New Roman" w:eastAsia="Times New Roman" w:hAnsi="Times New Roman" w:cs="Times New Roman"/>
          <w:sz w:val="24"/>
        </w:rPr>
        <w:t>я)</w:t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 xml:space="preserve">является основным методом диагностики и документирования изменений легочной функции при ХОБЛ. На показателях этого исследования построена классификация ХОБЛ по степени выраженности обструктивных нарушений. </w:t>
      </w:r>
    </w:p>
    <w:p w:rsidR="003A0918" w:rsidRDefault="00D87DBB">
      <w:pPr>
        <w:numPr>
          <w:ilvl w:val="0"/>
          <w:numId w:val="11"/>
        </w:numPr>
        <w:spacing w:after="5" w:line="364" w:lineRule="auto"/>
        <w:ind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Исследование неспровоцированных дыхательных объем</w:t>
      </w:r>
      <w:r>
        <w:rPr>
          <w:rFonts w:ascii="Times New Roman" w:eastAsia="Times New Roman" w:hAnsi="Times New Roman" w:cs="Times New Roman"/>
          <w:sz w:val="24"/>
        </w:rPr>
        <w:t xml:space="preserve">ов и потоков (спирометрия) рекомендовано для подтверждения диагноза ХОБЛ, критерий – постбронходилатационный ОФВ1/ФЖЕЛ&lt;0,7 подтверждает экспираторное ограничение воздушного потока [1] </w:t>
      </w:r>
    </w:p>
    <w:p w:rsidR="003A0918" w:rsidRDefault="00D87DBB">
      <w:pPr>
        <w:spacing w:after="115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(Рис.3). </w:t>
      </w:r>
    </w:p>
    <w:p w:rsidR="003A0918" w:rsidRDefault="00D87DBB">
      <w:pPr>
        <w:spacing w:after="116"/>
        <w:ind w:left="10" w:right="551" w:hanging="1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</w:t>
      </w:r>
      <w:r>
        <w:rPr>
          <w:rFonts w:ascii="Times New Roman" w:eastAsia="Times New Roman" w:hAnsi="Times New Roman" w:cs="Times New Roman"/>
          <w:b/>
          <w:sz w:val="24"/>
        </w:rPr>
        <w:t>(уровень достоверности доказа-</w:t>
      </w:r>
    </w:p>
    <w:p w:rsidR="003A0918" w:rsidRDefault="00D87DBB">
      <w:pPr>
        <w:pStyle w:val="Heading3"/>
        <w:ind w:left="1143" w:right="551"/>
      </w:pPr>
      <w:r>
        <w:t>тельств</w:t>
      </w:r>
      <w:r>
        <w:t xml:space="preserve">- 5) </w:t>
      </w:r>
    </w:p>
    <w:p w:rsidR="003A0918" w:rsidRDefault="00D87DBB">
      <w:pPr>
        <w:spacing w:after="7" w:line="355" w:lineRule="auto"/>
        <w:ind w:left="1133" w:right="560" w:firstLine="708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Комментарий: </w:t>
      </w:r>
      <w:r>
        <w:rPr>
          <w:rFonts w:ascii="Times New Roman" w:eastAsia="Times New Roman" w:hAnsi="Times New Roman" w:cs="Times New Roman"/>
          <w:i/>
          <w:sz w:val="24"/>
        </w:rPr>
        <w:t xml:space="preserve">Использование этого фиксированного физиологического критерия для всех возрастных групп может привести к 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более частой постановке диагноза (гипердиагностике) по сравнению с использованием критерия ниж</w:t>
      </w:r>
      <w:r>
        <w:rPr>
          <w:rFonts w:ascii="Times New Roman" w:eastAsia="Times New Roman" w:hAnsi="Times New Roman" w:cs="Times New Roman"/>
          <w:i/>
          <w:sz w:val="24"/>
        </w:rPr>
        <w:t>ней границы нормы у пациентов старческого возраста [22, 23].</w:t>
      </w:r>
      <w:r>
        <w:rPr>
          <w:rFonts w:ascii="Times New Roman" w:eastAsia="Times New Roman" w:hAnsi="Times New Roman" w:cs="Times New Roman"/>
          <w:b/>
          <w:sz w:val="24"/>
        </w:rPr>
        <w:t xml:space="preserve">  </w:t>
      </w:r>
    </w:p>
    <w:p w:rsidR="003A0918" w:rsidRDefault="00D87DBB">
      <w:pPr>
        <w:spacing w:after="0"/>
        <w:ind w:left="1841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spacing w:after="60"/>
        <w:ind w:right="1830"/>
        <w:jc w:val="right"/>
      </w:pPr>
      <w:r>
        <w:rPr>
          <w:noProof/>
        </w:rPr>
        <w:drawing>
          <wp:inline distT="0" distB="0" distL="0" distR="0">
            <wp:extent cx="4678680" cy="3212465"/>
            <wp:effectExtent l="0" t="0" r="0" b="0"/>
            <wp:docPr id="4473" name="Picture 44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73" name="Picture 4473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78680" cy="321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b/>
          <w:sz w:val="24"/>
        </w:rPr>
        <w:t>Рис. 3.</w:t>
      </w:r>
      <w:r>
        <w:rPr>
          <w:rFonts w:ascii="Times New Roman" w:eastAsia="Times New Roman" w:hAnsi="Times New Roman" w:cs="Times New Roman"/>
          <w:sz w:val="24"/>
        </w:rPr>
        <w:t xml:space="preserve"> Изменение параметров неспровоцированных дыхательных объемов и потоков (спирометрии) при обструкции.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При выявлении исходных признаков бронхиальной обструкции (ОФВ</w:t>
      </w:r>
      <w:r>
        <w:rPr>
          <w:rFonts w:ascii="Times New Roman" w:eastAsia="Times New Roman" w:hAnsi="Times New Roman" w:cs="Times New Roman"/>
          <w:sz w:val="24"/>
          <w:vertAlign w:val="subscript"/>
        </w:rPr>
        <w:t>1</w:t>
      </w:r>
      <w:r>
        <w:rPr>
          <w:rFonts w:ascii="Times New Roman" w:eastAsia="Times New Roman" w:hAnsi="Times New Roman" w:cs="Times New Roman"/>
          <w:sz w:val="24"/>
        </w:rPr>
        <w:t>/ФЖЕЛ&lt;0,7) реко</w:t>
      </w:r>
      <w:r>
        <w:rPr>
          <w:rFonts w:ascii="Times New Roman" w:eastAsia="Times New Roman" w:hAnsi="Times New Roman" w:cs="Times New Roman"/>
          <w:sz w:val="24"/>
        </w:rPr>
        <w:t xml:space="preserve">мендуется проведение бронходилатационного теста для определения постбронходилатационного показателя и степени обратимости обструкции под влиянием бронхорасширяющих препаратов (приложение Г4) [24].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 С</w:t>
      </w:r>
      <w:r>
        <w:t xml:space="preserve"> </w:t>
      </w:r>
      <w:r>
        <w:t>(уровень достовернос</w:t>
      </w:r>
      <w:r>
        <w:t xml:space="preserve">ти доказательств </w:t>
      </w:r>
      <w:r>
        <w:t xml:space="preserve">- 4) </w:t>
      </w:r>
    </w:p>
    <w:p w:rsidR="003A0918" w:rsidRDefault="00D87DBB">
      <w:pPr>
        <w:spacing w:after="5" w:line="364" w:lineRule="auto"/>
        <w:ind w:left="185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При прогрессировании бронхиальной обструкции происходит дальнейшее снижение экспираторного потока, нарастание воздушных ловушек и ЛГИ, что приводит к снижению показателей ФЖЕЛ. 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Для исключения смешанных обструктивно-рестриктивных </w:t>
      </w:r>
      <w:r>
        <w:rPr>
          <w:rFonts w:ascii="Times New Roman" w:eastAsia="Times New Roman" w:hAnsi="Times New Roman" w:cs="Times New Roman"/>
          <w:sz w:val="24"/>
        </w:rPr>
        <w:t xml:space="preserve">нарушений у пациентов со снижением ФЖЕЛ рекомендуется определять ОЕЛ методом бодиплетизмографии [25,26].  </w:t>
      </w:r>
    </w:p>
    <w:p w:rsidR="003A0918" w:rsidRDefault="00D87DBB">
      <w:pPr>
        <w:pStyle w:val="Heading3"/>
        <w:spacing w:after="152"/>
        <w:ind w:left="1848" w:right="551"/>
      </w:pPr>
      <w:r>
        <w:t>Уровень убедительности рекомендаций С</w:t>
      </w:r>
      <w:r>
        <w:t xml:space="preserve"> </w:t>
      </w:r>
      <w:r>
        <w:t xml:space="preserve">(уровень достоверности доказательств </w:t>
      </w:r>
      <w:r>
        <w:t xml:space="preserve">- 5)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Рекомендуется использовать ОЕЛ и диффузионную способность легких для оценки выраженности эмфиземы [25,26]. 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 С (уровень достоверности</w:t>
      </w:r>
      <w:r>
        <w:t xml:space="preserve"> </w:t>
      </w:r>
      <w:r>
        <w:t xml:space="preserve">доказательств </w:t>
      </w:r>
      <w:r>
        <w:t xml:space="preserve">- 5)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Комментарий</w:t>
      </w:r>
      <w:r>
        <w:rPr>
          <w:rFonts w:ascii="Times New Roman" w:eastAsia="Times New Roman" w:hAnsi="Times New Roman" w:cs="Times New Roman"/>
          <w:sz w:val="24"/>
        </w:rPr>
        <w:t xml:space="preserve">. </w:t>
      </w:r>
      <w:r>
        <w:rPr>
          <w:rFonts w:ascii="Times New Roman" w:eastAsia="Times New Roman" w:hAnsi="Times New Roman" w:cs="Times New Roman"/>
          <w:i/>
          <w:sz w:val="24"/>
        </w:rPr>
        <w:t>Определение ДСЛ (DLco) является полезным инструментом</w:t>
      </w:r>
      <w:r>
        <w:rPr>
          <w:rFonts w:ascii="Times New Roman" w:eastAsia="Times New Roman" w:hAnsi="Times New Roman" w:cs="Times New Roman"/>
          <w:i/>
          <w:sz w:val="24"/>
        </w:rPr>
        <w:t xml:space="preserve"> для оценки способности к газообмену дыхательной системы и дополняет данные спирометрии.У курильщиков без ограничения воздушного потока ДСЛ  &lt;80% указывает на повышенный риск развития ХОБЛ со временем.  </w:t>
      </w:r>
    </w:p>
    <w:p w:rsidR="003A0918" w:rsidRDefault="00D87DBB">
      <w:pPr>
        <w:numPr>
          <w:ilvl w:val="0"/>
          <w:numId w:val="12"/>
        </w:numPr>
        <w:spacing w:after="5" w:line="364" w:lineRule="auto"/>
        <w:ind w:right="560" w:hanging="708"/>
        <w:jc w:val="both"/>
      </w:pPr>
      <w:r>
        <w:rPr>
          <w:rFonts w:ascii="Times New Roman" w:eastAsia="Times New Roman" w:hAnsi="Times New Roman" w:cs="Times New Roman"/>
          <w:sz w:val="24"/>
        </w:rPr>
        <w:t>Определение ДСЛ следует проводить у каждого пациента</w:t>
      </w:r>
      <w:r>
        <w:rPr>
          <w:rFonts w:ascii="Times New Roman" w:eastAsia="Times New Roman" w:hAnsi="Times New Roman" w:cs="Times New Roman"/>
          <w:sz w:val="24"/>
        </w:rPr>
        <w:t xml:space="preserve"> с ХОБЛ с симптомами (одышкой), не соответствующими имеющейся степени ограничения воздушного потока. </w:t>
      </w:r>
    </w:p>
    <w:p w:rsidR="003A0918" w:rsidRDefault="00D87DBB">
      <w:pPr>
        <w:numPr>
          <w:ilvl w:val="0"/>
          <w:numId w:val="12"/>
        </w:numPr>
        <w:spacing w:after="5" w:line="364" w:lineRule="auto"/>
        <w:ind w:right="560" w:hanging="708"/>
        <w:jc w:val="both"/>
      </w:pPr>
      <w:r>
        <w:rPr>
          <w:rFonts w:ascii="Times New Roman" w:eastAsia="Times New Roman" w:hAnsi="Times New Roman" w:cs="Times New Roman"/>
          <w:sz w:val="24"/>
        </w:rPr>
        <w:t>У каждого пациента с ХОБЛ с симптомами (одышка), не соответствующими имеющейся степени ограничения воздушного потока, необходимо проводить обследование дл</w:t>
      </w:r>
      <w:r>
        <w:rPr>
          <w:rFonts w:ascii="Times New Roman" w:eastAsia="Times New Roman" w:hAnsi="Times New Roman" w:cs="Times New Roman"/>
          <w:sz w:val="24"/>
        </w:rPr>
        <w:t>я исключения хронической сердечной недостаточности (ХСН). ХОБЛ признается фактором риска развития клинического варианта ХСН с сохраненной фракцией выброса левого желудочка (ФВЛЖ). Необходимо провести тщательный анализ кардиального анамнеза, исследовать кли</w:t>
      </w:r>
      <w:r>
        <w:rPr>
          <w:rFonts w:ascii="Times New Roman" w:eastAsia="Times New Roman" w:hAnsi="Times New Roman" w:cs="Times New Roman"/>
          <w:sz w:val="24"/>
        </w:rPr>
        <w:t>нические признаки и симптомы ХСН (застой в малом круге кровообращения, набухание яремных вен, отеки), оценить лабораторно-инструментальные методы исследования (ЭКГ, ЭХОКГ, рентгенография ОГК, натрийуретические пептиды – BNP и NT-proBNP) для подтверждения/и</w:t>
      </w:r>
      <w:r>
        <w:rPr>
          <w:rFonts w:ascii="Times New Roman" w:eastAsia="Times New Roman" w:hAnsi="Times New Roman" w:cs="Times New Roman"/>
          <w:sz w:val="24"/>
        </w:rPr>
        <w:t xml:space="preserve">сключения диагноза ХСН [227, 228].  </w:t>
      </w:r>
    </w:p>
    <w:p w:rsidR="003A0918" w:rsidRDefault="00D87DBB">
      <w:pPr>
        <w:numPr>
          <w:ilvl w:val="0"/>
          <w:numId w:val="12"/>
        </w:numPr>
        <w:spacing w:after="5" w:line="364" w:lineRule="auto"/>
        <w:ind w:right="560" w:hanging="708"/>
        <w:jc w:val="both"/>
      </w:pPr>
      <w:r>
        <w:rPr>
          <w:rFonts w:ascii="Times New Roman" w:eastAsia="Times New Roman" w:hAnsi="Times New Roman" w:cs="Times New Roman"/>
          <w:sz w:val="24"/>
        </w:rPr>
        <w:t>У всех пациентов с ХОБЛ рекомендуется использование пульсоксиметрии для оценки насыщения гемоглобина кислородом (SaO</w:t>
      </w:r>
      <w:r>
        <w:rPr>
          <w:rFonts w:ascii="Times New Roman" w:eastAsia="Times New Roman" w:hAnsi="Times New Roman" w:cs="Times New Roman"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sz w:val="24"/>
        </w:rPr>
        <w:t xml:space="preserve">) [27].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 А (уровень достоверности доказательств –</w:t>
      </w:r>
      <w:r>
        <w:t xml:space="preserve"> 2) </w:t>
      </w:r>
    </w:p>
    <w:p w:rsidR="003A0918" w:rsidRDefault="00D87DBB">
      <w:pPr>
        <w:spacing w:after="31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Комментарии: </w:t>
      </w:r>
      <w:r>
        <w:rPr>
          <w:rFonts w:ascii="Times New Roman" w:eastAsia="Times New Roman" w:hAnsi="Times New Roman" w:cs="Times New Roman"/>
          <w:i/>
          <w:sz w:val="24"/>
        </w:rPr>
        <w:t>Гипоксемия является важной проблемой у пациентов с ХОБЛ, определяя непереносимость физической нагрузки и прогноз заболевания. При наличии у пациента с ХОБЛ эритроцитоза должна быть заподозрена гипоксемия.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Для определения переносимости физич</w:t>
      </w:r>
      <w:r>
        <w:rPr>
          <w:rFonts w:ascii="Times New Roman" w:eastAsia="Times New Roman" w:hAnsi="Times New Roman" w:cs="Times New Roman"/>
          <w:sz w:val="24"/>
        </w:rPr>
        <w:t xml:space="preserve">еской нагрузки пациентам с ХОБЛ рекомендуется проведение нагрузочного тестирования, например, теста с 6-минутной ходьбой или, в отдельных случаях, велоэргометрии [28,29]. </w:t>
      </w:r>
    </w:p>
    <w:p w:rsidR="003A0918" w:rsidRDefault="00D87DBB">
      <w:pPr>
        <w:pStyle w:val="Heading3"/>
        <w:spacing w:after="152"/>
        <w:ind w:left="1848" w:right="551"/>
      </w:pPr>
      <w:r>
        <w:t>Уровень убедительности рекомендаций С</w:t>
      </w:r>
      <w:r>
        <w:t xml:space="preserve"> </w:t>
      </w:r>
      <w:r>
        <w:t>(уровень достоверности доказательств –</w:t>
      </w:r>
      <w:r>
        <w:t xml:space="preserve"> 4)</w:t>
      </w:r>
      <w:r>
        <w:rPr>
          <w:b w:val="0"/>
        </w:rPr>
        <w:t xml:space="preserve"> </w:t>
      </w:r>
      <w:r>
        <w:t>Рент</w:t>
      </w:r>
      <w:r>
        <w:t>генологические методы</w:t>
      </w:r>
      <w: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Рекомендуется проведение рентгенографии органов грудной клетки в передней прямой проекции всем пациентам с подозрением на ХОБЛ для исключения других заболеваний органов дыхания [1].  </w:t>
      </w:r>
    </w:p>
    <w:p w:rsidR="003A0918" w:rsidRDefault="00D87DBB">
      <w:pPr>
        <w:pStyle w:val="Heading3"/>
        <w:ind w:left="1848" w:right="551"/>
      </w:pPr>
      <w:r>
        <w:t xml:space="preserve">Уровень убедительности рекомендаций С (уровень </w:t>
      </w:r>
      <w:r>
        <w:t xml:space="preserve">достоверности доказательств </w:t>
      </w:r>
      <w:r>
        <w:t xml:space="preserve">- 5) </w:t>
      </w:r>
    </w:p>
    <w:p w:rsidR="003A0918" w:rsidRDefault="00D87DBB">
      <w:pPr>
        <w:spacing w:after="31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i/>
          <w:sz w:val="24"/>
        </w:rPr>
        <w:t xml:space="preserve"> Рентгенография органов грудной клетки не обладает достаточной чувствительностью для выявления эмфиземы умеренной и средней степени выраженности.</w:t>
      </w:r>
      <w:r>
        <w:rPr>
          <w:rFonts w:ascii="Times New Roman" w:eastAsia="Times New Roman" w:hAnsi="Times New Roman" w:cs="Times New Roman"/>
          <w:sz w:val="24"/>
        </w:rPr>
        <w:t xml:space="preserve"> 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Не рекомендуется использовать  компьютерную томографию высок</w:t>
      </w:r>
      <w:r>
        <w:rPr>
          <w:rFonts w:ascii="Times New Roman" w:eastAsia="Times New Roman" w:hAnsi="Times New Roman" w:cs="Times New Roman"/>
          <w:sz w:val="24"/>
        </w:rPr>
        <w:t xml:space="preserve">ого разрешения (КТВР) органов грудной клетки для рутинного обследования пациентов с ХОБЛ [1]. </w:t>
      </w:r>
      <w:r>
        <w:rPr>
          <w:rFonts w:ascii="Times New Roman" w:eastAsia="Times New Roman" w:hAnsi="Times New Roman" w:cs="Times New Roman"/>
          <w:b/>
          <w:sz w:val="24"/>
        </w:rPr>
        <w:t>Уровень убедительности рекомендаций С (уровень достоверности доказа-</w:t>
      </w:r>
    </w:p>
    <w:p w:rsidR="003A0918" w:rsidRDefault="00D87DBB">
      <w:pPr>
        <w:pStyle w:val="Heading3"/>
        <w:ind w:left="1848" w:right="551"/>
      </w:pPr>
      <w:r>
        <w:t>тельств –</w:t>
      </w:r>
      <w:r>
        <w:t xml:space="preserve"> 5) </w:t>
      </w:r>
    </w:p>
    <w:p w:rsidR="003A0918" w:rsidRDefault="00D87DBB">
      <w:pPr>
        <w:spacing w:after="31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i/>
          <w:sz w:val="24"/>
        </w:rPr>
        <w:t xml:space="preserve"> КТВР легких может быть проведена в целях дифференциальной диагност</w:t>
      </w:r>
      <w:r>
        <w:rPr>
          <w:rFonts w:ascii="Times New Roman" w:eastAsia="Times New Roman" w:hAnsi="Times New Roman" w:cs="Times New Roman"/>
          <w:i/>
          <w:sz w:val="24"/>
        </w:rPr>
        <w:t>ики ХОБЛ.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5" w:line="364" w:lineRule="auto"/>
        <w:ind w:left="1851" w:right="560" w:hanging="10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Проведение КТВР органов грудной клетки рекомендуется пациентам с ХОБЛ с выраженной эмфиземой лёгких для определения целесообразности проведения хирургической редукции лёгочных объемов [1].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 С</w:t>
      </w:r>
      <w:r>
        <w:t xml:space="preserve"> </w:t>
      </w:r>
      <w:r>
        <w:t>(уровень достоверности доказательств –</w:t>
      </w:r>
      <w:r>
        <w:t xml:space="preserve"> 5)</w:t>
      </w:r>
      <w:r>
        <w:rPr>
          <w:b w:val="0"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noProof/>
        </w:rPr>
        <w:drawing>
          <wp:anchor distT="0" distB="0" distL="114300" distR="114300" simplePos="0" relativeHeight="251659264" behindDoc="1" locked="0" layoutInCell="1" allowOverlap="0">
            <wp:simplePos x="0" y="0"/>
            <wp:positionH relativeFrom="column">
              <wp:posOffset>3340608</wp:posOffset>
            </wp:positionH>
            <wp:positionV relativeFrom="paragraph">
              <wp:posOffset>302823</wp:posOffset>
            </wp:positionV>
            <wp:extent cx="421399" cy="578358"/>
            <wp:effectExtent l="0" t="0" r="0" b="0"/>
            <wp:wrapNone/>
            <wp:docPr id="4735" name="Picture 47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35" name="Picture 4735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1399" cy="5783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i/>
          <w:sz w:val="24"/>
        </w:rPr>
        <w:t xml:space="preserve"> КТВР органов грудной клетки является наиболее чувствительным и специфичным методом для выявления, оценки выраженности и морфологической характеристики эмфиземы лёгких.</w:t>
      </w:r>
      <w:r>
        <w:rPr>
          <w:color w:val="0000FF"/>
          <w:sz w:val="40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 xml:space="preserve">Высокоразрешающая компьютерная томография легких позволяет выявить начальные признаки эмфизематозной перестройки легочной ткани. </w:t>
      </w:r>
    </w:p>
    <w:p w:rsidR="003A0918" w:rsidRDefault="00D87DBB">
      <w:pPr>
        <w:spacing w:after="203"/>
        <w:ind w:left="1841"/>
      </w:pP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3A0918" w:rsidRDefault="00D87DBB">
      <w:pPr>
        <w:pStyle w:val="Heading2"/>
        <w:spacing w:after="130"/>
        <w:ind w:left="1493" w:right="22"/>
      </w:pPr>
      <w:r>
        <w:rPr>
          <w:sz w:val="32"/>
        </w:rPr>
        <w:t>2.5</w:t>
      </w:r>
      <w:r>
        <w:rPr>
          <w:rFonts w:ascii="Arial" w:eastAsia="Arial" w:hAnsi="Arial" w:cs="Arial"/>
          <w:sz w:val="32"/>
        </w:rPr>
        <w:t xml:space="preserve"> </w:t>
      </w:r>
      <w:r>
        <w:rPr>
          <w:sz w:val="32"/>
        </w:rPr>
        <w:t>Иные диагностические исследования</w:t>
      </w:r>
      <w:r>
        <w:rPr>
          <w:sz w:val="32"/>
        </w:rPr>
        <w:t xml:space="preserve"> </w:t>
      </w:r>
    </w:p>
    <w:p w:rsidR="003A0918" w:rsidRDefault="00D87DBB">
      <w:pPr>
        <w:spacing w:after="122"/>
        <w:ind w:left="2213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Рекомендуется проведение исследования кислотно-основного состояния и газов крови </w:t>
      </w:r>
      <w:r>
        <w:rPr>
          <w:rFonts w:ascii="Times New Roman" w:eastAsia="Times New Roman" w:hAnsi="Times New Roman" w:cs="Times New Roman"/>
          <w:sz w:val="24"/>
        </w:rPr>
        <w:t>пациентам с ХОБЛ при значении SaO2 ≤ 92% по данным пульсоксиметрии, для выявления десатурации [27,30]</w:t>
      </w:r>
      <w:r>
        <w:rPr>
          <w:rFonts w:ascii="Times New Roman" w:eastAsia="Times New Roman" w:hAnsi="Times New Roman" w:cs="Times New Roman"/>
          <w:sz w:val="28"/>
        </w:rPr>
        <w:t>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pStyle w:val="Heading3"/>
        <w:spacing w:after="218"/>
        <w:ind w:left="1848" w:right="551"/>
      </w:pPr>
      <w:r>
        <w:t>Уровень убедительности рекомендаций А (уровень достоверности доказательств –</w:t>
      </w:r>
      <w:r>
        <w:t xml:space="preserve"> 2)</w:t>
      </w:r>
      <w:r>
        <w:rPr>
          <w:b w:val="0"/>
        </w:rP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8"/>
        </w:rPr>
        <w:t>•</w:t>
      </w:r>
      <w:r>
        <w:rPr>
          <w:rFonts w:ascii="Arial" w:eastAsia="Arial" w:hAnsi="Arial" w:cs="Arial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Рекомендуется определение уровня α1-антитрипсина в крови пациентам с </w:t>
      </w:r>
      <w:r>
        <w:rPr>
          <w:rFonts w:ascii="Times New Roman" w:eastAsia="Times New Roman" w:hAnsi="Times New Roman" w:cs="Times New Roman"/>
          <w:sz w:val="24"/>
        </w:rPr>
        <w:t>ХОБЛ моложе 45 лет, пациентам с быстрым прогрессированием ХОБЛ или при наличии эмфиземы преимущественно в базальных отделах легких [31]</w:t>
      </w:r>
      <w:r>
        <w:rPr>
          <w:rFonts w:ascii="Times New Roman" w:eastAsia="Times New Roman" w:hAnsi="Times New Roman" w:cs="Times New Roman"/>
          <w:sz w:val="28"/>
        </w:rPr>
        <w:t xml:space="preserve">.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 С</w:t>
      </w:r>
      <w:r>
        <w:t xml:space="preserve"> </w:t>
      </w:r>
      <w:r>
        <w:t>(уровень достоверности доказательств –</w:t>
      </w:r>
      <w:r>
        <w:t xml:space="preserve"> 5)</w:t>
      </w:r>
      <w:r>
        <w:rPr>
          <w:b w:val="0"/>
        </w:rPr>
        <w:t xml:space="preserve"> </w:t>
      </w:r>
    </w:p>
    <w:p w:rsidR="003A0918" w:rsidRDefault="00D87DBB">
      <w:pPr>
        <w:spacing w:after="5" w:line="364" w:lineRule="auto"/>
        <w:ind w:left="1841" w:right="560" w:firstLine="360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При повышенной сонливости в дневное время рекомендуется проведение ночной пульсоксиметрии для первичной скрининговой диагностики расстройств дыхания во сне с последующим уточнением диагноза с помощью полисомнографии или методик кардиореспираторного монитор</w:t>
      </w:r>
      <w:r>
        <w:rPr>
          <w:rFonts w:ascii="Times New Roman" w:eastAsia="Times New Roman" w:hAnsi="Times New Roman" w:cs="Times New Roman"/>
          <w:sz w:val="24"/>
        </w:rPr>
        <w:t xml:space="preserve">инга [32, 33]. </w:t>
      </w:r>
      <w:r>
        <w:rPr>
          <w:rFonts w:ascii="Times New Roman" w:eastAsia="Times New Roman" w:hAnsi="Times New Roman" w:cs="Times New Roman"/>
          <w:b/>
          <w:sz w:val="24"/>
        </w:rPr>
        <w:t>Уровень убедительности рекомендаций С (уровень достоверности доказа-</w:t>
      </w:r>
    </w:p>
    <w:p w:rsidR="003A0918" w:rsidRDefault="00D87DBB">
      <w:pPr>
        <w:pStyle w:val="Heading3"/>
        <w:ind w:left="1848" w:right="551"/>
      </w:pPr>
      <w:r>
        <w:t>тельств –</w:t>
      </w:r>
      <w:r>
        <w:t xml:space="preserve"> 5)</w:t>
      </w:r>
      <w:r>
        <w:rPr>
          <w:b w:val="0"/>
        </w:rP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Основными прогностическими факторами у пациента с ХОБЛ являются степень бронхиальной обструкции (ОФВ</w:t>
      </w:r>
      <w:r>
        <w:rPr>
          <w:rFonts w:ascii="Times New Roman" w:eastAsia="Times New Roman" w:hAnsi="Times New Roman" w:cs="Times New Roman"/>
          <w:sz w:val="24"/>
          <w:vertAlign w:val="subscript"/>
        </w:rPr>
        <w:t>1</w:t>
      </w:r>
      <w:r>
        <w:rPr>
          <w:rFonts w:ascii="Times New Roman" w:eastAsia="Times New Roman" w:hAnsi="Times New Roman" w:cs="Times New Roman"/>
          <w:sz w:val="24"/>
        </w:rPr>
        <w:t>), тяжесть одышки, дистанция в тесте с 6-</w:t>
      </w:r>
      <w:r>
        <w:rPr>
          <w:rFonts w:ascii="Times New Roman" w:eastAsia="Times New Roman" w:hAnsi="Times New Roman" w:cs="Times New Roman"/>
          <w:sz w:val="24"/>
        </w:rPr>
        <w:t xml:space="preserve">минутной ходьбой и индекс массы тела [34].  </w:t>
      </w:r>
    </w:p>
    <w:p w:rsidR="003A0918" w:rsidRDefault="00D87DBB">
      <w:pPr>
        <w:spacing w:after="203"/>
        <w:ind w:left="1841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pStyle w:val="Heading2"/>
        <w:spacing w:after="92"/>
        <w:ind w:left="1143" w:right="22"/>
      </w:pPr>
      <w:r>
        <w:rPr>
          <w:sz w:val="32"/>
        </w:rPr>
        <w:t>2.6</w:t>
      </w:r>
      <w:r>
        <w:rPr>
          <w:rFonts w:ascii="Arial" w:eastAsia="Arial" w:hAnsi="Arial" w:cs="Arial"/>
          <w:sz w:val="32"/>
        </w:rPr>
        <w:t xml:space="preserve"> </w:t>
      </w:r>
      <w:r>
        <w:rPr>
          <w:sz w:val="32"/>
        </w:rPr>
        <w:t>Дифференциальная диагностика</w:t>
      </w:r>
      <w:r>
        <w:rPr>
          <w:sz w:val="32"/>
        </w:rPr>
        <w:t xml:space="preserve"> </w:t>
      </w:r>
      <w:r>
        <w:rPr>
          <w:sz w:val="32"/>
        </w:rPr>
        <w:t>ХОБЛ</w:t>
      </w:r>
      <w:r>
        <w:rPr>
          <w:sz w:val="32"/>
        </w:rPr>
        <w:t xml:space="preserve"> </w:t>
      </w:r>
    </w:p>
    <w:p w:rsidR="003A0918" w:rsidRDefault="00D87DBB">
      <w:pPr>
        <w:spacing w:after="115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На определённых стадиях развития ХОБЛ, особенно при первой встрече с пациентом, возникает необходимость дифференцировать ХОБЛ от ряда заболеваний со сходной симптоматик</w:t>
      </w:r>
      <w:r>
        <w:rPr>
          <w:rFonts w:ascii="Times New Roman" w:eastAsia="Times New Roman" w:hAnsi="Times New Roman" w:cs="Times New Roman"/>
          <w:sz w:val="24"/>
        </w:rPr>
        <w:t>ой - БА, хронического (необструктивного) бронхита, инфекции нижних дыхательных путей (включая туберкулез), рака легкого, интерстициальных заболеваний легких и заболеваний сердечно-сосудистой системы. Основные отличительные признаки указанных нозологий прив</w:t>
      </w:r>
      <w:r>
        <w:rPr>
          <w:rFonts w:ascii="Times New Roman" w:eastAsia="Times New Roman" w:hAnsi="Times New Roman" w:cs="Times New Roman"/>
          <w:sz w:val="24"/>
        </w:rPr>
        <w:t>едены в таблице 4.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spacing w:after="112"/>
        <w:ind w:left="1128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Таблица 4. </w:t>
      </w:r>
      <w:r>
        <w:rPr>
          <w:rFonts w:ascii="Times New Roman" w:eastAsia="Times New Roman" w:hAnsi="Times New Roman" w:cs="Times New Roman"/>
          <w:sz w:val="24"/>
        </w:rPr>
        <w:t xml:space="preserve">Признаки, позволяющие дифференцировать ХОБЛ от других заболеваний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tbl>
      <w:tblPr>
        <w:tblStyle w:val="TableGrid"/>
        <w:tblW w:w="9357" w:type="dxa"/>
        <w:tblInd w:w="1133" w:type="dxa"/>
        <w:tblCellMar>
          <w:top w:w="119" w:type="dxa"/>
          <w:left w:w="55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843"/>
        <w:gridCol w:w="7514"/>
      </w:tblGrid>
      <w:tr w:rsidR="003A0918">
        <w:trPr>
          <w:trHeight w:val="456"/>
        </w:trPr>
        <w:tc>
          <w:tcPr>
            <w:tcW w:w="184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Заболевания </w:t>
            </w:r>
          </w:p>
        </w:tc>
        <w:tc>
          <w:tcPr>
            <w:tcW w:w="7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Основные дифференциальные признаки </w:t>
            </w:r>
          </w:p>
        </w:tc>
      </w:tr>
      <w:tr w:rsidR="003A0918">
        <w:trPr>
          <w:trHeight w:val="1836"/>
        </w:trPr>
        <w:tc>
          <w:tcPr>
            <w:tcW w:w="184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Бронхиальная астма </w:t>
            </w:r>
          </w:p>
        </w:tc>
        <w:tc>
          <w:tcPr>
            <w:tcW w:w="7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:rsidR="003A0918" w:rsidRDefault="00D87DBB">
            <w:pPr>
              <w:spacing w:after="0" w:line="238" w:lineRule="auto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Факторы риска: бытовые аллергены, пыльца растений, некоторые производственные факторы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; Отягощённая наследственность;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Начало в молодом возрасте (часто); </w:t>
            </w:r>
          </w:p>
          <w:p w:rsidR="003A0918" w:rsidRDefault="00D87DBB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Волнообразность и яркость клинических проявлений, их обратимость (либо спонтанно, либо под влиянием терапии). </w:t>
            </w:r>
          </w:p>
        </w:tc>
      </w:tr>
      <w:tr w:rsidR="003A0918">
        <w:trPr>
          <w:trHeight w:val="1561"/>
        </w:trPr>
        <w:tc>
          <w:tcPr>
            <w:tcW w:w="184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Бронхоэктазии </w:t>
            </w:r>
          </w:p>
        </w:tc>
        <w:tc>
          <w:tcPr>
            <w:tcW w:w="7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Большое количество гнойной мокроты;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Частые рецидивы бактериальной респираторной инфекции; </w:t>
            </w:r>
          </w:p>
          <w:p w:rsidR="003A0918" w:rsidRDefault="00D87DBB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Грубые сухие разного тембра и разнокалиберные влажные хрипы при аускультации;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КТВР: расширение бронхов и уплотнение их стенок. </w:t>
            </w:r>
          </w:p>
        </w:tc>
      </w:tr>
      <w:tr w:rsidR="003A0918">
        <w:trPr>
          <w:trHeight w:val="1560"/>
        </w:trPr>
        <w:tc>
          <w:tcPr>
            <w:tcW w:w="184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Туберкулёз </w:t>
            </w:r>
          </w:p>
        </w:tc>
        <w:tc>
          <w:tcPr>
            <w:tcW w:w="7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Начало в любом возрасте;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Характерные рентгенологические признаки;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Микробиологическое подтверждение; </w:t>
            </w:r>
          </w:p>
          <w:p w:rsidR="003A0918" w:rsidRDefault="00D87DBB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Эпидемиологические признаки (высокая распространённость туберкулёза в регионе). </w:t>
            </w:r>
          </w:p>
        </w:tc>
      </w:tr>
      <w:tr w:rsidR="003A0918">
        <w:trPr>
          <w:trHeight w:val="456"/>
        </w:trPr>
        <w:tc>
          <w:tcPr>
            <w:tcW w:w="184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>Облитерирую-</w:t>
            </w:r>
          </w:p>
        </w:tc>
        <w:tc>
          <w:tcPr>
            <w:tcW w:w="7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Начало в молодом возрасте у некурящих; </w:t>
            </w:r>
          </w:p>
        </w:tc>
      </w:tr>
      <w:tr w:rsidR="003A0918">
        <w:trPr>
          <w:trHeight w:val="1008"/>
        </w:trPr>
        <w:tc>
          <w:tcPr>
            <w:tcW w:w="184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щий бронхиолит </w:t>
            </w:r>
          </w:p>
        </w:tc>
        <w:tc>
          <w:tcPr>
            <w:tcW w:w="7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:rsidR="003A0918" w:rsidRDefault="00D87DBB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Указание на системное заболевание соединительной ткани или острое воздействие вредных газов;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КТВР обнаруживает зоны пониженной плотности на выдохе. </w:t>
            </w:r>
          </w:p>
        </w:tc>
      </w:tr>
      <w:tr w:rsidR="003A0918">
        <w:trPr>
          <w:trHeight w:val="2388"/>
        </w:trPr>
        <w:tc>
          <w:tcPr>
            <w:tcW w:w="184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Сердечная недостаточность </w:t>
            </w:r>
          </w:p>
        </w:tc>
        <w:tc>
          <w:tcPr>
            <w:tcW w:w="7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:rsidR="003A0918" w:rsidRDefault="00D87DBB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Анамнез сердечно-сосудистых заболеваний, факторы сердечнососудистого риска. </w:t>
            </w:r>
          </w:p>
          <w:p w:rsidR="003A0918" w:rsidRDefault="00D87DBB">
            <w:pPr>
              <w:spacing w:after="0" w:line="238" w:lineRule="auto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Объективные признаки кардиогенного застоя в большом или малом кругах кровообращения при использовании диагностических методов визуализации (рентгенография ОГК, увеличение давления наполнения при ЭХОКГ), повышение уровня натрийуретических пептидов - BNP и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NT-proBNP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Спирометрия – преобладание рестрикции. </w:t>
            </w:r>
          </w:p>
        </w:tc>
      </w:tr>
    </w:tbl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При проведении дифференциальной диагностики БА и ХОБЛ рекомендуется учитывать клиническую картину, анамнез курения, сопутствующие заболевания и семейный анамнез [35].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</w:t>
      </w:r>
      <w:r>
        <w:t xml:space="preserve">й </w:t>
      </w:r>
      <w:r>
        <w:t xml:space="preserve">C </w:t>
      </w:r>
      <w:r>
        <w:t>(уровень достоверности доказательств –</w:t>
      </w:r>
      <w:r>
        <w:t xml:space="preserve"> 5)</w:t>
      </w:r>
      <w:r>
        <w:rPr>
          <w:b w:val="0"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 xml:space="preserve">Разграничение БА и ХОБЛ является распространенной диагностической проблемой. Хотя для лечения этих заболеваний часто применяются одни и те же лекарственные средства, они различаются по этиологии, </w:t>
      </w:r>
      <w:r>
        <w:rPr>
          <w:rFonts w:ascii="Times New Roman" w:eastAsia="Times New Roman" w:hAnsi="Times New Roman" w:cs="Times New Roman"/>
          <w:i/>
          <w:sz w:val="24"/>
        </w:rPr>
        <w:t xml:space="preserve">патогенезу и прогнозу. </w:t>
      </w:r>
    </w:p>
    <w:p w:rsidR="003A0918" w:rsidRDefault="00D87DBB">
      <w:pPr>
        <w:spacing w:after="29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 ХОБЛ и БА нередко обнаруживают у одного и того же пациента. У курящих пациентов с БА клеточные компоненты воспаления могут быть сходными с таковыми у пациентов с ХОБЛ. </w:t>
      </w:r>
    </w:p>
    <w:p w:rsidR="003A0918" w:rsidRDefault="00D87DBB">
      <w:pPr>
        <w:numPr>
          <w:ilvl w:val="0"/>
          <w:numId w:val="13"/>
        </w:numPr>
        <w:spacing w:after="29" w:line="355" w:lineRule="auto"/>
        <w:ind w:right="560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Проводить дифференциальный диагноз БА и ХОБЛ только по результатам бронходилатационной пробы при спирометрии не рекомендуется [24,35,36]. </w:t>
      </w:r>
      <w:r>
        <w:rPr>
          <w:rFonts w:ascii="Times New Roman" w:eastAsia="Times New Roman" w:hAnsi="Times New Roman" w:cs="Times New Roman"/>
          <w:b/>
          <w:sz w:val="24"/>
        </w:rPr>
        <w:t>Уровень убедительности рекомендаций В (уровень достоверности доказательств – 3)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i/>
          <w:sz w:val="24"/>
        </w:rPr>
        <w:t xml:space="preserve"> Бронходилатационная проба</w:t>
      </w:r>
      <w:r>
        <w:rPr>
          <w:rFonts w:ascii="Times New Roman" w:eastAsia="Times New Roman" w:hAnsi="Times New Roman" w:cs="Times New Roman"/>
          <w:i/>
          <w:sz w:val="24"/>
        </w:rPr>
        <w:t xml:space="preserve"> при спирометрии не позволяет достоверно отличить БА от ХОБЛ, поскольку у пациентов БА не всегда присутствует значимая обратимость бронхиальной обструкции, тогда как приблизительно у 2550% пациентов с ХОБЛ наблюдается значимая обратимость.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numPr>
          <w:ilvl w:val="0"/>
          <w:numId w:val="13"/>
        </w:numPr>
        <w:spacing w:after="5" w:line="364" w:lineRule="auto"/>
        <w:ind w:right="560" w:hanging="708"/>
        <w:jc w:val="both"/>
      </w:pPr>
      <w:r>
        <w:rPr>
          <w:rFonts w:ascii="Times New Roman" w:eastAsia="Times New Roman" w:hAnsi="Times New Roman" w:cs="Times New Roman"/>
          <w:sz w:val="24"/>
        </w:rPr>
        <w:t>При нормализаци</w:t>
      </w:r>
      <w:r>
        <w:rPr>
          <w:rFonts w:ascii="Times New Roman" w:eastAsia="Times New Roman" w:hAnsi="Times New Roman" w:cs="Times New Roman"/>
          <w:sz w:val="24"/>
        </w:rPr>
        <w:t xml:space="preserve">и легочной функции в результате лечения ингаляционными глюкокортикостероидами (ИГКС) рекомендуется отказаться от диагноза ХОБЛ в пользу БА [1, 37]. 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 С</w:t>
      </w:r>
      <w:r>
        <w:t xml:space="preserve"> </w:t>
      </w:r>
      <w:r>
        <w:t>(уровень достоверности доказательств –</w:t>
      </w:r>
      <w:r>
        <w:t xml:space="preserve"> 5)</w:t>
      </w:r>
      <w:r>
        <w:rPr>
          <w:b w:val="0"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Если лечение</w:t>
      </w:r>
      <w:r>
        <w:rPr>
          <w:rFonts w:ascii="Times New Roman" w:eastAsia="Times New Roman" w:hAnsi="Times New Roman" w:cs="Times New Roman"/>
          <w:i/>
          <w:sz w:val="24"/>
        </w:rPr>
        <w:t xml:space="preserve"> ИГКС не привело к значимому изменению легочной функции, более вероятным диагнозом является ХОБЛ, а не БА.  </w:t>
      </w:r>
    </w:p>
    <w:p w:rsidR="003A0918" w:rsidRDefault="00D87DBB">
      <w:pPr>
        <w:spacing w:after="40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Лечение ИГКС не всегда позволяет различить БА и ХОБЛ, поскольку у ряда пациентов с ХОБЛ наблюдаются благоприятные эффекты при назначении ИГКС. С др</w:t>
      </w:r>
      <w:r>
        <w:rPr>
          <w:rFonts w:ascii="Times New Roman" w:eastAsia="Times New Roman" w:hAnsi="Times New Roman" w:cs="Times New Roman"/>
          <w:i/>
          <w:sz w:val="24"/>
        </w:rPr>
        <w:t xml:space="preserve">угой стороны, у некоторых пациентов с БА монотерапия ИГКС не вызывает улучшения. </w:t>
      </w:r>
    </w:p>
    <w:p w:rsidR="003A0918" w:rsidRDefault="00D87DBB">
      <w:pPr>
        <w:spacing w:after="22"/>
        <w:ind w:left="1133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3A0918" w:rsidRDefault="00D87DBB">
      <w:pPr>
        <w:pStyle w:val="Heading1"/>
        <w:spacing w:after="13"/>
        <w:ind w:left="1867" w:right="22" w:hanging="384"/>
        <w:jc w:val="left"/>
      </w:pPr>
      <w:r>
        <w:t>3.</w:t>
      </w:r>
      <w:r>
        <w:rPr>
          <w:rFonts w:ascii="Arial" w:eastAsia="Arial" w:hAnsi="Arial" w:cs="Arial"/>
        </w:rPr>
        <w:t xml:space="preserve"> </w:t>
      </w:r>
      <w:r>
        <w:t>Лечение, включая медикаментозную и немедикаментозную терапии, диетотерапию, обезболивание, медицинские показания и противопоказания к применению методов лечения</w:t>
      </w:r>
      <w:r>
        <w:t xml:space="preserve"> </w:t>
      </w:r>
    </w:p>
    <w:p w:rsidR="003A0918" w:rsidRDefault="00D87DBB">
      <w:pPr>
        <w:spacing w:after="0"/>
        <w:ind w:left="185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pStyle w:val="Heading2"/>
        <w:ind w:left="1848" w:right="551"/>
      </w:pPr>
      <w:r>
        <w:t>Цели терапии</w:t>
      </w:r>
      <w:r>
        <w:t xml:space="preserve"> </w:t>
      </w:r>
      <w:r>
        <w:t>ХОБЛ</w:t>
      </w:r>
      <w:r>
        <w:rPr>
          <w:b w:val="0"/>
        </w:rPr>
        <w:t xml:space="preserve"> </w:t>
      </w:r>
    </w:p>
    <w:p w:rsidR="003A0918" w:rsidRDefault="00D87DBB">
      <w:pPr>
        <w:spacing w:after="131"/>
        <w:ind w:left="185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Цели лечения ХОБЛ можно разделить на 4 основные группы: </w:t>
      </w:r>
    </w:p>
    <w:p w:rsidR="003A0918" w:rsidRDefault="00D87DBB">
      <w:pPr>
        <w:numPr>
          <w:ilvl w:val="0"/>
          <w:numId w:val="14"/>
        </w:numPr>
        <w:spacing w:after="133"/>
        <w:ind w:right="560" w:hanging="425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Устранение симптомов и улучшение качества жизни; </w:t>
      </w:r>
    </w:p>
    <w:p w:rsidR="003A0918" w:rsidRDefault="00D87DBB">
      <w:pPr>
        <w:numPr>
          <w:ilvl w:val="0"/>
          <w:numId w:val="14"/>
        </w:numPr>
        <w:spacing w:after="130"/>
        <w:ind w:right="560" w:hanging="425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Уменьшение будущих рисков, т.е. профилактика обострений; </w:t>
      </w:r>
    </w:p>
    <w:p w:rsidR="003A0918" w:rsidRDefault="00D87DBB">
      <w:pPr>
        <w:numPr>
          <w:ilvl w:val="0"/>
          <w:numId w:val="14"/>
        </w:numPr>
        <w:spacing w:after="5" w:line="364" w:lineRule="auto"/>
        <w:ind w:right="560" w:hanging="425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Замедление прогрессирования заболевания; </w:t>
      </w:r>
      <w:r>
        <w:rPr>
          <w:rFonts w:ascii="Wingdings" w:eastAsia="Wingdings" w:hAnsi="Wingdings" w:cs="Wingdings"/>
          <w:sz w:val="24"/>
        </w:rPr>
        <w:t>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Снижение летальности.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Терапия ХОБЛ включает фармакологические и нефармакологические подходы. Фармакологические методы лечения включают бронходилататоры (препараты для лечения обструктивных заболеваний дыхательных путей), комбинации ИГКС и длительно действующих бронходилататоров</w:t>
      </w:r>
      <w:r>
        <w:rPr>
          <w:rFonts w:ascii="Times New Roman" w:eastAsia="Times New Roman" w:hAnsi="Times New Roman" w:cs="Times New Roman"/>
          <w:sz w:val="24"/>
        </w:rPr>
        <w:t xml:space="preserve"> (ДДБД), ингибиторы фосфодиэстеразы-4, теофиллин, а также вакцинацию против гриппа и пневмококковой инфекции.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Нефармакологические методы включают прекращение курения, легочную реабилитацию, кислородотерапию, респираторную поддержку и хирургическое лечение</w:t>
      </w:r>
      <w:r>
        <w:rPr>
          <w:rFonts w:ascii="Times New Roman" w:eastAsia="Times New Roman" w:hAnsi="Times New Roman" w:cs="Times New Roman"/>
          <w:sz w:val="24"/>
        </w:rPr>
        <w:t xml:space="preserve">.  </w:t>
      </w:r>
    </w:p>
    <w:p w:rsidR="003A0918" w:rsidRDefault="00D87DBB">
      <w:pPr>
        <w:spacing w:after="112"/>
        <w:ind w:left="185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Отдельно рассматривается терапия обострений ХОБЛ. </w:t>
      </w:r>
    </w:p>
    <w:p w:rsidR="003A0918" w:rsidRDefault="00D87DBB">
      <w:pPr>
        <w:spacing w:after="205"/>
        <w:ind w:left="1841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pStyle w:val="Heading2"/>
        <w:spacing w:after="92"/>
        <w:ind w:left="1493" w:right="22"/>
      </w:pPr>
      <w:r>
        <w:rPr>
          <w:sz w:val="32"/>
        </w:rPr>
        <w:t>3.1</w:t>
      </w:r>
      <w:r>
        <w:rPr>
          <w:rFonts w:ascii="Arial" w:eastAsia="Arial" w:hAnsi="Arial" w:cs="Arial"/>
          <w:sz w:val="32"/>
        </w:rPr>
        <w:t xml:space="preserve"> </w:t>
      </w:r>
      <w:r>
        <w:rPr>
          <w:sz w:val="32"/>
        </w:rPr>
        <w:t>Консервативное лечение</w:t>
      </w:r>
      <w:r>
        <w:rPr>
          <w:sz w:val="32"/>
        </w:rPr>
        <w:t xml:space="preserve"> </w:t>
      </w:r>
    </w:p>
    <w:p w:rsidR="003A0918" w:rsidRDefault="00D87DBB">
      <w:pPr>
        <w:spacing w:after="112"/>
        <w:ind w:left="2213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spacing w:after="174" w:line="249" w:lineRule="auto"/>
        <w:ind w:left="1848" w:right="551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Отказ от курения  </w:t>
      </w:r>
    </w:p>
    <w:p w:rsidR="003A0918" w:rsidRDefault="00D87DBB">
      <w:pPr>
        <w:tabs>
          <w:tab w:val="center" w:pos="1188"/>
          <w:tab w:val="center" w:pos="5237"/>
        </w:tabs>
        <w:spacing w:after="73"/>
      </w:pPr>
      <w:r>
        <w:tab/>
      </w: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ab/>
      </w:r>
      <w:r>
        <w:rPr>
          <w:rFonts w:ascii="Times New Roman" w:eastAsia="Times New Roman" w:hAnsi="Times New Roman" w:cs="Times New Roman"/>
          <w:sz w:val="24"/>
        </w:rPr>
        <w:t>Всем пациентам с ХОБЛ рекомендуется отказ от курения [38, 39].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 С</w:t>
      </w:r>
      <w:r>
        <w:t xml:space="preserve"> </w:t>
      </w:r>
      <w:r>
        <w:t>(уровень достоверности доказательств –</w:t>
      </w:r>
      <w:r>
        <w:t xml:space="preserve"> 3)</w:t>
      </w:r>
      <w:r>
        <w:rPr>
          <w:b w:val="0"/>
        </w:rPr>
        <w:t xml:space="preserve"> </w:t>
      </w:r>
    </w:p>
    <w:p w:rsidR="003A0918" w:rsidRDefault="00D87DBB">
      <w:pPr>
        <w:spacing w:after="31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Отказ от курения является самым эффективным вмешательством, оказывающим большое влияние на прогрессирование ХОБЛ [38]. Обычный совет врача приводит к отказу от курения у 7,4% пациентов (на 2,5% больше, чем в контроле), а в результате 3-10-мину</w:t>
      </w:r>
      <w:r>
        <w:rPr>
          <w:rFonts w:ascii="Times New Roman" w:eastAsia="Times New Roman" w:hAnsi="Times New Roman" w:cs="Times New Roman"/>
          <w:i/>
          <w:sz w:val="24"/>
        </w:rPr>
        <w:t>тной консультации частота отказа от курения достигает около 12%. При больших затратах времени и более сложных вмешательствах, включающих отработку навыков, обучение решению проблем и психосоциальную поддержку, показатель отказа от курения может достичь 203</w:t>
      </w:r>
      <w:r>
        <w:rPr>
          <w:rFonts w:ascii="Times New Roman" w:eastAsia="Times New Roman" w:hAnsi="Times New Roman" w:cs="Times New Roman"/>
          <w:i/>
          <w:sz w:val="24"/>
        </w:rPr>
        <w:t xml:space="preserve">0% [39]. 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При отсутствии противопоказаний для поддержки усилий по прекращению курения рекомендуется назначать фармакологические средства для лечения табачной зависимости [40-45]. 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</w:t>
      </w:r>
      <w:r>
        <w:t xml:space="preserve"> </w:t>
      </w:r>
      <w:r>
        <w:t>В</w:t>
      </w:r>
      <w:r>
        <w:t xml:space="preserve"> </w:t>
      </w:r>
      <w:r>
        <w:t>(уровень достоверности доказательств –</w:t>
      </w:r>
      <w:r>
        <w:t xml:space="preserve"> 2)</w:t>
      </w:r>
      <w:r>
        <w:rPr>
          <w:b w:val="0"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 xml:space="preserve">Фармакотерапия эффективно поддерживает усилия по прекращению курения. К препаратам первой линии для лечения табачной зависимости относится варениклин, никотин. 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Комбинация совета врача, группы поддер</w:t>
      </w:r>
      <w:r>
        <w:rPr>
          <w:rFonts w:ascii="Times New Roman" w:eastAsia="Times New Roman" w:hAnsi="Times New Roman" w:cs="Times New Roman"/>
          <w:i/>
          <w:sz w:val="24"/>
        </w:rPr>
        <w:t xml:space="preserve">жки, отработки навыков и никотинзаместительной терапии приводит через 1 год к отказу от курения в 35% случаев, при этом через 5 лет остаются некурящими 22% [46]. </w:t>
      </w:r>
    </w:p>
    <w:p w:rsidR="003A0918" w:rsidRDefault="00D87DBB">
      <w:pPr>
        <w:pStyle w:val="Heading3"/>
        <w:ind w:left="1848" w:right="551"/>
      </w:pPr>
      <w:r>
        <w:t>Принципы фармакотерапии стабильной ХОБЛ</w:t>
      </w:r>
      <w: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Фармакологические классы препаратов, используемых в </w:t>
      </w:r>
      <w:r>
        <w:rPr>
          <w:rFonts w:ascii="Times New Roman" w:eastAsia="Times New Roman" w:hAnsi="Times New Roman" w:cs="Times New Roman"/>
          <w:sz w:val="24"/>
        </w:rPr>
        <w:t xml:space="preserve">терапии ХОБЛ, представлены в таблице 5. </w:t>
      </w:r>
    </w:p>
    <w:p w:rsidR="003A0918" w:rsidRDefault="00D87DBB">
      <w:pPr>
        <w:spacing w:after="113"/>
        <w:ind w:left="1128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Таблица 5. </w:t>
      </w:r>
      <w:r>
        <w:rPr>
          <w:rFonts w:ascii="Times New Roman" w:eastAsia="Times New Roman" w:hAnsi="Times New Roman" w:cs="Times New Roman"/>
          <w:sz w:val="24"/>
        </w:rPr>
        <w:t xml:space="preserve">Фармакологические классы препаратов, используемых в терапии ХОБЛ </w:t>
      </w:r>
    </w:p>
    <w:p w:rsidR="003A0918" w:rsidRDefault="00D87DBB">
      <w:pPr>
        <w:spacing w:after="0"/>
        <w:ind w:left="1841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tbl>
      <w:tblPr>
        <w:tblStyle w:val="TableGrid"/>
        <w:tblW w:w="9198" w:type="dxa"/>
        <w:tblInd w:w="1275" w:type="dxa"/>
        <w:tblCellMar>
          <w:top w:w="62" w:type="dxa"/>
          <w:left w:w="0" w:type="dxa"/>
          <w:bottom w:w="0" w:type="dxa"/>
          <w:right w:w="51" w:type="dxa"/>
        </w:tblCellMar>
        <w:tblLook w:val="04A0" w:firstRow="1" w:lastRow="0" w:firstColumn="1" w:lastColumn="0" w:noHBand="0" w:noVBand="1"/>
      </w:tblPr>
      <w:tblGrid>
        <w:gridCol w:w="2319"/>
        <w:gridCol w:w="1368"/>
        <w:gridCol w:w="5511"/>
      </w:tblGrid>
      <w:tr w:rsidR="003A0918">
        <w:trPr>
          <w:trHeight w:val="286"/>
        </w:trPr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Фармакологический класс  </w:t>
            </w:r>
          </w:p>
        </w:tc>
        <w:tc>
          <w:tcPr>
            <w:tcW w:w="5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Препараты </w:t>
            </w:r>
          </w:p>
        </w:tc>
      </w:tr>
      <w:tr w:rsidR="003A0918">
        <w:trPr>
          <w:trHeight w:val="286"/>
        </w:trPr>
        <w:tc>
          <w:tcPr>
            <w:tcW w:w="2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КДБА  </w:t>
            </w:r>
          </w:p>
        </w:tc>
        <w:tc>
          <w:tcPr>
            <w:tcW w:w="13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3A0918" w:rsidRDefault="003A0918"/>
        </w:tc>
        <w:tc>
          <w:tcPr>
            <w:tcW w:w="5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Сальбутамол, фенотерол </w:t>
            </w:r>
          </w:p>
        </w:tc>
      </w:tr>
      <w:tr w:rsidR="003A0918">
        <w:trPr>
          <w:trHeight w:val="286"/>
        </w:trPr>
        <w:tc>
          <w:tcPr>
            <w:tcW w:w="2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КДАХ </w:t>
            </w:r>
          </w:p>
        </w:tc>
        <w:tc>
          <w:tcPr>
            <w:tcW w:w="13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3A0918" w:rsidRDefault="003A0918"/>
        </w:tc>
        <w:tc>
          <w:tcPr>
            <w:tcW w:w="5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Ипратропия бромид  </w:t>
            </w:r>
          </w:p>
        </w:tc>
      </w:tr>
      <w:tr w:rsidR="003A0918">
        <w:trPr>
          <w:trHeight w:val="562"/>
        </w:trPr>
        <w:tc>
          <w:tcPr>
            <w:tcW w:w="2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Фиксированная </w:t>
            </w:r>
          </w:p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КДБА/КДАХ </w:t>
            </w:r>
          </w:p>
        </w:tc>
        <w:tc>
          <w:tcPr>
            <w:tcW w:w="13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комбинация </w:t>
            </w:r>
          </w:p>
        </w:tc>
        <w:tc>
          <w:tcPr>
            <w:tcW w:w="5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Фенотерол+ипратропия бромид </w:t>
            </w:r>
          </w:p>
        </w:tc>
      </w:tr>
      <w:tr w:rsidR="003A0918">
        <w:trPr>
          <w:trHeight w:val="564"/>
        </w:trPr>
        <w:tc>
          <w:tcPr>
            <w:tcW w:w="2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ДДБА </w:t>
            </w:r>
          </w:p>
        </w:tc>
        <w:tc>
          <w:tcPr>
            <w:tcW w:w="13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3A0918" w:rsidRDefault="003A0918"/>
        </w:tc>
        <w:tc>
          <w:tcPr>
            <w:tcW w:w="5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08" w:right="269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Индакатерол Формотерол </w:t>
            </w:r>
          </w:p>
        </w:tc>
      </w:tr>
      <w:tr w:rsidR="003A0918">
        <w:trPr>
          <w:trHeight w:val="838"/>
        </w:trPr>
        <w:tc>
          <w:tcPr>
            <w:tcW w:w="2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ДДАХ </w:t>
            </w:r>
          </w:p>
        </w:tc>
        <w:tc>
          <w:tcPr>
            <w:tcW w:w="13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3A0918" w:rsidRDefault="003A0918"/>
        </w:tc>
        <w:tc>
          <w:tcPr>
            <w:tcW w:w="5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Аклидиния бромид  </w:t>
            </w:r>
          </w:p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Гликопиррония бромид  </w:t>
            </w:r>
          </w:p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Тиотропия бромид </w:t>
            </w:r>
          </w:p>
        </w:tc>
      </w:tr>
      <w:tr w:rsidR="003A0918">
        <w:trPr>
          <w:trHeight w:val="1114"/>
        </w:trPr>
        <w:tc>
          <w:tcPr>
            <w:tcW w:w="2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Фиксированные ДДАХ/ДДБА </w:t>
            </w:r>
          </w:p>
        </w:tc>
        <w:tc>
          <w:tcPr>
            <w:tcW w:w="13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комбинации </w:t>
            </w:r>
          </w:p>
        </w:tc>
        <w:tc>
          <w:tcPr>
            <w:tcW w:w="5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Гликопиррония бромид+индакатерол </w:t>
            </w:r>
          </w:p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Тиотропия бромид+олодатерол </w:t>
            </w:r>
          </w:p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Умеклидиния бромид+вилантерол </w:t>
            </w:r>
          </w:p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Аклидиния бромид+формотерол  </w:t>
            </w:r>
          </w:p>
        </w:tc>
      </w:tr>
      <w:tr w:rsidR="003A0918">
        <w:trPr>
          <w:trHeight w:val="1390"/>
        </w:trPr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Фиксированные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комбинации ИГКС/ДДАХ/ДДБА </w:t>
            </w:r>
          </w:p>
        </w:tc>
        <w:tc>
          <w:tcPr>
            <w:tcW w:w="5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 w:line="238" w:lineRule="auto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Флутиказона фуроат+умеклидиния бромид+вилантерол  </w:t>
            </w:r>
          </w:p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Беклометазон+гликопиррония бромид </w:t>
            </w:r>
          </w:p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+формотерол </w:t>
            </w:r>
          </w:p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Будесонид++гликопиррония бромид+формотерол </w:t>
            </w:r>
          </w:p>
        </w:tc>
      </w:tr>
      <w:tr w:rsidR="003A0918">
        <w:trPr>
          <w:trHeight w:val="286"/>
        </w:trPr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Ингибиторы фосфодиэстеразы-4  </w:t>
            </w:r>
          </w:p>
        </w:tc>
        <w:tc>
          <w:tcPr>
            <w:tcW w:w="5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Рофлумиласт </w:t>
            </w:r>
          </w:p>
        </w:tc>
      </w:tr>
      <w:tr w:rsidR="003A0918">
        <w:trPr>
          <w:trHeight w:val="286"/>
        </w:trPr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Метилксантины </w:t>
            </w:r>
          </w:p>
        </w:tc>
        <w:tc>
          <w:tcPr>
            <w:tcW w:w="5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Теофиллин (SR) </w:t>
            </w:r>
          </w:p>
        </w:tc>
      </w:tr>
      <w:tr w:rsidR="003A0918">
        <w:trPr>
          <w:trHeight w:val="288"/>
        </w:trPr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Муколитические препараты </w:t>
            </w:r>
          </w:p>
        </w:tc>
        <w:tc>
          <w:tcPr>
            <w:tcW w:w="5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Эрдостеин,  </w:t>
            </w:r>
          </w:p>
        </w:tc>
      </w:tr>
      <w:tr w:rsidR="003A0918">
        <w:trPr>
          <w:trHeight w:val="840"/>
        </w:trPr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3A0918"/>
        </w:tc>
        <w:tc>
          <w:tcPr>
            <w:tcW w:w="5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Карбоцистеин*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N-ацетилцистеин*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Амброксол </w:t>
            </w:r>
          </w:p>
        </w:tc>
      </w:tr>
    </w:tbl>
    <w:p w:rsidR="003A0918" w:rsidRDefault="00D87DBB">
      <w:pPr>
        <w:spacing w:after="5" w:line="239" w:lineRule="auto"/>
        <w:ind w:left="1275" w:right="560" w:firstLine="710"/>
        <w:jc w:val="both"/>
      </w:pPr>
      <w:r>
        <w:rPr>
          <w:rFonts w:ascii="Times New Roman" w:eastAsia="Times New Roman" w:hAnsi="Times New Roman" w:cs="Times New Roman"/>
          <w:b/>
          <w:i/>
          <w:sz w:val="24"/>
        </w:rPr>
        <w:t xml:space="preserve">Примечание: </w:t>
      </w:r>
      <w:r>
        <w:rPr>
          <w:rFonts w:ascii="Times New Roman" w:eastAsia="Times New Roman" w:hAnsi="Times New Roman" w:cs="Times New Roman"/>
          <w:sz w:val="24"/>
        </w:rPr>
        <w:t>КДБА – короткодействующие β</w:t>
      </w:r>
      <w:r>
        <w:rPr>
          <w:rFonts w:ascii="Times New Roman" w:eastAsia="Times New Roman" w:hAnsi="Times New Roman" w:cs="Times New Roman"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sz w:val="24"/>
        </w:rPr>
        <w:t>-агонисты (АТХ Селективные бета2-адреномиметики)</w:t>
      </w:r>
      <w:r>
        <w:rPr>
          <w:rFonts w:ascii="Times New Roman" w:eastAsia="Times New Roman" w:hAnsi="Times New Roman" w:cs="Times New Roman"/>
          <w:sz w:val="24"/>
        </w:rPr>
        <w:t>, КДАХ – короткодействующие антихолинергетики (АТХ Антихолинергические средства), ДДБА – длительнодействующие β</w:t>
      </w:r>
      <w:r>
        <w:rPr>
          <w:rFonts w:ascii="Times New Roman" w:eastAsia="Times New Roman" w:hAnsi="Times New Roman" w:cs="Times New Roman"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sz w:val="24"/>
        </w:rPr>
        <w:t xml:space="preserve">-агонисты (АТХ Селективные бета2-адреномиметики), ДДАХ – длительнодействующие антихолинергетики (АТХ Антихолинергические средства). </w:t>
      </w:r>
    </w:p>
    <w:p w:rsidR="003A0918" w:rsidRDefault="00D87DBB">
      <w:pPr>
        <w:spacing w:after="5"/>
        <w:ind w:left="185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*</w:t>
      </w:r>
      <w:r>
        <w:rPr>
          <w:rFonts w:ascii="Times New Roman" w:eastAsia="Times New Roman" w:hAnsi="Times New Roman" w:cs="Times New Roman"/>
          <w:sz w:val="24"/>
        </w:rPr>
        <w:t xml:space="preserve">режимы дозирования обсуждаются. </w:t>
      </w:r>
    </w:p>
    <w:p w:rsidR="003A0918" w:rsidRDefault="00D87DBB">
      <w:pPr>
        <w:spacing w:after="3"/>
        <w:ind w:left="1841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При назначении фармакотерапии рекомендуется ставить целью достижение контроля симптомов и уменьшение будущих рисков - т.е. обострений ХОБЛ и смертности (таблица 6) [1, 16].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 С (уровен</w:t>
      </w:r>
      <w:r>
        <w:t>ь достоверности доказательств –</w:t>
      </w:r>
      <w:r>
        <w:t xml:space="preserve"> 5)</w:t>
      </w:r>
      <w:r>
        <w:rPr>
          <w:b w:val="0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5" w:line="364" w:lineRule="auto"/>
        <w:ind w:left="1128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Таблица 6. </w:t>
      </w:r>
      <w:r>
        <w:rPr>
          <w:rFonts w:ascii="Times New Roman" w:eastAsia="Times New Roman" w:hAnsi="Times New Roman" w:cs="Times New Roman"/>
          <w:sz w:val="24"/>
        </w:rPr>
        <w:t xml:space="preserve">Использование различных фармакологических препаратов для достижения целей терапии ХОБЛ 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tbl>
      <w:tblPr>
        <w:tblStyle w:val="TableGrid"/>
        <w:tblW w:w="8937" w:type="dxa"/>
        <w:tblInd w:w="1716" w:type="dxa"/>
        <w:tblCellMar>
          <w:top w:w="66" w:type="dxa"/>
          <w:left w:w="106" w:type="dxa"/>
          <w:bottom w:w="0" w:type="dxa"/>
          <w:right w:w="50" w:type="dxa"/>
        </w:tblCellMar>
        <w:tblLook w:val="04A0" w:firstRow="1" w:lastRow="0" w:firstColumn="1" w:lastColumn="0" w:noHBand="0" w:noVBand="1"/>
      </w:tblPr>
      <w:tblGrid>
        <w:gridCol w:w="2300"/>
        <w:gridCol w:w="2506"/>
        <w:gridCol w:w="2269"/>
        <w:gridCol w:w="1862"/>
      </w:tblGrid>
      <w:tr w:rsidR="003A0918">
        <w:trPr>
          <w:trHeight w:val="571"/>
        </w:trPr>
        <w:tc>
          <w:tcPr>
            <w:tcW w:w="23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Фармакологический класс  </w:t>
            </w:r>
          </w:p>
        </w:tc>
        <w:tc>
          <w:tcPr>
            <w:tcW w:w="66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Использование для достижения целей терапии ХОБЛ  </w:t>
            </w:r>
          </w:p>
        </w:tc>
      </w:tr>
      <w:tr w:rsidR="003A0918">
        <w:trPr>
          <w:trHeight w:val="1400"/>
        </w:trPr>
        <w:tc>
          <w:tcPr>
            <w:tcW w:w="23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</w:p>
        </w:tc>
        <w:tc>
          <w:tcPr>
            <w:tcW w:w="25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Цель 1: Контроль симптомов –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краткосрочное или продолжительное уменьшение симптомов  </w:t>
            </w:r>
          </w:p>
        </w:tc>
        <w:tc>
          <w:tcPr>
            <w:tcW w:w="2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Цель 2: Уменьшение будущих рисков – снижение риска обострений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ХОБЛ  </w:t>
            </w:r>
          </w:p>
        </w:tc>
        <w:tc>
          <w:tcPr>
            <w:tcW w:w="18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Цель 3: Снижение смертности при ХОБЛ </w:t>
            </w:r>
          </w:p>
        </w:tc>
      </w:tr>
      <w:tr w:rsidR="003A0918">
        <w:trPr>
          <w:trHeight w:val="298"/>
        </w:trPr>
        <w:tc>
          <w:tcPr>
            <w:tcW w:w="23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КДБА   </w:t>
            </w:r>
          </w:p>
        </w:tc>
        <w:tc>
          <w:tcPr>
            <w:tcW w:w="25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+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</w:p>
        </w:tc>
        <w:tc>
          <w:tcPr>
            <w:tcW w:w="2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–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</w:p>
        </w:tc>
        <w:tc>
          <w:tcPr>
            <w:tcW w:w="18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- </w:t>
            </w:r>
          </w:p>
        </w:tc>
      </w:tr>
      <w:tr w:rsidR="003A0918">
        <w:trPr>
          <w:trHeight w:val="295"/>
        </w:trPr>
        <w:tc>
          <w:tcPr>
            <w:tcW w:w="23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КДАХ  </w:t>
            </w:r>
          </w:p>
        </w:tc>
        <w:tc>
          <w:tcPr>
            <w:tcW w:w="25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+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</w:p>
        </w:tc>
        <w:tc>
          <w:tcPr>
            <w:tcW w:w="2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–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</w:p>
        </w:tc>
        <w:tc>
          <w:tcPr>
            <w:tcW w:w="18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- </w:t>
            </w:r>
          </w:p>
        </w:tc>
      </w:tr>
      <w:tr w:rsidR="003A0918">
        <w:trPr>
          <w:trHeight w:val="295"/>
        </w:trPr>
        <w:tc>
          <w:tcPr>
            <w:tcW w:w="23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Теофиллин  </w:t>
            </w:r>
          </w:p>
        </w:tc>
        <w:tc>
          <w:tcPr>
            <w:tcW w:w="25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+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</w:p>
        </w:tc>
        <w:tc>
          <w:tcPr>
            <w:tcW w:w="2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–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</w:p>
        </w:tc>
        <w:tc>
          <w:tcPr>
            <w:tcW w:w="18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- </w:t>
            </w:r>
          </w:p>
        </w:tc>
      </w:tr>
      <w:tr w:rsidR="003A0918">
        <w:trPr>
          <w:trHeight w:val="298"/>
        </w:trPr>
        <w:tc>
          <w:tcPr>
            <w:tcW w:w="23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ДДБА  </w:t>
            </w:r>
          </w:p>
        </w:tc>
        <w:tc>
          <w:tcPr>
            <w:tcW w:w="25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+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</w:p>
        </w:tc>
        <w:tc>
          <w:tcPr>
            <w:tcW w:w="2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+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</w:p>
        </w:tc>
        <w:tc>
          <w:tcPr>
            <w:tcW w:w="18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- </w:t>
            </w:r>
          </w:p>
        </w:tc>
      </w:tr>
      <w:tr w:rsidR="003A0918">
        <w:trPr>
          <w:trHeight w:val="295"/>
        </w:trPr>
        <w:tc>
          <w:tcPr>
            <w:tcW w:w="23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ДДАХ  </w:t>
            </w:r>
          </w:p>
        </w:tc>
        <w:tc>
          <w:tcPr>
            <w:tcW w:w="25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+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</w:p>
        </w:tc>
        <w:tc>
          <w:tcPr>
            <w:tcW w:w="2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+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</w:p>
        </w:tc>
        <w:tc>
          <w:tcPr>
            <w:tcW w:w="18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- </w:t>
            </w:r>
          </w:p>
        </w:tc>
      </w:tr>
      <w:tr w:rsidR="003A0918">
        <w:trPr>
          <w:trHeight w:val="295"/>
        </w:trPr>
        <w:tc>
          <w:tcPr>
            <w:tcW w:w="23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ДДАХ/ДДБА  </w:t>
            </w:r>
          </w:p>
        </w:tc>
        <w:tc>
          <w:tcPr>
            <w:tcW w:w="25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+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</w:p>
        </w:tc>
        <w:tc>
          <w:tcPr>
            <w:tcW w:w="2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+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</w:p>
        </w:tc>
        <w:tc>
          <w:tcPr>
            <w:tcW w:w="18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- </w:t>
            </w:r>
          </w:p>
        </w:tc>
      </w:tr>
      <w:tr w:rsidR="003A0918">
        <w:trPr>
          <w:trHeight w:val="298"/>
        </w:trPr>
        <w:tc>
          <w:tcPr>
            <w:tcW w:w="23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ИГКС/ДДАХ/ДДБА </w:t>
            </w:r>
          </w:p>
        </w:tc>
        <w:tc>
          <w:tcPr>
            <w:tcW w:w="25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+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2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+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18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+ </w:t>
            </w:r>
          </w:p>
        </w:tc>
      </w:tr>
      <w:tr w:rsidR="003A0918">
        <w:trPr>
          <w:trHeight w:val="295"/>
        </w:trPr>
        <w:tc>
          <w:tcPr>
            <w:tcW w:w="23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Рофлумиласт  </w:t>
            </w:r>
          </w:p>
        </w:tc>
        <w:tc>
          <w:tcPr>
            <w:tcW w:w="25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–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</w:p>
        </w:tc>
        <w:tc>
          <w:tcPr>
            <w:tcW w:w="2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+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18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- </w:t>
            </w:r>
          </w:p>
        </w:tc>
      </w:tr>
    </w:tbl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 xml:space="preserve">Решение о продолжении или окончании лечения рекомендуется принимать, основываясь на снижении будущих рисков (обострений).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В исследованиях показано преимущество ДДАХ в отношении снижении риска обострений по сравнению с плацебо и ДДБА [47-50]. Более обширная информация доказывающая уменьшение риска обострений ХОБЛ представлена в отношении фиксированных ДДАХ/ДДБА по сравнению с </w:t>
      </w:r>
      <w:r>
        <w:rPr>
          <w:rFonts w:ascii="Times New Roman" w:eastAsia="Times New Roman" w:hAnsi="Times New Roman" w:cs="Times New Roman"/>
          <w:i/>
          <w:sz w:val="24"/>
        </w:rPr>
        <w:t xml:space="preserve">монотерапией ДДАХ и ИГКС/ДДБА [51-55] и ИГКС/ДДАХ/ДДБА по сравнению с ИГКС/ДДБА и ДДАХ/ДДБА [56, 57].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Получены достоверные сведения о снижении риска смертельных исходов при ХОБЛ, в результате лечения ИГКС/ДДАХ/ДДБА [58-60</w:t>
      </w:r>
      <w:r>
        <w:rPr>
          <w:rFonts w:ascii="Times New Roman" w:eastAsia="Times New Roman" w:hAnsi="Times New Roman" w:cs="Times New Roman"/>
          <w:sz w:val="24"/>
        </w:rPr>
        <w:t xml:space="preserve">]. </w:t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3A0918" w:rsidRDefault="00D87DBB">
      <w:pPr>
        <w:spacing w:after="115"/>
        <w:ind w:left="1841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pStyle w:val="Heading3"/>
        <w:ind w:left="1848" w:right="551"/>
      </w:pPr>
      <w:r>
        <w:t>Препараты для лечения обстр</w:t>
      </w:r>
      <w:r>
        <w:t>уктивных заболеваний дыхательных путей</w:t>
      </w:r>
      <w:r>
        <w:t xml:space="preserve"> </w:t>
      </w:r>
      <w:r>
        <w:t>(Бронходилататоры)</w:t>
      </w:r>
      <w:r>
        <w:rPr>
          <w:b w:val="0"/>
        </w:rP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К бронходилататорам относят селективные бета2-адреномиметики и антихолинергические средства, включающие короткодействующие (продолжительность эффекта 3-6 ч) и длительнодействующие препараты. (продо</w:t>
      </w:r>
      <w:r>
        <w:rPr>
          <w:rFonts w:ascii="Times New Roman" w:eastAsia="Times New Roman" w:hAnsi="Times New Roman" w:cs="Times New Roman"/>
          <w:sz w:val="24"/>
        </w:rPr>
        <w:t xml:space="preserve">лжительность эффекта 12-24 ч), таблица 7. </w:t>
      </w:r>
    </w:p>
    <w:p w:rsidR="003A0918" w:rsidRDefault="00D87DBB">
      <w:pPr>
        <w:spacing w:after="115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pStyle w:val="Heading3"/>
        <w:spacing w:after="2" w:line="357" w:lineRule="auto"/>
        <w:ind w:left="1143" w:right="551"/>
      </w:pPr>
      <w:r>
        <w:t xml:space="preserve">Таблица </w:t>
      </w:r>
      <w:r>
        <w:t xml:space="preserve">7. </w:t>
      </w:r>
      <w:r>
        <w:t>Фармакокинетические характеристики бронходилататоров</w:t>
      </w:r>
      <w:r>
        <w:t xml:space="preserve"> </w:t>
      </w:r>
      <w:r>
        <w:t>(препараты для лечения обструктивных заболеваний дыхательных путей</w:t>
      </w:r>
      <w:r>
        <w:t xml:space="preserve">)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tbl>
      <w:tblPr>
        <w:tblStyle w:val="TableGrid"/>
        <w:tblW w:w="8644" w:type="dxa"/>
        <w:tblInd w:w="1728" w:type="dxa"/>
        <w:tblCellMar>
          <w:top w:w="62" w:type="dxa"/>
          <w:left w:w="106" w:type="dxa"/>
          <w:bottom w:w="0" w:type="dxa"/>
          <w:right w:w="52" w:type="dxa"/>
        </w:tblCellMar>
        <w:tblLook w:val="04A0" w:firstRow="1" w:lastRow="0" w:firstColumn="1" w:lastColumn="0" w:noHBand="0" w:noVBand="1"/>
      </w:tblPr>
      <w:tblGrid>
        <w:gridCol w:w="1594"/>
        <w:gridCol w:w="2338"/>
        <w:gridCol w:w="2271"/>
        <w:gridCol w:w="2441"/>
      </w:tblGrid>
      <w:tr w:rsidR="003A0918">
        <w:trPr>
          <w:trHeight w:val="562"/>
        </w:trPr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Класс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ab/>
              <w:t xml:space="preserve">препаратов 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Представители класса 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3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Начало действия 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Продолжительность действия </w:t>
            </w:r>
          </w:p>
        </w:tc>
      </w:tr>
      <w:tr w:rsidR="003A0918">
        <w:trPr>
          <w:trHeight w:val="566"/>
        </w:trPr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КДБА 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Сальбутамол</w:t>
            </w:r>
            <w:r>
              <w:rPr>
                <w:rFonts w:ascii="Times New Roman" w:eastAsia="Times New Roman" w:hAnsi="Times New Roman" w:cs="Times New Roman"/>
              </w:rPr>
              <w:t>**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Фенотерол 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3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 течение 5 минут 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3-6 часов </w:t>
            </w:r>
          </w:p>
        </w:tc>
      </w:tr>
      <w:tr w:rsidR="003A0918">
        <w:trPr>
          <w:trHeight w:val="562"/>
        </w:trPr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КДАХ 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Ипратропия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бромид</w:t>
            </w:r>
            <w:r>
              <w:rPr>
                <w:rFonts w:ascii="Times New Roman" w:eastAsia="Times New Roman" w:hAnsi="Times New Roman" w:cs="Times New Roman"/>
              </w:rPr>
              <w:t>**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 течение 30 минут 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4-6 часов </w:t>
            </w:r>
          </w:p>
        </w:tc>
      </w:tr>
      <w:tr w:rsidR="003A0918">
        <w:trPr>
          <w:trHeight w:val="307"/>
        </w:trPr>
        <w:tc>
          <w:tcPr>
            <w:tcW w:w="15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ДДБА 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Формотерол 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3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 течение 5 минут 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12 часов </w:t>
            </w:r>
          </w:p>
        </w:tc>
      </w:tr>
      <w:tr w:rsidR="003A0918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3A0918"/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Индакатерол</w:t>
            </w:r>
            <w:r>
              <w:rPr>
                <w:rFonts w:ascii="Times New Roman" w:eastAsia="Times New Roman" w:hAnsi="Times New Roman" w:cs="Times New Roman"/>
              </w:rPr>
              <w:t>**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3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Через 5 минут 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24 часа </w:t>
            </w:r>
          </w:p>
        </w:tc>
      </w:tr>
      <w:tr w:rsidR="003A0918">
        <w:trPr>
          <w:trHeight w:val="288"/>
        </w:trPr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ДДАХ 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Аклидиния бромид 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3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Через 30 минут 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12 часов </w:t>
            </w:r>
          </w:p>
        </w:tc>
      </w:tr>
      <w:tr w:rsidR="003A0918">
        <w:trPr>
          <w:trHeight w:val="562"/>
        </w:trPr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tabs>
                <w:tab w:val="right" w:pos="2180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Тиотропия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бро-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мид</w:t>
            </w:r>
            <w:r>
              <w:rPr>
                <w:rFonts w:ascii="Times New Roman" w:eastAsia="Times New Roman" w:hAnsi="Times New Roman" w:cs="Times New Roman"/>
              </w:rPr>
              <w:t>**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3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Через 30 минут 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24 часа </w:t>
            </w:r>
          </w:p>
        </w:tc>
      </w:tr>
      <w:tr w:rsidR="003A0918">
        <w:trPr>
          <w:trHeight w:val="562"/>
        </w:trPr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Гликопиррония бромид</w:t>
            </w:r>
            <w:r>
              <w:rPr>
                <w:rFonts w:ascii="Times New Roman" w:eastAsia="Times New Roman" w:hAnsi="Times New Roman" w:cs="Times New Roman"/>
              </w:rPr>
              <w:t>**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3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Через 5 минут 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24 часа </w:t>
            </w:r>
          </w:p>
        </w:tc>
      </w:tr>
    </w:tbl>
    <w:p w:rsidR="003A0918" w:rsidRDefault="00D87DBB">
      <w:pPr>
        <w:spacing w:after="142"/>
        <w:ind w:left="1841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Всем пациентам с ХОБЛ рекомендуется назначать короткодействующие бронходилататоры </w:t>
      </w:r>
      <w:r>
        <w:rPr>
          <w:rFonts w:ascii="Times New Roman" w:eastAsia="Times New Roman" w:hAnsi="Times New Roman" w:cs="Times New Roman"/>
          <w:sz w:val="24"/>
        </w:rPr>
        <w:t xml:space="preserve">(препараты для лечения обструктивных заболеваний дыхательных путей) для использования по потребности [61].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 А</w:t>
      </w:r>
      <w:r>
        <w:t xml:space="preserve"> </w:t>
      </w:r>
      <w:r>
        <w:t>(уровень достоверности доказательств –</w:t>
      </w:r>
      <w:r>
        <w:t xml:space="preserve"> 1)</w:t>
      </w:r>
      <w:r>
        <w:rPr>
          <w:b w:val="0"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 xml:space="preserve">Использование короткодействующих бронходилататоров </w:t>
      </w:r>
      <w:r>
        <w:rPr>
          <w:rFonts w:ascii="Times New Roman" w:eastAsia="Times New Roman" w:hAnsi="Times New Roman" w:cs="Times New Roman"/>
          <w:i/>
          <w:sz w:val="24"/>
        </w:rPr>
        <w:t>(препараты для лечения обструктивных заболеваний дыхательных путей) по потребности возможно и у пациентов, получающих лечение ДДБД. В то же время регулярное использование высоких доз короткодействующих бронходилататоров, в т.ч. через небулайзер, у пациенто</w:t>
      </w:r>
      <w:r>
        <w:rPr>
          <w:rFonts w:ascii="Times New Roman" w:eastAsia="Times New Roman" w:hAnsi="Times New Roman" w:cs="Times New Roman"/>
          <w:i/>
          <w:sz w:val="24"/>
        </w:rPr>
        <w:t>в, получающих ДДБД, не является обоснованным, и к нему следует прибегать лишь в самых сложных случаях. В таких ситуациях необходимо всесторонне оценить соответсвие назначения препаратов для регулярной (базисной) терапии тяжести заболевания и способность па</w:t>
      </w:r>
      <w:r>
        <w:rPr>
          <w:rFonts w:ascii="Times New Roman" w:eastAsia="Times New Roman" w:hAnsi="Times New Roman" w:cs="Times New Roman"/>
          <w:i/>
          <w:sz w:val="24"/>
        </w:rPr>
        <w:t xml:space="preserve">циента правильно выполнять ингаляции. </w:t>
      </w:r>
    </w:p>
    <w:p w:rsidR="003A0918" w:rsidRDefault="00D87DBB">
      <w:pPr>
        <w:spacing w:after="142"/>
        <w:ind w:left="1836" w:right="557" w:hanging="10"/>
        <w:jc w:val="both"/>
      </w:pPr>
      <w:r>
        <w:rPr>
          <w:rFonts w:ascii="Times New Roman" w:eastAsia="Times New Roman" w:hAnsi="Times New Roman" w:cs="Times New Roman"/>
          <w:i/>
          <w:sz w:val="24"/>
          <w:u w:val="single" w:color="000000"/>
        </w:rPr>
        <w:t>Селективные β2-агонисты</w:t>
      </w:r>
      <w:r>
        <w:rPr>
          <w:rFonts w:ascii="Times New Roman" w:eastAsia="Times New Roman" w:hAnsi="Times New Roman" w:cs="Times New Roman"/>
          <w:i/>
          <w:sz w:val="24"/>
        </w:rPr>
        <w:t xml:space="preserve"> 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Для лечения ХОБЛ рекомендуется использовать следующие длительнодействующие β</w:t>
      </w:r>
      <w:r>
        <w:rPr>
          <w:rFonts w:ascii="Times New Roman" w:eastAsia="Times New Roman" w:hAnsi="Times New Roman" w:cs="Times New Roman"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sz w:val="24"/>
        </w:rPr>
        <w:t>-агонисты (ДДБА): формотерол</w:t>
      </w:r>
      <w:r>
        <w:rPr>
          <w:rFonts w:ascii="Times New Roman" w:eastAsia="Times New Roman" w:hAnsi="Times New Roman" w:cs="Times New Roman"/>
        </w:rPr>
        <w:t>**</w:t>
      </w:r>
      <w:r>
        <w:rPr>
          <w:rFonts w:ascii="Times New Roman" w:eastAsia="Times New Roman" w:hAnsi="Times New Roman" w:cs="Times New Roman"/>
          <w:sz w:val="24"/>
        </w:rPr>
        <w:t>, индакатерол</w:t>
      </w:r>
      <w:r>
        <w:rPr>
          <w:rFonts w:ascii="Times New Roman" w:eastAsia="Times New Roman" w:hAnsi="Times New Roman" w:cs="Times New Roman"/>
        </w:rPr>
        <w:t>**</w:t>
      </w:r>
      <w:r>
        <w:rPr>
          <w:rFonts w:ascii="Times New Roman" w:eastAsia="Times New Roman" w:hAnsi="Times New Roman" w:cs="Times New Roman"/>
          <w:sz w:val="24"/>
        </w:rPr>
        <w:t xml:space="preserve">, (Таблица 7) [62-65]. </w:t>
      </w:r>
    </w:p>
    <w:p w:rsidR="003A0918" w:rsidRDefault="00D87DBB">
      <w:pPr>
        <w:pStyle w:val="Heading3"/>
        <w:ind w:left="1848" w:right="551"/>
      </w:pPr>
      <w:r>
        <w:t xml:space="preserve">Уровень убедительности рекомендаций </w:t>
      </w:r>
      <w:r>
        <w:t xml:space="preserve">A </w:t>
      </w:r>
      <w:r>
        <w:t>(уровень достоверности доказательств –</w:t>
      </w:r>
      <w:r>
        <w:t xml:space="preserve"> 1)</w:t>
      </w:r>
      <w:r>
        <w:rPr>
          <w:b w:val="0"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По влиянию на ОФВ</w:t>
      </w:r>
      <w:r>
        <w:rPr>
          <w:rFonts w:ascii="Times New Roman" w:eastAsia="Times New Roman" w:hAnsi="Times New Roman" w:cs="Times New Roman"/>
          <w:i/>
          <w:sz w:val="24"/>
          <w:vertAlign w:val="subscript"/>
        </w:rPr>
        <w:t>1</w:t>
      </w:r>
      <w:r>
        <w:rPr>
          <w:rFonts w:ascii="Times New Roman" w:eastAsia="Times New Roman" w:hAnsi="Times New Roman" w:cs="Times New Roman"/>
          <w:i/>
          <w:sz w:val="24"/>
        </w:rPr>
        <w:t xml:space="preserve"> и одышку индакатерол</w:t>
      </w:r>
      <w:r>
        <w:rPr>
          <w:rFonts w:ascii="Times New Roman" w:eastAsia="Times New Roman" w:hAnsi="Times New Roman" w:cs="Times New Roman"/>
        </w:rPr>
        <w:t>**</w:t>
      </w:r>
      <w:r>
        <w:rPr>
          <w:rFonts w:ascii="Times New Roman" w:eastAsia="Times New Roman" w:hAnsi="Times New Roman" w:cs="Times New Roman"/>
          <w:i/>
          <w:sz w:val="24"/>
        </w:rPr>
        <w:t>, по крайней мере, не уступают формотеролу</w:t>
      </w:r>
      <w:r>
        <w:rPr>
          <w:rFonts w:ascii="Times New Roman" w:eastAsia="Times New Roman" w:hAnsi="Times New Roman" w:cs="Times New Roman"/>
        </w:rPr>
        <w:t>**</w:t>
      </w:r>
      <w:r>
        <w:rPr>
          <w:rFonts w:ascii="Times New Roman" w:eastAsia="Times New Roman" w:hAnsi="Times New Roman" w:cs="Times New Roman"/>
          <w:i/>
          <w:sz w:val="24"/>
        </w:rPr>
        <w:t xml:space="preserve"> и тиотропия бромиду</w:t>
      </w:r>
      <w:r>
        <w:rPr>
          <w:rFonts w:ascii="Times New Roman" w:eastAsia="Times New Roman" w:hAnsi="Times New Roman" w:cs="Times New Roman"/>
        </w:rPr>
        <w:t>**</w:t>
      </w:r>
      <w:r>
        <w:rPr>
          <w:rFonts w:ascii="Times New Roman" w:eastAsia="Times New Roman" w:hAnsi="Times New Roman" w:cs="Times New Roman"/>
          <w:i/>
          <w:sz w:val="24"/>
        </w:rPr>
        <w:t>. По влиянию на риск среднетяжелых/тяжелых обострений индакатерол</w:t>
      </w:r>
      <w:r>
        <w:rPr>
          <w:rFonts w:ascii="Times New Roman" w:eastAsia="Times New Roman" w:hAnsi="Times New Roman" w:cs="Times New Roman"/>
        </w:rPr>
        <w:t>**</w:t>
      </w:r>
      <w:r>
        <w:rPr>
          <w:rFonts w:ascii="Times New Roman" w:eastAsia="Times New Roman" w:hAnsi="Times New Roman" w:cs="Times New Roman"/>
          <w:i/>
          <w:sz w:val="24"/>
        </w:rPr>
        <w:t xml:space="preserve"> уступает тиотропия бромид</w:t>
      </w:r>
      <w:r>
        <w:rPr>
          <w:rFonts w:ascii="Times New Roman" w:eastAsia="Times New Roman" w:hAnsi="Times New Roman" w:cs="Times New Roman"/>
          <w:i/>
          <w:sz w:val="24"/>
        </w:rPr>
        <w:t>у</w:t>
      </w:r>
      <w:r>
        <w:rPr>
          <w:rFonts w:ascii="Times New Roman" w:eastAsia="Times New Roman" w:hAnsi="Times New Roman" w:cs="Times New Roman"/>
        </w:rPr>
        <w:t xml:space="preserve"> **</w:t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3A0918" w:rsidRDefault="00D87DBB">
      <w:pPr>
        <w:spacing w:after="142"/>
        <w:ind w:left="1851" w:right="563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[</w:t>
      </w:r>
      <w:r>
        <w:rPr>
          <w:rFonts w:ascii="Times New Roman" w:eastAsia="Times New Roman" w:hAnsi="Times New Roman" w:cs="Times New Roman"/>
          <w:sz w:val="24"/>
        </w:rPr>
        <w:t>66, 67</w:t>
      </w:r>
      <w:r>
        <w:rPr>
          <w:rFonts w:ascii="Times New Roman" w:eastAsia="Times New Roman" w:hAnsi="Times New Roman" w:cs="Times New Roman"/>
          <w:i/>
          <w:sz w:val="24"/>
        </w:rPr>
        <w:t xml:space="preserve">]. 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При лечении пациентов с ХОБЛ с сопутствующими сердечно-сосудистыми заболеваниями перед назначением ДДБА рекомендуется оценивать риск развития сердечно-сосудистых осложнений [68].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 С (уровень достоверн</w:t>
      </w:r>
      <w:r>
        <w:t>ости доказательств –</w:t>
      </w:r>
      <w:r>
        <w:t xml:space="preserve"> 4)</w:t>
      </w:r>
      <w:r>
        <w:rPr>
          <w:b w:val="0"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Комментарии: </w:t>
      </w:r>
      <w:r>
        <w:rPr>
          <w:rFonts w:ascii="Times New Roman" w:eastAsia="Times New Roman" w:hAnsi="Times New Roman" w:cs="Times New Roman"/>
          <w:i/>
          <w:sz w:val="24"/>
        </w:rPr>
        <w:t>Активация β-адренорецепторов сердца под действием β</w:t>
      </w:r>
      <w:r>
        <w:rPr>
          <w:rFonts w:ascii="Times New Roman" w:eastAsia="Times New Roman" w:hAnsi="Times New Roman" w:cs="Times New Roman"/>
          <w:i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i/>
          <w:sz w:val="24"/>
        </w:rPr>
        <w:t>агонистов (селективных бета2-адреномиметиков) предположительно может вызывать ишемию, сердечную недостаточность, аритмии, а также повышать риск внезапной смерти. Одна</w:t>
      </w:r>
      <w:r>
        <w:rPr>
          <w:rFonts w:ascii="Times New Roman" w:eastAsia="Times New Roman" w:hAnsi="Times New Roman" w:cs="Times New Roman"/>
          <w:i/>
          <w:sz w:val="24"/>
        </w:rPr>
        <w:t>ко в контролируемых клинических исследованиях у пациентов с ХОБЛ не получено данных об увеличении частоты аритмий, сердечнососудистой или общей летальности при применении β</w:t>
      </w:r>
      <w:r>
        <w:rPr>
          <w:rFonts w:ascii="Times New Roman" w:eastAsia="Times New Roman" w:hAnsi="Times New Roman" w:cs="Times New Roman"/>
          <w:i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i/>
          <w:sz w:val="24"/>
        </w:rPr>
        <w:t xml:space="preserve">-агонистов (селективных бета2-адреномиметиков) [69, 70]. 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112"/>
        <w:ind w:left="185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При лечении ХОБЛ, в отли</w:t>
      </w:r>
      <w:r>
        <w:rPr>
          <w:rFonts w:ascii="Times New Roman" w:eastAsia="Times New Roman" w:hAnsi="Times New Roman" w:cs="Times New Roman"/>
          <w:sz w:val="24"/>
        </w:rPr>
        <w:t xml:space="preserve">чие от БА, ДДБА применяются без ИГКС [69, 70].  </w:t>
      </w:r>
    </w:p>
    <w:p w:rsidR="003A0918" w:rsidRDefault="00D87DBB">
      <w:pPr>
        <w:spacing w:after="142"/>
        <w:ind w:left="1836" w:right="557" w:hanging="10"/>
        <w:jc w:val="both"/>
      </w:pPr>
      <w:r>
        <w:rPr>
          <w:rFonts w:ascii="Times New Roman" w:eastAsia="Times New Roman" w:hAnsi="Times New Roman" w:cs="Times New Roman"/>
          <w:i/>
          <w:sz w:val="24"/>
          <w:u w:val="single" w:color="000000"/>
        </w:rPr>
        <w:t>Антихолинергические средства</w:t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Для лечения ХОБЛ рекомендуется использовать следующие длительнодействующие антихолинергические средства (ДДАХ):  </w:t>
      </w:r>
    </w:p>
    <w:p w:rsidR="003A0918" w:rsidRDefault="00D87DBB">
      <w:pPr>
        <w:spacing w:after="70"/>
        <w:ind w:left="2211" w:right="560" w:hanging="10"/>
        <w:jc w:val="both"/>
      </w:pPr>
      <w:r>
        <w:rPr>
          <w:rFonts w:ascii="Segoe UI Symbol" w:eastAsia="Segoe UI Symbol" w:hAnsi="Segoe UI Symbol" w:cs="Segoe UI Symbol"/>
          <w:sz w:val="24"/>
        </w:rPr>
        <w:t>⎯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тиотропия бромид</w:t>
      </w:r>
      <w:r>
        <w:rPr>
          <w:rFonts w:ascii="Times New Roman" w:eastAsia="Times New Roman" w:hAnsi="Times New Roman" w:cs="Times New Roman"/>
        </w:rPr>
        <w:t xml:space="preserve"> ** [71-73]</w:t>
      </w:r>
      <w:r>
        <w:rPr>
          <w:rFonts w:ascii="Times New Roman" w:eastAsia="Times New Roman" w:hAnsi="Times New Roman" w:cs="Times New Roman"/>
          <w:sz w:val="24"/>
        </w:rPr>
        <w:t xml:space="preserve">, 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 А (уровень достоверности доказательств –</w:t>
      </w:r>
      <w:r>
        <w:t xml:space="preserve"> 1)</w:t>
      </w:r>
      <w:r>
        <w:rPr>
          <w:b w:val="0"/>
        </w:rPr>
        <w:t xml:space="preserve"> </w:t>
      </w:r>
      <w:r>
        <w:rPr>
          <w:rFonts w:ascii="Segoe UI Symbol" w:eastAsia="Segoe UI Symbol" w:hAnsi="Segoe UI Symbol" w:cs="Segoe UI Symbol"/>
          <w:b w:val="0"/>
        </w:rPr>
        <w:t>⎯</w:t>
      </w:r>
      <w:r>
        <w:rPr>
          <w:rFonts w:ascii="Arial" w:eastAsia="Arial" w:hAnsi="Arial" w:cs="Arial"/>
          <w:b w:val="0"/>
        </w:rPr>
        <w:t xml:space="preserve"> </w:t>
      </w:r>
      <w:r>
        <w:rPr>
          <w:b w:val="0"/>
        </w:rPr>
        <w:t>аклидиния бромид, гликопиррония бромид</w:t>
      </w:r>
      <w:r>
        <w:rPr>
          <w:b w:val="0"/>
          <w:sz w:val="22"/>
        </w:rPr>
        <w:t xml:space="preserve"> **</w:t>
      </w:r>
      <w:r>
        <w:rPr>
          <w:b w:val="0"/>
        </w:rPr>
        <w:t xml:space="preserve"> [74-77] (Таблица 7). </w:t>
      </w:r>
      <w:r>
        <w:t>Уровень убедительности рекомендаций А (уровень достоверности доказательств –</w:t>
      </w:r>
      <w:r>
        <w:t xml:space="preserve"> 2)</w:t>
      </w:r>
      <w:r>
        <w:rPr>
          <w:b w:val="0"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Наибольшей доказательной базой среди ДДАХ обладает тиотропия бромид</w:t>
      </w:r>
      <w:r>
        <w:rPr>
          <w:rFonts w:ascii="Times New Roman" w:eastAsia="Times New Roman" w:hAnsi="Times New Roman" w:cs="Times New Roman"/>
        </w:rPr>
        <w:t>**</w:t>
      </w:r>
      <w:r>
        <w:rPr>
          <w:rFonts w:ascii="Times New Roman" w:eastAsia="Times New Roman" w:hAnsi="Times New Roman" w:cs="Times New Roman"/>
          <w:i/>
          <w:sz w:val="24"/>
        </w:rPr>
        <w:t>. Тиотропия бромид</w:t>
      </w:r>
      <w:r>
        <w:rPr>
          <w:rFonts w:ascii="Times New Roman" w:eastAsia="Times New Roman" w:hAnsi="Times New Roman" w:cs="Times New Roman"/>
        </w:rPr>
        <w:t>**</w:t>
      </w:r>
      <w:r>
        <w:rPr>
          <w:rFonts w:ascii="Times New Roman" w:eastAsia="Times New Roman" w:hAnsi="Times New Roman" w:cs="Times New Roman"/>
          <w:i/>
          <w:sz w:val="24"/>
        </w:rPr>
        <w:t xml:space="preserve"> увеличивает легочную функцию, облегчает симптомы, улучшает качество жизни и снижает риск обострений ХОБЛ [72, 73].  Аклидиния бромид и гликопиррония бромид</w:t>
      </w:r>
      <w:r>
        <w:rPr>
          <w:rFonts w:ascii="Times New Roman" w:eastAsia="Times New Roman" w:hAnsi="Times New Roman" w:cs="Times New Roman"/>
          <w:sz w:val="24"/>
        </w:rPr>
        <w:t>**</w:t>
      </w:r>
      <w:r>
        <w:rPr>
          <w:rFonts w:ascii="Times New Roman" w:eastAsia="Times New Roman" w:hAnsi="Times New Roman" w:cs="Times New Roman"/>
          <w:i/>
          <w:sz w:val="24"/>
        </w:rPr>
        <w:t xml:space="preserve"> улучшают</w:t>
      </w:r>
      <w:r>
        <w:rPr>
          <w:rFonts w:ascii="Times New Roman" w:eastAsia="Times New Roman" w:hAnsi="Times New Roman" w:cs="Times New Roman"/>
          <w:i/>
          <w:sz w:val="24"/>
        </w:rPr>
        <w:t xml:space="preserve"> легочную функцию, качество жизни и уменьшают потребность в препаратах для неотложной терапии </w:t>
      </w:r>
    </w:p>
    <w:p w:rsidR="003A0918" w:rsidRDefault="00D87DBB">
      <w:pPr>
        <w:spacing w:after="112"/>
        <w:ind w:left="1851" w:hanging="10"/>
      </w:pPr>
      <w:r>
        <w:rPr>
          <w:rFonts w:ascii="Times New Roman" w:eastAsia="Times New Roman" w:hAnsi="Times New Roman" w:cs="Times New Roman"/>
          <w:i/>
          <w:sz w:val="24"/>
        </w:rPr>
        <w:t xml:space="preserve">[74-77].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В исследованиях продолжительностью до 1 года аклидиния бромид, гликопиррония бромид уменьшали риск обострений ХОБЛ [74, 76], но долгосрочные исследован</w:t>
      </w:r>
      <w:r>
        <w:rPr>
          <w:rFonts w:ascii="Times New Roman" w:eastAsia="Times New Roman" w:hAnsi="Times New Roman" w:cs="Times New Roman"/>
          <w:i/>
          <w:sz w:val="24"/>
        </w:rPr>
        <w:t xml:space="preserve">ия продолжительностью более 1 года, аналогичные исследованиям тиотропия бромида, до настоящего времени не проводились. </w:t>
      </w:r>
    </w:p>
    <w:p w:rsidR="003A0918" w:rsidRDefault="00D87DBB">
      <w:pPr>
        <w:spacing w:after="5" w:line="364" w:lineRule="auto"/>
        <w:ind w:left="185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Ингаляционные антихолинергические средства, как правило, отличаются хорошей переносимостью, и нежелательные явления (НЯ) при их применен</w:t>
      </w:r>
      <w:r>
        <w:rPr>
          <w:rFonts w:ascii="Times New Roman" w:eastAsia="Times New Roman" w:hAnsi="Times New Roman" w:cs="Times New Roman"/>
          <w:sz w:val="24"/>
        </w:rPr>
        <w:t xml:space="preserve">ии возникают относительно редко.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У пациентов с ХОБЛ и сопутствующими сердечно-сосудистыми заболеваниями рекомендуется использование ДДАХ [72,73].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</w:t>
      </w:r>
      <w:r>
        <w:t xml:space="preserve"> B </w:t>
      </w:r>
      <w:r>
        <w:t>(уровень достоверности доказательств –</w:t>
      </w:r>
      <w:r>
        <w:t xml:space="preserve"> 2)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Комментарии: </w:t>
      </w:r>
      <w:r>
        <w:rPr>
          <w:rFonts w:ascii="Times New Roman" w:eastAsia="Times New Roman" w:hAnsi="Times New Roman" w:cs="Times New Roman"/>
          <w:i/>
          <w:sz w:val="24"/>
        </w:rPr>
        <w:t>Высказано подозрение о том, что короткодействующие антихолинергические средства (КДАХ) вызывают НЯ со стороны сердца, применительно к ДДАХ сообщений о повышении частоты НЯ со стороны сердца не получено [</w:t>
      </w:r>
      <w:r>
        <w:rPr>
          <w:rFonts w:ascii="Times New Roman" w:eastAsia="Times New Roman" w:hAnsi="Times New Roman" w:cs="Times New Roman"/>
          <w:sz w:val="24"/>
        </w:rPr>
        <w:t>78</w:t>
      </w:r>
      <w:r>
        <w:rPr>
          <w:rFonts w:ascii="Times New Roman" w:eastAsia="Times New Roman" w:hAnsi="Times New Roman" w:cs="Times New Roman"/>
          <w:i/>
          <w:sz w:val="24"/>
        </w:rPr>
        <w:t>]. В 4-летнем исследовании UPLIFT у пациентов, полу</w:t>
      </w:r>
      <w:r>
        <w:rPr>
          <w:rFonts w:ascii="Times New Roman" w:eastAsia="Times New Roman" w:hAnsi="Times New Roman" w:cs="Times New Roman"/>
          <w:i/>
          <w:sz w:val="24"/>
        </w:rPr>
        <w:t>чавших тиотропия бромид, было достоверно меньше сердечно-сосудистых событий, и общая летальность среди них была меньше, чем в группе плацебо [72]. В исследовании TIOSPIR (средняя продолжительность лечения 2,3 года) тиотропия бромид в виде жидкостных ингаля</w:t>
      </w:r>
      <w:r>
        <w:rPr>
          <w:rFonts w:ascii="Times New Roman" w:eastAsia="Times New Roman" w:hAnsi="Times New Roman" w:cs="Times New Roman"/>
          <w:i/>
          <w:sz w:val="24"/>
        </w:rPr>
        <w:t xml:space="preserve">ций доказал высокую безопасность при отсутствии различий с тиотропия бромидом в порошковом ингаляторе в отношении летальности, серьезных НЯ со стороны сердца и обострений ХОБЛ [73]. </w:t>
      </w:r>
    </w:p>
    <w:p w:rsidR="003A0918" w:rsidRDefault="00D87DBB">
      <w:pPr>
        <w:spacing w:after="5" w:line="364" w:lineRule="auto"/>
        <w:ind w:left="185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Монотерапия ДДБА рекомендуется пациентам в качестве стартовой пациентам с</w:t>
      </w:r>
      <w:r>
        <w:rPr>
          <w:rFonts w:ascii="Times New Roman" w:eastAsia="Times New Roman" w:hAnsi="Times New Roman" w:cs="Times New Roman"/>
          <w:sz w:val="24"/>
        </w:rPr>
        <w:t xml:space="preserve"> с невыраженными симтомами ХОБЛ [1]. </w:t>
      </w:r>
    </w:p>
    <w:p w:rsidR="003A0918" w:rsidRDefault="00D87DBB">
      <w:pPr>
        <w:spacing w:after="30" w:line="356" w:lineRule="auto"/>
        <w:ind w:left="1836" w:right="557" w:hanging="10"/>
        <w:jc w:val="both"/>
      </w:pPr>
      <w:r>
        <w:rPr>
          <w:rFonts w:ascii="Times New Roman" w:eastAsia="Times New Roman" w:hAnsi="Times New Roman" w:cs="Times New Roman"/>
          <w:i/>
          <w:sz w:val="24"/>
          <w:u w:val="single" w:color="000000"/>
        </w:rPr>
        <w:t>Комбинации бронходилататоров (препаратов для лечения обструктивных заболеваний дыхательных путей)</w:t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Пациентам с ХОБЛ с выраженными симптомами в качестве стартовой терапии рекомендуется комбинирование бронходилататоров</w:t>
      </w:r>
      <w:r>
        <w:rPr>
          <w:rFonts w:ascii="Times New Roman" w:eastAsia="Times New Roman" w:hAnsi="Times New Roman" w:cs="Times New Roman"/>
          <w:sz w:val="24"/>
        </w:rPr>
        <w:t xml:space="preserve"> (препараты для лечения обструктивных заболеваний дыхательных путей) с разными механизмами действия с целью достижения большей бронходилатации и облегчения симптомов [79-81]. 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 А (уровень достоверности доказательств –</w:t>
      </w:r>
      <w:r>
        <w:t xml:space="preserve"> 1)</w:t>
      </w:r>
      <w: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</w:t>
      </w:r>
      <w:r>
        <w:rPr>
          <w:rFonts w:ascii="Times New Roman" w:eastAsia="Times New Roman" w:hAnsi="Times New Roman" w:cs="Times New Roman"/>
          <w:sz w:val="24"/>
        </w:rPr>
        <w:t>:</w:t>
      </w:r>
      <w:r>
        <w:rPr>
          <w:rFonts w:ascii="Times New Roman" w:eastAsia="Times New Roman" w:hAnsi="Times New Roman" w:cs="Times New Roman"/>
          <w:i/>
          <w:sz w:val="24"/>
        </w:rPr>
        <w:t xml:space="preserve"> Комбинация ДДАХ с ДДБА улучшает ОФВ</w:t>
      </w:r>
      <w:r>
        <w:rPr>
          <w:rFonts w:ascii="Times New Roman" w:eastAsia="Times New Roman" w:hAnsi="Times New Roman" w:cs="Times New Roman"/>
          <w:i/>
          <w:sz w:val="24"/>
          <w:vertAlign w:val="subscript"/>
        </w:rPr>
        <w:t>1</w:t>
      </w:r>
      <w:r>
        <w:rPr>
          <w:rFonts w:ascii="Times New Roman" w:eastAsia="Times New Roman" w:hAnsi="Times New Roman" w:cs="Times New Roman"/>
          <w:i/>
          <w:sz w:val="24"/>
        </w:rPr>
        <w:t xml:space="preserve"> в большей степени, чем любой из монокомпонентов [79, 80].  </w:t>
      </w:r>
    </w:p>
    <w:p w:rsidR="003A0918" w:rsidRDefault="00D87DBB">
      <w:pPr>
        <w:spacing w:after="5" w:line="364" w:lineRule="auto"/>
        <w:ind w:left="185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Для лечения ХОБЛ рекомендуется использование фиксированных комбинаций ДДАХ/ДДБА: умеклидиния бромид+вилантерол</w:t>
      </w:r>
      <w:r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  <w:sz w:val="24"/>
        </w:rPr>
        <w:t>гликопиррония бро-</w:t>
      </w:r>
    </w:p>
    <w:p w:rsidR="003A0918" w:rsidRDefault="00D87DBB">
      <w:pPr>
        <w:spacing w:after="115"/>
        <w:ind w:left="185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мид+индакатер</w:t>
      </w:r>
      <w:r>
        <w:rPr>
          <w:rFonts w:ascii="Times New Roman" w:eastAsia="Times New Roman" w:hAnsi="Times New Roman" w:cs="Times New Roman"/>
          <w:sz w:val="24"/>
        </w:rPr>
        <w:t xml:space="preserve">ол, тиотропия бромид+олодатерол, аклидиния бромид+формотерол </w:t>
      </w:r>
    </w:p>
    <w:p w:rsidR="003A0918" w:rsidRDefault="00D87DBB">
      <w:pPr>
        <w:spacing w:after="113"/>
        <w:ind w:left="1851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[82-90].  </w:t>
      </w:r>
    </w:p>
    <w:p w:rsidR="003A0918" w:rsidRDefault="00D87DBB">
      <w:pPr>
        <w:pStyle w:val="Heading3"/>
        <w:ind w:left="1848" w:right="551"/>
      </w:pPr>
      <w:r>
        <w:t xml:space="preserve">Уровень убедительности рекомендаций </w:t>
      </w:r>
      <w:r>
        <w:t xml:space="preserve">B </w:t>
      </w:r>
      <w:r>
        <w:t>(уровень достоверности доказа-</w:t>
      </w:r>
    </w:p>
    <w:p w:rsidR="003A0918" w:rsidRDefault="00D87DBB">
      <w:pPr>
        <w:spacing w:after="125" w:line="249" w:lineRule="auto"/>
        <w:ind w:left="1848" w:right="551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тельств – 1).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</w:t>
      </w:r>
      <w:r>
        <w:rPr>
          <w:rFonts w:ascii="Times New Roman" w:eastAsia="Times New Roman" w:hAnsi="Times New Roman" w:cs="Times New Roman"/>
          <w:sz w:val="24"/>
        </w:rPr>
        <w:t>:</w:t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Данные комбинации показали преимущество перед плацебо и своими монокомпонентами по влиянию на минимальный ОФВ</w:t>
      </w:r>
      <w:r>
        <w:rPr>
          <w:rFonts w:ascii="Times New Roman" w:eastAsia="Times New Roman" w:hAnsi="Times New Roman" w:cs="Times New Roman"/>
          <w:i/>
          <w:sz w:val="24"/>
          <w:vertAlign w:val="subscript"/>
        </w:rPr>
        <w:t>1</w:t>
      </w:r>
      <w:r>
        <w:rPr>
          <w:rFonts w:ascii="Times New Roman" w:eastAsia="Times New Roman" w:hAnsi="Times New Roman" w:cs="Times New Roman"/>
          <w:i/>
          <w:sz w:val="24"/>
        </w:rPr>
        <w:t>, одышку и качество жизни, не уступая им по безопасности [83-90]. При сравнении с тиотропия бромидом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i/>
          <w:sz w:val="24"/>
        </w:rPr>
        <w:t xml:space="preserve"> все комбинации ДДАХ/ДДБА показали свое преим</w:t>
      </w:r>
      <w:r>
        <w:rPr>
          <w:rFonts w:ascii="Times New Roman" w:eastAsia="Times New Roman" w:hAnsi="Times New Roman" w:cs="Times New Roman"/>
          <w:i/>
          <w:sz w:val="24"/>
        </w:rPr>
        <w:t xml:space="preserve">ущество по действию на легочную функцию и качество жизни. По влиянию на легочнцю гиперинфляцию (ЛГИ) только тиотропия бромид+олодатерол достоверно превосходил монотерапию тиотропия бромидом [90]. 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При этом комбинации ДДАХ/ДДБА не продемонстрировали преиму</w:t>
      </w:r>
      <w:r>
        <w:rPr>
          <w:rFonts w:ascii="Times New Roman" w:eastAsia="Times New Roman" w:hAnsi="Times New Roman" w:cs="Times New Roman"/>
          <w:i/>
          <w:sz w:val="24"/>
        </w:rPr>
        <w:t xml:space="preserve">ществ перед монотерапией тиотропия бромидом по влиянию на риск среднетяжелых/тяжелых обострений ХОБЛ [83, 88, 91]. </w:t>
      </w:r>
    </w:p>
    <w:p w:rsidR="003A0918" w:rsidRDefault="00D87DBB">
      <w:pPr>
        <w:spacing w:after="1" w:line="357" w:lineRule="auto"/>
        <w:ind w:left="1836" w:right="557" w:hanging="10"/>
        <w:jc w:val="both"/>
      </w:pPr>
      <w:r>
        <w:rPr>
          <w:rFonts w:ascii="Times New Roman" w:eastAsia="Times New Roman" w:hAnsi="Times New Roman" w:cs="Times New Roman"/>
          <w:i/>
          <w:sz w:val="24"/>
          <w:u w:val="single" w:color="000000"/>
        </w:rPr>
        <w:t>Комбинации ингаляционных кортикостероидов и длительнолействующих бронходилататоров (ИГКС/ДДАХ/ДДБА - препаратов для лечения обструктивных за</w:t>
      </w:r>
      <w:r>
        <w:rPr>
          <w:rFonts w:ascii="Times New Roman" w:eastAsia="Times New Roman" w:hAnsi="Times New Roman" w:cs="Times New Roman"/>
          <w:i/>
          <w:sz w:val="24"/>
          <w:u w:val="single" w:color="000000"/>
        </w:rPr>
        <w:t>болеваний дыхательных путей)</w:t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3A0918" w:rsidRDefault="00D87DBB">
      <w:pPr>
        <w:spacing w:after="5" w:line="364" w:lineRule="auto"/>
        <w:ind w:left="185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При наличии показаний для назначения ИГКС необходимо отдавать предпочтение фиксированнным комбинациям ИГКС/ДДАХ/ДДБА, доказавшие преимущества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по сравнению с ИГКС/ДДБА [1]. </w:t>
      </w:r>
    </w:p>
    <w:p w:rsidR="003A0918" w:rsidRDefault="00D87DBB">
      <w:pPr>
        <w:spacing w:after="5" w:line="364" w:lineRule="auto"/>
        <w:ind w:left="185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Перед началом терапии ИГКС/ДДАХ/ДДБА </w:t>
      </w:r>
      <w:r>
        <w:rPr>
          <w:rFonts w:ascii="Times New Roman" w:eastAsia="Times New Roman" w:hAnsi="Times New Roman" w:cs="Times New Roman"/>
          <w:sz w:val="24"/>
        </w:rPr>
        <w:t xml:space="preserve">проведите клинический анализ, чтобы убедиться, что: </w:t>
      </w:r>
    </w:p>
    <w:p w:rsidR="003A0918" w:rsidRDefault="00D87DBB">
      <w:pPr>
        <w:numPr>
          <w:ilvl w:val="0"/>
          <w:numId w:val="15"/>
        </w:numPr>
        <w:spacing w:after="5" w:line="364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оптимизируется немедикаментозное лечение ХОБЛ у больных, включая, ссли требуется, лечение табачной зависимости пациента; </w:t>
      </w:r>
    </w:p>
    <w:p w:rsidR="003A0918" w:rsidRDefault="00D87DBB">
      <w:pPr>
        <w:numPr>
          <w:ilvl w:val="0"/>
          <w:numId w:val="15"/>
        </w:numPr>
        <w:spacing w:after="5" w:line="364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>острые эпизоды ухудшения симптомов вызваны обострением ХОБЛ, а не другими заболев</w:t>
      </w:r>
      <w:r>
        <w:rPr>
          <w:rFonts w:ascii="Times New Roman" w:eastAsia="Times New Roman" w:hAnsi="Times New Roman" w:cs="Times New Roman"/>
          <w:sz w:val="24"/>
        </w:rPr>
        <w:t xml:space="preserve">аниями или состояниями; </w:t>
      </w:r>
    </w:p>
    <w:p w:rsidR="003A0918" w:rsidRDefault="00D87DBB">
      <w:pPr>
        <w:numPr>
          <w:ilvl w:val="0"/>
          <w:numId w:val="15"/>
        </w:numPr>
        <w:spacing w:after="5" w:line="364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повседневные симптомы, отрицательно влияющие на качество жизни, вызваны ХОБЛ, а не другими заболеваними или состояниями; </w:t>
      </w:r>
    </w:p>
    <w:p w:rsidR="003A0918" w:rsidRDefault="00D87DBB">
      <w:pPr>
        <w:numPr>
          <w:ilvl w:val="0"/>
          <w:numId w:val="15"/>
        </w:numPr>
        <w:spacing w:after="5" w:line="364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>терапия с использованием одного ингалятора может быть более удобной и эффективной, чем терапия несколькими ин</w:t>
      </w:r>
      <w:r>
        <w:rPr>
          <w:rFonts w:ascii="Times New Roman" w:eastAsia="Times New Roman" w:hAnsi="Times New Roman" w:cs="Times New Roman"/>
          <w:sz w:val="24"/>
        </w:rPr>
        <w:t xml:space="preserve">галяторами. </w:t>
      </w:r>
    </w:p>
    <w:p w:rsidR="003A0918" w:rsidRDefault="00D87DBB">
      <w:pPr>
        <w:spacing w:after="7" w:line="355" w:lineRule="auto"/>
        <w:ind w:left="1133" w:right="560" w:firstLine="634"/>
        <w:jc w:val="both"/>
      </w:pPr>
      <w:r>
        <w:rPr>
          <w:rFonts w:ascii="Times New Roman" w:eastAsia="Times New Roman" w:hAnsi="Times New Roman" w:cs="Times New Roman"/>
          <w:sz w:val="24"/>
        </w:rPr>
        <w:t>В Российской Федерации зарегистрированы три фиксированные комбинации ИГКС/ДДАХ/ДДБА (</w:t>
      </w:r>
      <w:r>
        <w:rPr>
          <w:rFonts w:ascii="Times New Roman" w:eastAsia="Times New Roman" w:hAnsi="Times New Roman" w:cs="Times New Roman"/>
          <w:i/>
          <w:sz w:val="24"/>
        </w:rPr>
        <w:t>флутиказона фуроат+умеклидиния бромид+вилантерол, будесонид+гликопиррония бромид+формотерол и беклометазон+гликопиррония бромид+формотерол</w:t>
      </w:r>
      <w:r>
        <w:rPr>
          <w:rFonts w:ascii="Times New Roman" w:eastAsia="Times New Roman" w:hAnsi="Times New Roman" w:cs="Times New Roman"/>
          <w:sz w:val="24"/>
        </w:rPr>
        <w:t xml:space="preserve">). 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Тройная терапия в едином ингаляторе продемонстрировала достоверное преимущество по влиянию на частоту среднетяжелых/тяжелых обострений, улучшение функциональных показателей и снижение выраженности симптомов в сравнении, как с двухкомпонентной бронходилатац</w:t>
      </w:r>
      <w:r>
        <w:rPr>
          <w:rFonts w:ascii="Times New Roman" w:eastAsia="Times New Roman" w:hAnsi="Times New Roman" w:cs="Times New Roman"/>
          <w:sz w:val="24"/>
        </w:rPr>
        <w:t xml:space="preserve">ией, так и по сравнению с применением комбинации ИГКС/ДДБА </w:t>
      </w:r>
    </w:p>
    <w:p w:rsidR="003A0918" w:rsidRDefault="00D87DBB">
      <w:pPr>
        <w:spacing w:after="124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[56, 57, 60].  </w:t>
      </w:r>
    </w:p>
    <w:p w:rsidR="003A0918" w:rsidRDefault="00D87DBB">
      <w:pPr>
        <w:numPr>
          <w:ilvl w:val="0"/>
          <w:numId w:val="15"/>
        </w:numPr>
        <w:spacing w:after="7" w:line="355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Комментарии: </w:t>
      </w:r>
      <w:r>
        <w:rPr>
          <w:rFonts w:ascii="Times New Roman" w:eastAsia="Times New Roman" w:hAnsi="Times New Roman" w:cs="Times New Roman"/>
          <w:i/>
          <w:sz w:val="24"/>
        </w:rPr>
        <w:t>Для пациентов с ХОБЛ без признаков БА, которые получают терапию ИГКС/ДДБА и имеют хороший контроль симптомов и обострений, может быть продолжена терапия ИГКС/ДДБА [1].</w:t>
      </w:r>
      <w:r>
        <w:rPr>
          <w:rFonts w:ascii="Times New Roman" w:eastAsia="Times New Roman" w:hAnsi="Times New Roman" w:cs="Times New Roman"/>
          <w:i/>
          <w:sz w:val="24"/>
        </w:rPr>
        <w:t xml:space="preserve"> Согласно международным рекомендациям по лечению ХОБЛ, порогом, определяющим чувствительность к ИГКС, является содержание эозинофилов периферической крови 100 клеток в 1 мкл. При значениях эозинофилии крови в пределах 100-300 клеток в 1 мкл назначение ИГКС</w:t>
      </w:r>
      <w:r>
        <w:rPr>
          <w:rFonts w:ascii="Times New Roman" w:eastAsia="Times New Roman" w:hAnsi="Times New Roman" w:cs="Times New Roman"/>
          <w:i/>
          <w:sz w:val="24"/>
        </w:rPr>
        <w:t xml:space="preserve"> возможно, а при содержании эозинофилов свыше 300 клеток в 1 мкл – рекомендовано [1]. Взаимосвязь между эффектами уровня эозинофилии крови и ИГКС постоянна; отсутствие или незначительные эффекты наблюдаются при более низких значениях ЭОЗ, с усилением эффек</w:t>
      </w:r>
      <w:r>
        <w:rPr>
          <w:rFonts w:ascii="Times New Roman" w:eastAsia="Times New Roman" w:hAnsi="Times New Roman" w:cs="Times New Roman"/>
          <w:i/>
          <w:sz w:val="24"/>
        </w:rPr>
        <w:t>тов при более высоких значениях эозинофилов. Пациенты с инфекционными обострениями и/или при содержании эозинофилов менее 100 кл/мкл, возвращаются к терапии ДДАХ/ДДБА, рассматривается вопрос о назначении муколитичексих препратов, рофлумиласта, азитромицина</w:t>
      </w:r>
      <w:r>
        <w:rPr>
          <w:rFonts w:ascii="Times New Roman" w:eastAsia="Times New Roman" w:hAnsi="Times New Roman" w:cs="Times New Roman"/>
          <w:i/>
          <w:sz w:val="24"/>
        </w:rPr>
        <w:t xml:space="preserve">. При повторяющихся обострениях и/или содержании эозинофилов ≥ 100 кл/мкл </w:t>
      </w:r>
      <w:r>
        <w:rPr>
          <w:rFonts w:ascii="Times New Roman" w:eastAsia="Times New Roman" w:hAnsi="Times New Roman" w:cs="Times New Roman"/>
          <w:i/>
          <w:color w:val="0E0E0E"/>
          <w:sz w:val="24"/>
          <w:shd w:val="clear" w:color="auto" w:fill="F7F4F1"/>
        </w:rPr>
        <w:t>рекомендуется</w:t>
      </w:r>
      <w:r>
        <w:rPr>
          <w:rFonts w:ascii="Times New Roman" w:eastAsia="Times New Roman" w:hAnsi="Times New Roman" w:cs="Times New Roman"/>
          <w:i/>
          <w:color w:val="0E0E0E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color w:val="0E0E0E"/>
          <w:sz w:val="24"/>
          <w:shd w:val="clear" w:color="auto" w:fill="F7F4F1"/>
        </w:rPr>
        <w:t>продолжить</w:t>
      </w:r>
      <w:r>
        <w:rPr>
          <w:rFonts w:ascii="Times New Roman" w:eastAsia="Times New Roman" w:hAnsi="Times New Roman" w:cs="Times New Roman"/>
          <w:i/>
          <w:sz w:val="24"/>
        </w:rPr>
        <w:t xml:space="preserve"> терапию ИГКС/ДДАХ/ДДБА. Пересмотр базисной терапии необходимо проводить не реже одного раза в год, подтверждая ее обоснование. При этом, к</w:t>
      </w:r>
      <w:r>
        <w:rPr>
          <w:rFonts w:ascii="Times New Roman" w:eastAsia="Times New Roman" w:hAnsi="Times New Roman" w:cs="Times New Roman"/>
          <w:color w:val="666666"/>
          <w:sz w:val="24"/>
        </w:rPr>
        <w:t>оличество эозинофил</w:t>
      </w:r>
      <w:r>
        <w:rPr>
          <w:rFonts w:ascii="Times New Roman" w:eastAsia="Times New Roman" w:hAnsi="Times New Roman" w:cs="Times New Roman"/>
          <w:color w:val="666666"/>
          <w:sz w:val="24"/>
        </w:rPr>
        <w:t>ов в крови</w:t>
      </w:r>
      <w:r>
        <w:rPr>
          <w:rFonts w:ascii="Times New Roman" w:eastAsia="Times New Roman" w:hAnsi="Times New Roman" w:cs="Times New Roman"/>
          <w:i/>
          <w:sz w:val="24"/>
        </w:rPr>
        <w:t xml:space="preserve"> нельзя использовать в качестве самостоятельного биомаркера без учета риска обострения заболевания и риска побочных эффектов ИГКС [92].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Ответ пациентов с ХОБЛ на лечение ИГКС невозможно прогнозировать на основании ответа на лечение пероральными </w:t>
      </w:r>
      <w:r>
        <w:rPr>
          <w:rFonts w:ascii="Times New Roman" w:eastAsia="Times New Roman" w:hAnsi="Times New Roman" w:cs="Times New Roman"/>
          <w:sz w:val="24"/>
        </w:rPr>
        <w:t xml:space="preserve">ГКС [93, 94]. 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Нежелательные эффекты ИГКС включают кандидоз полости рта и осиплость голоса. Имеются доказательства повышенного риска пневмонии, остеопороза и переломов при использовании ИГКС и комбинаций ИГКС/ДДАХ/ДДБА. Риск пневмонии у пациентов с ХОБЛ -</w:t>
      </w:r>
      <w:r>
        <w:rPr>
          <w:rFonts w:ascii="Times New Roman" w:eastAsia="Times New Roman" w:hAnsi="Times New Roman" w:cs="Times New Roman"/>
          <w:sz w:val="24"/>
        </w:rPr>
        <w:t xml:space="preserve"> это класс-эффект ИГКС, проявляющийся при применении различных препаратов этой группы [95]. Начало лечения ИГКС сопровождалось повышенным риском развития сахарного диабета у пациентов с респираторной патологией [96]. 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При БА лечебные и нежелательные эффек</w:t>
      </w:r>
      <w:r>
        <w:rPr>
          <w:rFonts w:ascii="Times New Roman" w:eastAsia="Times New Roman" w:hAnsi="Times New Roman" w:cs="Times New Roman"/>
          <w:sz w:val="24"/>
        </w:rPr>
        <w:t>ты ИГКС зависят от используемой дозы, при ХОБЛ существует сходная тенденция [97]. В долгосрочных исследованиях предыдущего десятилетия использовались средние и высокие дозы ИГКС [98], однако в исследованиях последних лет для поддерживающей терапии пациенто</w:t>
      </w:r>
      <w:r>
        <w:rPr>
          <w:rFonts w:ascii="Times New Roman" w:eastAsia="Times New Roman" w:hAnsi="Times New Roman" w:cs="Times New Roman"/>
          <w:sz w:val="24"/>
        </w:rPr>
        <w:t>в с ХОБЛ чаще применяются низкие дозы ИГКС, что более рационально с точки зрения соотношения эффективность/безопасность [57, 59, 99]. При использовании экстрамелкодисперсных ИГКС (MMAD &lt;2 мкм) риск развития пневмонии по сравнению ИГКС с MMAD 2-4 мкм достов</w:t>
      </w:r>
      <w:r>
        <w:rPr>
          <w:rFonts w:ascii="Times New Roman" w:eastAsia="Times New Roman" w:hAnsi="Times New Roman" w:cs="Times New Roman"/>
          <w:sz w:val="24"/>
        </w:rPr>
        <w:t xml:space="preserve">ерно уменьшается на 40% (р=0,011) [100]. 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 мета-анализе с использованием данных 4 рандомизированных клинических исследований с участием 21 809 пациентов с ХОБЛ показано, что комбинация </w:t>
      </w:r>
      <w:r>
        <w:rPr>
          <w:rFonts w:ascii="Times New Roman" w:eastAsia="Times New Roman" w:hAnsi="Times New Roman" w:cs="Times New Roman"/>
          <w:i/>
          <w:sz w:val="24"/>
        </w:rPr>
        <w:t>флутиказона фуроат+умеклидиниум бромид</w:t>
      </w:r>
      <w:r>
        <w:rPr>
          <w:rFonts w:ascii="Times New Roman" w:eastAsia="Times New Roman" w:hAnsi="Times New Roman" w:cs="Times New Roman"/>
          <w:sz w:val="24"/>
        </w:rPr>
        <w:t>+</w:t>
      </w:r>
      <w:r>
        <w:rPr>
          <w:rFonts w:ascii="Times New Roman" w:eastAsia="Times New Roman" w:hAnsi="Times New Roman" w:cs="Times New Roman"/>
          <w:i/>
          <w:sz w:val="24"/>
        </w:rPr>
        <w:t>вилантерол</w:t>
      </w:r>
      <w:r>
        <w:rPr>
          <w:rFonts w:ascii="Times New Roman" w:eastAsia="Times New Roman" w:hAnsi="Times New Roman" w:cs="Times New Roman"/>
          <w:sz w:val="24"/>
        </w:rPr>
        <w:t xml:space="preserve"> имеет лучший профил</w:t>
      </w:r>
      <w:r>
        <w:rPr>
          <w:rFonts w:ascii="Times New Roman" w:eastAsia="Times New Roman" w:hAnsi="Times New Roman" w:cs="Times New Roman"/>
          <w:sz w:val="24"/>
        </w:rPr>
        <w:t xml:space="preserve">ь эффективности по сравнению с комбинациями </w:t>
      </w:r>
      <w:r>
        <w:rPr>
          <w:rFonts w:ascii="Times New Roman" w:eastAsia="Times New Roman" w:hAnsi="Times New Roman" w:cs="Times New Roman"/>
          <w:i/>
          <w:sz w:val="24"/>
        </w:rPr>
        <w:t>будесонид+гликопиррониум бромид+формотерол и беклометазон+гликопиррониум бромид+формотерол</w:t>
      </w:r>
      <w:r>
        <w:rPr>
          <w:rFonts w:ascii="Times New Roman" w:eastAsia="Times New Roman" w:hAnsi="Times New Roman" w:cs="Times New Roman"/>
          <w:sz w:val="24"/>
        </w:rPr>
        <w:t xml:space="preserve">, однако, лучшим комбинированным профилем эффективности/безопасности характеризовалась комбинация </w:t>
      </w:r>
      <w:r>
        <w:rPr>
          <w:rFonts w:ascii="Times New Roman" w:eastAsia="Times New Roman" w:hAnsi="Times New Roman" w:cs="Times New Roman"/>
          <w:i/>
          <w:sz w:val="24"/>
        </w:rPr>
        <w:t>беклометазон+гликопиррон</w:t>
      </w:r>
      <w:r>
        <w:rPr>
          <w:rFonts w:ascii="Times New Roman" w:eastAsia="Times New Roman" w:hAnsi="Times New Roman" w:cs="Times New Roman"/>
          <w:i/>
          <w:sz w:val="24"/>
        </w:rPr>
        <w:t>иум бромид+формотерол</w:t>
      </w:r>
      <w:r>
        <w:rPr>
          <w:rFonts w:ascii="Times New Roman" w:eastAsia="Times New Roman" w:hAnsi="Times New Roman" w:cs="Times New Roman"/>
          <w:sz w:val="24"/>
        </w:rPr>
        <w:t xml:space="preserve"> с экстрамелкодисперсной формой доставки ИГКС [101, 102]. </w:t>
      </w:r>
    </w:p>
    <w:p w:rsidR="003A0918" w:rsidRDefault="00D87DBB">
      <w:pPr>
        <w:spacing w:after="7" w:line="355" w:lineRule="auto"/>
        <w:ind w:left="1143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Комментарий: </w:t>
      </w:r>
      <w:r>
        <w:rPr>
          <w:rFonts w:ascii="Times New Roman" w:eastAsia="Times New Roman" w:hAnsi="Times New Roman" w:cs="Times New Roman"/>
          <w:i/>
          <w:sz w:val="24"/>
        </w:rPr>
        <w:t xml:space="preserve">Результаты данного мета-анализа не согласовываются с другими 4 сетевыми мета-анализами, говорящими о сопоставимой эффективности трехкомпонентной терапии у больных </w:t>
      </w:r>
      <w:r>
        <w:rPr>
          <w:rFonts w:ascii="Times New Roman" w:eastAsia="Times New Roman" w:hAnsi="Times New Roman" w:cs="Times New Roman"/>
          <w:i/>
          <w:sz w:val="24"/>
        </w:rPr>
        <w:t>с ХОБЛ по влиянию на частоту обострений [56].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 настоящее время трехкомпонентная терапия фиксированной комбинации ИГКС/ДДАХ/ДДБА является единственной фармакотерапией, показавшей снижение смертности при ХОБЛ в клинических исследованиях [58-60]. </w:t>
      </w:r>
    </w:p>
    <w:p w:rsidR="003A0918" w:rsidRDefault="00D87DBB">
      <w:pPr>
        <w:spacing w:after="7" w:line="355" w:lineRule="auto"/>
        <w:ind w:left="1143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</w:t>
      </w:r>
      <w:r>
        <w:rPr>
          <w:rFonts w:ascii="Times New Roman" w:eastAsia="Times New Roman" w:hAnsi="Times New Roman" w:cs="Times New Roman"/>
          <w:b/>
          <w:sz w:val="24"/>
        </w:rPr>
        <w:t xml:space="preserve">ии: </w:t>
      </w:r>
      <w:r>
        <w:rPr>
          <w:rFonts w:ascii="Times New Roman" w:eastAsia="Times New Roman" w:hAnsi="Times New Roman" w:cs="Times New Roman"/>
          <w:i/>
          <w:sz w:val="24"/>
        </w:rPr>
        <w:t>Два больших одногодичных рандомизированных контролируемых исследования (IMРACT и ETHOS) представили достоверные доказательства снижения смертности при ХОБЛ в результате лечения фиксированными тройными комбинациями флутиказона фуроат+умеклидиния бромид+</w:t>
      </w:r>
      <w:r>
        <w:rPr>
          <w:rFonts w:ascii="Times New Roman" w:eastAsia="Times New Roman" w:hAnsi="Times New Roman" w:cs="Times New Roman"/>
          <w:i/>
          <w:sz w:val="24"/>
        </w:rPr>
        <w:t xml:space="preserve">вилантерол и будесонид+гликопиррониум бромид+формотерол по сранению с фиксированными двойными комбинациями умеклидиния бромид+вилантерол на 28% и в сравнениии с </w:t>
      </w:r>
      <w:r>
        <w:rPr>
          <w:rFonts w:ascii="Times New Roman" w:eastAsia="Times New Roman" w:hAnsi="Times New Roman" w:cs="Times New Roman"/>
          <w:i/>
          <w:color w:val="212121"/>
          <w:sz w:val="24"/>
        </w:rPr>
        <w:t xml:space="preserve">гликопиррониумом бромидом+формотерол на </w:t>
      </w:r>
      <w:r>
        <w:rPr>
          <w:rFonts w:ascii="Times New Roman" w:eastAsia="Times New Roman" w:hAnsi="Times New Roman" w:cs="Times New Roman"/>
          <w:i/>
          <w:sz w:val="24"/>
        </w:rPr>
        <w:t>49%, соответственно [58, 59]. Результаты совокупного ан</w:t>
      </w:r>
      <w:r>
        <w:rPr>
          <w:rFonts w:ascii="Times New Roman" w:eastAsia="Times New Roman" w:hAnsi="Times New Roman" w:cs="Times New Roman"/>
          <w:i/>
          <w:sz w:val="24"/>
        </w:rPr>
        <w:t>ализа данных исследований TRILOGY, TRINITY и TRIBUTE показали численное (без достижения уровня статистической значимости) снижение общего количества смертельных исходов у больных ХОБЛ в результате одногодичной терапии беклометазон +гликопиррониум бромид+фо</w:t>
      </w:r>
      <w:r>
        <w:rPr>
          <w:rFonts w:ascii="Times New Roman" w:eastAsia="Times New Roman" w:hAnsi="Times New Roman" w:cs="Times New Roman"/>
          <w:i/>
          <w:sz w:val="24"/>
        </w:rPr>
        <w:t xml:space="preserve">рмотерол  от нереспираторных (в основном кардиологических) причин на 35% (р=0,037) по сравнению с монотерапией тиотропиум бромида и индакатерол+гликопиррониум бромид+индакатерол [60]. 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Доказательства, подтверждающие снижение смертности при проведении фармакотерапии и немедикаментозного лечения у пациентов с ХОБЛ (приложение Б.5).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Пациентам с невыраженными симптомами  ХОБЛ,  высоким риском обострений и без эозинофилии крови рекомендуется</w:t>
      </w:r>
      <w:r>
        <w:rPr>
          <w:rFonts w:ascii="Times New Roman" w:eastAsia="Times New Roman" w:hAnsi="Times New Roman" w:cs="Times New Roman"/>
          <w:sz w:val="24"/>
        </w:rPr>
        <w:t xml:space="preserve"> назначать ДДАХ/ДДБА [1, 103]. </w:t>
      </w:r>
    </w:p>
    <w:p w:rsidR="003A0918" w:rsidRDefault="00D87DBB">
      <w:pPr>
        <w:pStyle w:val="Heading3"/>
        <w:ind w:left="1848" w:right="551"/>
      </w:pPr>
      <w:r>
        <w:t xml:space="preserve">Уровень убедительности рекомендаций </w:t>
      </w:r>
      <w:r>
        <w:t xml:space="preserve">A </w:t>
      </w:r>
      <w:r>
        <w:t>(уровень достоверности доказательств –</w:t>
      </w:r>
      <w:r>
        <w:t xml:space="preserve"> 2) 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Комментарии: </w:t>
      </w:r>
      <w:r>
        <w:rPr>
          <w:rFonts w:ascii="Times New Roman" w:eastAsia="Times New Roman" w:hAnsi="Times New Roman" w:cs="Times New Roman"/>
          <w:i/>
          <w:sz w:val="24"/>
        </w:rPr>
        <w:t xml:space="preserve">Пациентам с ХОБЛ со сниженной функцией легких и отсутствием повторных обострений в анамнезе не рекомендуется </w:t>
      </w:r>
      <w:r>
        <w:rPr>
          <w:rFonts w:ascii="Times New Roman" w:eastAsia="Times New Roman" w:hAnsi="Times New Roman" w:cs="Times New Roman"/>
          <w:i/>
          <w:sz w:val="24"/>
        </w:rPr>
        <w:t>использование ИГКС [97].</w:t>
      </w:r>
      <w:r>
        <w:rPr>
          <w:rFonts w:ascii="Times New Roman" w:eastAsia="Times New Roman" w:hAnsi="Times New Roman" w:cs="Times New Roman"/>
          <w:sz w:val="24"/>
        </w:rPr>
        <w:t xml:space="preserve"> 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 В</w:t>
      </w:r>
      <w:r>
        <w:t xml:space="preserve"> </w:t>
      </w:r>
      <w:r>
        <w:t>(уровень достоверности доказательств –</w:t>
      </w:r>
      <w:r>
        <w:t xml:space="preserve"> 1)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Терапия комбинациями ИГКС/ДДБА не влияет на скорость снижения ОФВ</w:t>
      </w:r>
      <w:r>
        <w:rPr>
          <w:rFonts w:ascii="Times New Roman" w:eastAsia="Times New Roman" w:hAnsi="Times New Roman" w:cs="Times New Roman"/>
          <w:i/>
          <w:sz w:val="24"/>
          <w:vertAlign w:val="subscript"/>
        </w:rPr>
        <w:t>1</w:t>
      </w:r>
      <w:r>
        <w:rPr>
          <w:rFonts w:ascii="Times New Roman" w:eastAsia="Times New Roman" w:hAnsi="Times New Roman" w:cs="Times New Roman"/>
          <w:i/>
          <w:sz w:val="24"/>
        </w:rPr>
        <w:t xml:space="preserve"> и на летальность при ХОБЛ [100, 104, 105].</w:t>
      </w:r>
      <w:r>
        <w:rPr>
          <w:rFonts w:ascii="Times New Roman" w:eastAsia="Times New Roman" w:hAnsi="Times New Roman" w:cs="Times New Roman"/>
          <w:sz w:val="24"/>
        </w:rPr>
        <w:t xml:space="preserve">  </w:t>
      </w:r>
    </w:p>
    <w:p w:rsidR="003A0918" w:rsidRDefault="00D87DBB">
      <w:pPr>
        <w:pStyle w:val="Heading3"/>
        <w:ind w:left="1848" w:right="551"/>
      </w:pPr>
      <w:r>
        <w:t>Рофлумиласт</w:t>
      </w:r>
      <w: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Рофлумилас</w:t>
      </w:r>
      <w:r>
        <w:rPr>
          <w:rFonts w:ascii="Times New Roman" w:eastAsia="Times New Roman" w:hAnsi="Times New Roman" w:cs="Times New Roman"/>
          <w:sz w:val="24"/>
        </w:rPr>
        <w:t xml:space="preserve">т подавляет связанную с ХОБЛ воспалительную реакцию посредством ингибирования фермента фосфодиэстеразы-4 и повышения внутриклеточного содержания циклического аденозинмонофосфата. 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Рофлумиласт рекомендуется назначать пациентам с ХОБЛ с ОФВ</w:t>
      </w:r>
      <w:r>
        <w:rPr>
          <w:rFonts w:ascii="Times New Roman" w:eastAsia="Times New Roman" w:hAnsi="Times New Roman" w:cs="Times New Roman"/>
          <w:sz w:val="24"/>
          <w:vertAlign w:val="subscript"/>
        </w:rPr>
        <w:t>1</w:t>
      </w:r>
      <w:r>
        <w:rPr>
          <w:rFonts w:ascii="Times New Roman" w:eastAsia="Times New Roman" w:hAnsi="Times New Roman" w:cs="Times New Roman"/>
          <w:sz w:val="24"/>
        </w:rPr>
        <w:t xml:space="preserve"> &lt; 50% от долж</w:t>
      </w:r>
      <w:r>
        <w:rPr>
          <w:rFonts w:ascii="Times New Roman" w:eastAsia="Times New Roman" w:hAnsi="Times New Roman" w:cs="Times New Roman"/>
          <w:sz w:val="24"/>
        </w:rPr>
        <w:t xml:space="preserve">ного, с хроническим бронхитом и частыми обострениями, несмотря на применение ДДБД для уменьшения частоты среднетяжелых и тяжелых обострений [106, 107]. </w:t>
      </w:r>
    </w:p>
    <w:p w:rsidR="003A0918" w:rsidRDefault="00D87DBB">
      <w:pPr>
        <w:pStyle w:val="Heading3"/>
        <w:spacing w:after="171"/>
        <w:ind w:left="1848" w:right="551"/>
      </w:pPr>
      <w:r>
        <w:t>Уровень убедительности рекомендаций А</w:t>
      </w:r>
      <w:r>
        <w:t xml:space="preserve"> </w:t>
      </w:r>
      <w:r>
        <w:t>(уровень достоверности доказательств –</w:t>
      </w:r>
      <w:r>
        <w:t xml:space="preserve"> 1)</w:t>
      </w:r>
      <w:r>
        <w:rPr>
          <w:b w:val="0"/>
        </w:rPr>
        <w:t xml:space="preserve"> </w:t>
      </w:r>
    </w:p>
    <w:p w:rsidR="003A0918" w:rsidRDefault="00D87DBB">
      <w:pPr>
        <w:tabs>
          <w:tab w:val="center" w:pos="1188"/>
          <w:tab w:val="center" w:pos="6192"/>
        </w:tabs>
        <w:spacing w:after="74"/>
      </w:pPr>
      <w:r>
        <w:tab/>
      </w: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ab/>
      </w:r>
      <w:r>
        <w:rPr>
          <w:rFonts w:ascii="Times New Roman" w:eastAsia="Times New Roman" w:hAnsi="Times New Roman" w:cs="Times New Roman"/>
          <w:sz w:val="24"/>
        </w:rPr>
        <w:t>Рофлумиласт не рек</w:t>
      </w:r>
      <w:r>
        <w:rPr>
          <w:rFonts w:ascii="Times New Roman" w:eastAsia="Times New Roman" w:hAnsi="Times New Roman" w:cs="Times New Roman"/>
          <w:sz w:val="24"/>
        </w:rPr>
        <w:t xml:space="preserve">омендуется назначать для уменьшения симптомов ХОБЛ [98, </w:t>
      </w:r>
    </w:p>
    <w:p w:rsidR="003A0918" w:rsidRDefault="00D87DBB">
      <w:pPr>
        <w:spacing w:after="112"/>
        <w:ind w:left="1851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99].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 А (уровень достоверности доказательств –</w:t>
      </w:r>
      <w:r>
        <w:t xml:space="preserve"> 1)</w:t>
      </w:r>
      <w:r>
        <w:rPr>
          <w:b w:val="0"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Комментарии: </w:t>
      </w:r>
      <w:r>
        <w:rPr>
          <w:rFonts w:ascii="Times New Roman" w:eastAsia="Times New Roman" w:hAnsi="Times New Roman" w:cs="Times New Roman"/>
          <w:i/>
          <w:sz w:val="24"/>
        </w:rPr>
        <w:t>Рофлумиласт не является бронходилататором (препараты для лечения обструктивных заболеваний дыхатель</w:t>
      </w:r>
      <w:r>
        <w:rPr>
          <w:rFonts w:ascii="Times New Roman" w:eastAsia="Times New Roman" w:hAnsi="Times New Roman" w:cs="Times New Roman"/>
          <w:i/>
          <w:sz w:val="24"/>
        </w:rPr>
        <w:t>ных путей), хотя во время длительного лечения у пациентов, получающих тиотропия бромид</w:t>
      </w:r>
      <w:r>
        <w:rPr>
          <w:rFonts w:ascii="Times New Roman" w:eastAsia="Times New Roman" w:hAnsi="Times New Roman" w:cs="Times New Roman"/>
        </w:rPr>
        <w:t>**</w:t>
      </w:r>
      <w:r>
        <w:rPr>
          <w:rFonts w:ascii="Times New Roman" w:eastAsia="Times New Roman" w:hAnsi="Times New Roman" w:cs="Times New Roman"/>
          <w:i/>
          <w:sz w:val="24"/>
        </w:rPr>
        <w:t>, рофлумиласт дополнительно увеличивает ОФВ</w:t>
      </w:r>
      <w:r>
        <w:rPr>
          <w:rFonts w:ascii="Times New Roman" w:eastAsia="Times New Roman" w:hAnsi="Times New Roman" w:cs="Times New Roman"/>
          <w:i/>
          <w:sz w:val="24"/>
          <w:vertAlign w:val="subscript"/>
        </w:rPr>
        <w:t>1</w:t>
      </w:r>
      <w:r>
        <w:rPr>
          <w:rFonts w:ascii="Times New Roman" w:eastAsia="Times New Roman" w:hAnsi="Times New Roman" w:cs="Times New Roman"/>
          <w:i/>
          <w:sz w:val="24"/>
        </w:rPr>
        <w:t xml:space="preserve"> на 50–80 мл [106, 107].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Влияние рофлумиласта на качество жизни и симптомы выражено слабо. Препарат </w:t>
      </w:r>
      <w:r>
        <w:rPr>
          <w:rFonts w:ascii="Times New Roman" w:eastAsia="Times New Roman" w:hAnsi="Times New Roman" w:cs="Times New Roman"/>
          <w:i/>
          <w:sz w:val="24"/>
        </w:rPr>
        <w:t xml:space="preserve">вызывает значимые нежелательные эффекты, типичными среди которых являются желудочно-кишечные нарушения и головная боль, а также снижение массы тела [107]. </w:t>
      </w:r>
    </w:p>
    <w:p w:rsidR="003A0918" w:rsidRDefault="00D87DBB">
      <w:pPr>
        <w:pStyle w:val="Heading3"/>
        <w:spacing w:after="152"/>
        <w:ind w:left="1848" w:right="551"/>
      </w:pPr>
      <w:r>
        <w:t>Пероральные глюкокортикостероиды</w:t>
      </w:r>
      <w: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Рекомендуется избегать длительного лечения пероральными ГКС паци</w:t>
      </w:r>
      <w:r>
        <w:rPr>
          <w:rFonts w:ascii="Times New Roman" w:eastAsia="Times New Roman" w:hAnsi="Times New Roman" w:cs="Times New Roman"/>
          <w:sz w:val="24"/>
        </w:rPr>
        <w:t xml:space="preserve">ентов с ХОБЛ, поскольку такое лечение может ухудшить их отдаленный прогноз [108-110]. </w:t>
      </w:r>
      <w:r>
        <w:rPr>
          <w:rFonts w:ascii="Times New Roman" w:eastAsia="Times New Roman" w:hAnsi="Times New Roman" w:cs="Times New Roman"/>
          <w:b/>
          <w:sz w:val="24"/>
        </w:rPr>
        <w:t>Уровень убедительности рекомендаций B (уровень достоверности доказа-</w:t>
      </w:r>
    </w:p>
    <w:p w:rsidR="003A0918" w:rsidRDefault="00D87DBB">
      <w:pPr>
        <w:pStyle w:val="Heading3"/>
        <w:ind w:left="1848" w:right="551"/>
      </w:pPr>
      <w:r>
        <w:t>тельств –</w:t>
      </w:r>
      <w:r>
        <w:t xml:space="preserve"> 1)</w:t>
      </w:r>
      <w:r>
        <w:rPr>
          <w:b w:val="0"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i/>
          <w:sz w:val="24"/>
        </w:rPr>
        <w:t xml:space="preserve"> Хотя высокая доза пероральных ГКС (равная ≥30 мг перорального #</w:t>
      </w:r>
      <w:r>
        <w:rPr>
          <w:rFonts w:ascii="Times New Roman" w:eastAsia="Times New Roman" w:hAnsi="Times New Roman" w:cs="Times New Roman"/>
          <w:i/>
          <w:sz w:val="24"/>
        </w:rPr>
        <w:t>преднизолона в сутки) улучшает легочную функцию в ближайшей перспективе, данные о пользе длительного применения пероральных ГКС в низкой или средней и высоких дозах отсутствуют при достоверном повышении риска НЯ [108]. Однако этот факт не препятствует назн</w:t>
      </w:r>
      <w:r>
        <w:rPr>
          <w:rFonts w:ascii="Times New Roman" w:eastAsia="Times New Roman" w:hAnsi="Times New Roman" w:cs="Times New Roman"/>
          <w:i/>
          <w:sz w:val="24"/>
        </w:rPr>
        <w:t xml:space="preserve">ачению при обострениях короткого курса пероральных ГКС.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Пероральные ГКС вызывают ряд серьезных нежелательных эффектов; одним из самых важных применительно к ХОБЛ является стероидная миопатия, симптомами которой являются мышечная слабость, снижение физичес</w:t>
      </w:r>
      <w:r>
        <w:rPr>
          <w:rFonts w:ascii="Times New Roman" w:eastAsia="Times New Roman" w:hAnsi="Times New Roman" w:cs="Times New Roman"/>
          <w:i/>
          <w:sz w:val="24"/>
        </w:rPr>
        <w:t>кой активности и дыхательная недостаточность у пациентов с крайне тяжелой ХОБЛ [</w:t>
      </w:r>
      <w:r>
        <w:rPr>
          <w:rFonts w:ascii="Times New Roman" w:eastAsia="Times New Roman" w:hAnsi="Times New Roman" w:cs="Times New Roman"/>
          <w:sz w:val="24"/>
        </w:rPr>
        <w:t>110</w:t>
      </w:r>
      <w:r>
        <w:rPr>
          <w:rFonts w:ascii="Times New Roman" w:eastAsia="Times New Roman" w:hAnsi="Times New Roman" w:cs="Times New Roman"/>
          <w:i/>
          <w:sz w:val="24"/>
        </w:rPr>
        <w:t xml:space="preserve">]. </w:t>
      </w:r>
    </w:p>
    <w:p w:rsidR="003A0918" w:rsidRDefault="00D87DBB">
      <w:pPr>
        <w:pStyle w:val="Heading3"/>
        <w:ind w:left="1848" w:right="551"/>
      </w:pPr>
      <w:r>
        <w:t>Теофиллин</w:t>
      </w:r>
      <w:r>
        <w:t xml:space="preserve">  </w:t>
      </w:r>
    </w:p>
    <w:p w:rsidR="003A0918" w:rsidRDefault="00D87DBB">
      <w:pPr>
        <w:spacing w:after="5" w:line="364" w:lineRule="auto"/>
        <w:ind w:left="1118" w:right="560" w:firstLine="751"/>
        <w:jc w:val="both"/>
      </w:pPr>
      <w:r>
        <w:rPr>
          <w:rFonts w:ascii="Times New Roman" w:eastAsia="Times New Roman" w:hAnsi="Times New Roman" w:cs="Times New Roman"/>
          <w:sz w:val="24"/>
        </w:rPr>
        <w:t>Относительно точного механизма действия теофиллина сохраняются разногласия, но этот препарат обладает и бронходилатационной, и противовоспалительной активнос</w:t>
      </w:r>
      <w:r>
        <w:rPr>
          <w:rFonts w:ascii="Times New Roman" w:eastAsia="Times New Roman" w:hAnsi="Times New Roman" w:cs="Times New Roman"/>
          <w:sz w:val="24"/>
        </w:rPr>
        <w:t>тью. Теофиллин значимо улучшает легочную функцию при ХОБЛ и, возможно, улучшает функцию дыхательной мускулатуры, но при этом повышает риск НЯ [111]. Есть данные о том, что низкие дозы теофиллина (100 мг 2 р/сут) статистически значимо уменьшают частоту обос</w:t>
      </w:r>
      <w:r>
        <w:rPr>
          <w:rFonts w:ascii="Times New Roman" w:eastAsia="Times New Roman" w:hAnsi="Times New Roman" w:cs="Times New Roman"/>
          <w:sz w:val="24"/>
        </w:rPr>
        <w:t xml:space="preserve">трений ХОБЛ [112].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Возможно назначение теофиллина для лечения ХОБЛ в качестве дополнительной терапии у пациентов с тяжелыми симптомами [111-114].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 В</w:t>
      </w:r>
      <w:r>
        <w:t xml:space="preserve"> </w:t>
      </w:r>
      <w:r>
        <w:t>(уровень достоверности доказательств –</w:t>
      </w:r>
      <w:r>
        <w:t xml:space="preserve"> 2)</w:t>
      </w:r>
      <w:r>
        <w:rPr>
          <w:b w:val="0"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i/>
          <w:sz w:val="24"/>
        </w:rPr>
        <w:t xml:space="preserve"> Влияние теоф</w:t>
      </w:r>
      <w:r>
        <w:rPr>
          <w:rFonts w:ascii="Times New Roman" w:eastAsia="Times New Roman" w:hAnsi="Times New Roman" w:cs="Times New Roman"/>
          <w:i/>
          <w:sz w:val="24"/>
        </w:rPr>
        <w:t xml:space="preserve">иллина на легочную функцию и симптомы при ХОБЛ менее выражено, чем у ДДБА формотерола [114]. </w:t>
      </w:r>
    </w:p>
    <w:p w:rsidR="003A0918" w:rsidRDefault="00D87DBB">
      <w:pPr>
        <w:spacing w:after="29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Точная продолжительность действия теофиллина, в том числе современных препаратов с медленным высвобождением, при ХОБЛ неизвестна.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При назначении теофиллина рек</w:t>
      </w:r>
      <w:r>
        <w:rPr>
          <w:rFonts w:ascii="Times New Roman" w:eastAsia="Times New Roman" w:hAnsi="Times New Roman" w:cs="Times New Roman"/>
          <w:sz w:val="24"/>
        </w:rPr>
        <w:t xml:space="preserve">омендуется контролировать его концентрацию в крови и корректировать в зависимости от полученных результатов дозу препарата, что не проводится во врачебной практике [111].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 С (уровень достоверности доказательств –</w:t>
      </w:r>
      <w:r>
        <w:t xml:space="preserve"> 5)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</w:t>
      </w:r>
      <w:r>
        <w:rPr>
          <w:rFonts w:ascii="Times New Roman" w:eastAsia="Times New Roman" w:hAnsi="Times New Roman" w:cs="Times New Roman"/>
          <w:b/>
          <w:sz w:val="24"/>
        </w:rPr>
        <w:t>ментарии:</w:t>
      </w:r>
      <w:r>
        <w:rPr>
          <w:rFonts w:ascii="Times New Roman" w:eastAsia="Times New Roman" w:hAnsi="Times New Roman" w:cs="Times New Roman"/>
          <w:i/>
          <w:sz w:val="24"/>
        </w:rPr>
        <w:t xml:space="preserve"> Фармакокинетика теофиллина характеризуется межиндивидуальными различиями и тенденцией к лекарственным взаимодействиям. Теофиллин имеет узкий терапевтический диапазон концентраций и способен приводить к явлениям токсичности. Наиболее распространен</w:t>
      </w:r>
      <w:r>
        <w:rPr>
          <w:rFonts w:ascii="Times New Roman" w:eastAsia="Times New Roman" w:hAnsi="Times New Roman" w:cs="Times New Roman"/>
          <w:i/>
          <w:sz w:val="24"/>
        </w:rPr>
        <w:t xml:space="preserve">ные НЯ включают раздражение желудка, тошноту, рвоту, диарею, повышенный диурез, признаки стимуляции центральной нервной системы (головная боль, нервозность, тревожность, ажитация) и нарушения ритма сердца. </w:t>
      </w:r>
    </w:p>
    <w:p w:rsidR="003A0918" w:rsidRDefault="00D87DBB">
      <w:pPr>
        <w:pStyle w:val="Heading3"/>
        <w:spacing w:after="153"/>
        <w:ind w:left="1848" w:right="551"/>
      </w:pPr>
      <w:r>
        <w:t>Антибактериальные препараты</w:t>
      </w:r>
      <w: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Назначение </w:t>
      </w:r>
      <w:r>
        <w:rPr>
          <w:rFonts w:ascii="Times New Roman" w:eastAsia="Times New Roman" w:hAnsi="Times New Roman" w:cs="Times New Roman"/>
          <w:sz w:val="24"/>
        </w:rPr>
        <w:t>макролидов (#азитромицина</w:t>
      </w:r>
      <w:r>
        <w:rPr>
          <w:rFonts w:ascii="Times New Roman" w:eastAsia="Times New Roman" w:hAnsi="Times New Roman" w:cs="Times New Roman"/>
        </w:rPr>
        <w:t>**</w:t>
      </w:r>
      <w:r>
        <w:rPr>
          <w:rFonts w:ascii="Times New Roman" w:eastAsia="Times New Roman" w:hAnsi="Times New Roman" w:cs="Times New Roman"/>
          <w:sz w:val="24"/>
        </w:rPr>
        <w:t xml:space="preserve">) в режиме длительной терапии по 250 мг/сут или 500 мг каждые 3 суток/неделю рекомендуется пациентам с ХОБЛ с бронхоэктазами и частыми гнойными обострениями [115, 116]. </w:t>
      </w:r>
    </w:p>
    <w:p w:rsidR="003A0918" w:rsidRDefault="00D87DBB">
      <w:pPr>
        <w:pStyle w:val="Heading3"/>
        <w:ind w:left="1848" w:right="551"/>
      </w:pPr>
      <w:r>
        <w:t xml:space="preserve">Уровень убедительности рекомендаций </w:t>
      </w:r>
      <w:r>
        <w:t xml:space="preserve">A </w:t>
      </w:r>
      <w:r>
        <w:t>(уровень достоверност</w:t>
      </w:r>
      <w:r>
        <w:t>и доказательств –</w:t>
      </w:r>
      <w:r>
        <w:t xml:space="preserve"> 1)</w:t>
      </w:r>
      <w:r>
        <w:rPr>
          <w:b w:val="0"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Комментарии: </w:t>
      </w:r>
      <w:r>
        <w:rPr>
          <w:rFonts w:ascii="Times New Roman" w:eastAsia="Times New Roman" w:hAnsi="Times New Roman" w:cs="Times New Roman"/>
          <w:i/>
          <w:sz w:val="24"/>
        </w:rPr>
        <w:t>Проведенный метаанализ показал, что длительное лечение макролидами (эритромицин</w:t>
      </w:r>
      <w:r>
        <w:rPr>
          <w:rFonts w:ascii="Times New Roman" w:eastAsia="Times New Roman" w:hAnsi="Times New Roman" w:cs="Times New Roman"/>
          <w:i/>
          <w:sz w:val="24"/>
          <w:vertAlign w:val="superscript"/>
        </w:rPr>
        <w:t>#</w:t>
      </w:r>
      <w:r>
        <w:rPr>
          <w:rFonts w:ascii="Times New Roman" w:eastAsia="Times New Roman" w:hAnsi="Times New Roman" w:cs="Times New Roman"/>
          <w:i/>
          <w:sz w:val="24"/>
        </w:rPr>
        <w:t>, кларитромицин</w:t>
      </w:r>
      <w:r>
        <w:rPr>
          <w:rFonts w:ascii="Times New Roman" w:eastAsia="Times New Roman" w:hAnsi="Times New Roman" w:cs="Times New Roman"/>
          <w:i/>
          <w:sz w:val="24"/>
          <w:vertAlign w:val="superscript"/>
        </w:rPr>
        <w:t>#</w:t>
      </w:r>
      <w:r>
        <w:rPr>
          <w:rFonts w:ascii="Times New Roman" w:eastAsia="Times New Roman" w:hAnsi="Times New Roman" w:cs="Times New Roman"/>
        </w:rPr>
        <w:t>**</w:t>
      </w:r>
      <w:r>
        <w:rPr>
          <w:rFonts w:ascii="Times New Roman" w:eastAsia="Times New Roman" w:hAnsi="Times New Roman" w:cs="Times New Roman"/>
          <w:i/>
          <w:sz w:val="24"/>
        </w:rPr>
        <w:t xml:space="preserve"> и азитромицин</w:t>
      </w:r>
      <w:r>
        <w:rPr>
          <w:rFonts w:ascii="Times New Roman" w:eastAsia="Times New Roman" w:hAnsi="Times New Roman" w:cs="Times New Roman"/>
          <w:i/>
          <w:sz w:val="24"/>
          <w:vertAlign w:val="superscript"/>
        </w:rPr>
        <w:t>#</w:t>
      </w:r>
      <w:r>
        <w:rPr>
          <w:rFonts w:ascii="Times New Roman" w:eastAsia="Times New Roman" w:hAnsi="Times New Roman" w:cs="Times New Roman"/>
        </w:rPr>
        <w:t>**</w:t>
      </w:r>
      <w:r>
        <w:rPr>
          <w:rFonts w:ascii="Times New Roman" w:eastAsia="Times New Roman" w:hAnsi="Times New Roman" w:cs="Times New Roman"/>
          <w:i/>
          <w:sz w:val="24"/>
        </w:rPr>
        <w:t>) в 6 исследованиях продолжительностью от 3 до 12 месяцев приводило к уменьшению частоты обострений ХОБЛ н</w:t>
      </w:r>
      <w:r>
        <w:rPr>
          <w:rFonts w:ascii="Times New Roman" w:eastAsia="Times New Roman" w:hAnsi="Times New Roman" w:cs="Times New Roman"/>
          <w:i/>
          <w:sz w:val="24"/>
        </w:rPr>
        <w:t xml:space="preserve">а 37% по сравнению с плацебо. Дополнительно на 21% сократились случаи госпитализации [115, 116]. Широкое использование макролидов ограничивается риском роста резистентности к ним бактерий и побочными эффектами (снижение слуха, кардиотоксичность) [115]. </w:t>
      </w:r>
    </w:p>
    <w:p w:rsidR="003A0918" w:rsidRDefault="00D87DBB">
      <w:pPr>
        <w:pStyle w:val="Heading3"/>
        <w:ind w:left="1848" w:right="551"/>
      </w:pPr>
      <w:r>
        <w:t>Мукоактивные препараты</w:t>
      </w:r>
      <w:r>
        <w:t xml:space="preserve">  </w:t>
      </w:r>
    </w:p>
    <w:p w:rsidR="003A0918" w:rsidRDefault="00D87DBB">
      <w:pPr>
        <w:spacing w:after="44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Эта группа включает несколько веществ с разными механизмами действия. Регулярное использование муколитиков при ХОБЛ изучали в нескольких исследованиях, в которых были получены противоречивые результаты [117].  </w:t>
      </w:r>
    </w:p>
    <w:p w:rsidR="003A0918" w:rsidRDefault="00D87DBB">
      <w:pPr>
        <w:tabs>
          <w:tab w:val="center" w:pos="1188"/>
          <w:tab w:val="center" w:pos="6194"/>
        </w:tabs>
        <w:spacing w:after="72"/>
      </w:pPr>
      <w:r>
        <w:tab/>
      </w: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ab/>
      </w:r>
      <w:r>
        <w:rPr>
          <w:rFonts w:ascii="Times New Roman" w:eastAsia="Times New Roman" w:hAnsi="Times New Roman" w:cs="Times New Roman"/>
          <w:sz w:val="24"/>
        </w:rPr>
        <w:t>Назначение #N-ац</w:t>
      </w:r>
      <w:r>
        <w:rPr>
          <w:rFonts w:ascii="Times New Roman" w:eastAsia="Times New Roman" w:hAnsi="Times New Roman" w:cs="Times New Roman"/>
          <w:sz w:val="24"/>
        </w:rPr>
        <w:t>етилцистеина</w:t>
      </w:r>
      <w:r>
        <w:rPr>
          <w:rFonts w:ascii="Times New Roman" w:eastAsia="Times New Roman" w:hAnsi="Times New Roman" w:cs="Times New Roman"/>
        </w:rPr>
        <w:t>**</w:t>
      </w:r>
      <w:r>
        <w:rPr>
          <w:rFonts w:ascii="Times New Roman" w:eastAsia="Times New Roman" w:hAnsi="Times New Roman" w:cs="Times New Roman"/>
          <w:sz w:val="24"/>
        </w:rPr>
        <w:t xml:space="preserve"> 600 мг-1200 мг/сут, эрдостеина 900 мг/сутки и </w:t>
      </w:r>
    </w:p>
    <w:p w:rsidR="003A0918" w:rsidRDefault="00D87DBB">
      <w:pPr>
        <w:spacing w:after="3" w:line="359" w:lineRule="auto"/>
        <w:ind w:left="1851" w:right="402" w:hanging="10"/>
      </w:pPr>
      <w:r>
        <w:rPr>
          <w:rFonts w:ascii="Times New Roman" w:eastAsia="Times New Roman" w:hAnsi="Times New Roman" w:cs="Times New Roman"/>
          <w:sz w:val="24"/>
        </w:rPr>
        <w:t xml:space="preserve">#карбоцистеина 750 мг 2 раза в сут рекомендуется пациентам с ХОБЛ при бронхитическом фенотипе и частых обострениях, особенно если не проводится терапия ИГКС [117, 118, 207, 209]. </w:t>
      </w:r>
    </w:p>
    <w:p w:rsidR="003A0918" w:rsidRDefault="00D87DBB">
      <w:pPr>
        <w:pStyle w:val="Heading3"/>
        <w:ind w:left="1848" w:right="551"/>
      </w:pPr>
      <w:r>
        <w:t>Уровень убедит</w:t>
      </w:r>
      <w:r>
        <w:t xml:space="preserve">ельности рекомендаций </w:t>
      </w:r>
      <w:r>
        <w:t xml:space="preserve">A </w:t>
      </w:r>
      <w:r>
        <w:t>(уровень достоверности доказательств –</w:t>
      </w:r>
      <w:r>
        <w:t xml:space="preserve"> 1)</w:t>
      </w:r>
      <w:r>
        <w:rPr>
          <w:b w:val="0"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Комментарии: </w:t>
      </w:r>
      <w:r>
        <w:rPr>
          <w:rFonts w:ascii="Times New Roman" w:eastAsia="Times New Roman" w:hAnsi="Times New Roman" w:cs="Times New Roman"/>
          <w:i/>
          <w:sz w:val="24"/>
        </w:rPr>
        <w:t>N</w:t>
      </w:r>
      <w:r>
        <w:rPr>
          <w:rFonts w:ascii="Times New Roman" w:eastAsia="Times New Roman" w:hAnsi="Times New Roman" w:cs="Times New Roman"/>
          <w:b/>
          <w:i/>
          <w:sz w:val="24"/>
        </w:rPr>
        <w:t>-</w:t>
      </w:r>
      <w:r>
        <w:rPr>
          <w:rFonts w:ascii="Times New Roman" w:eastAsia="Times New Roman" w:hAnsi="Times New Roman" w:cs="Times New Roman"/>
          <w:i/>
          <w:sz w:val="24"/>
        </w:rPr>
        <w:t>ацетилцистеин#</w:t>
      </w:r>
      <w:r>
        <w:rPr>
          <w:rFonts w:ascii="Times New Roman" w:eastAsia="Times New Roman" w:hAnsi="Times New Roman" w:cs="Times New Roman"/>
        </w:rPr>
        <w:t xml:space="preserve"> **, эрдостеин</w:t>
      </w:r>
      <w:r>
        <w:rPr>
          <w:rFonts w:ascii="Times New Roman" w:eastAsia="Times New Roman" w:hAnsi="Times New Roman" w:cs="Times New Roman"/>
          <w:i/>
          <w:sz w:val="24"/>
        </w:rPr>
        <w:t xml:space="preserve"> и карбоцистеин# способны проявлять антиоксидантные свойства и могут уменьшать число обострений, но они не улучшают легочную функцию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и качество жи</w:t>
      </w:r>
      <w:r>
        <w:rPr>
          <w:rFonts w:ascii="Times New Roman" w:eastAsia="Times New Roman" w:hAnsi="Times New Roman" w:cs="Times New Roman"/>
          <w:i/>
          <w:sz w:val="24"/>
        </w:rPr>
        <w:t>зни у пациентов ХОБЛ</w:t>
      </w:r>
      <w:r>
        <w:rPr>
          <w:rFonts w:ascii="Times New Roman" w:eastAsia="Times New Roman" w:hAnsi="Times New Roman" w:cs="Times New Roman"/>
          <w:sz w:val="24"/>
        </w:rPr>
        <w:t xml:space="preserve">. </w:t>
      </w:r>
    </w:p>
    <w:p w:rsidR="003A0918" w:rsidRDefault="00D87DBB">
      <w:pPr>
        <w:pStyle w:val="Heading3"/>
        <w:spacing w:after="150"/>
        <w:ind w:left="1848" w:right="551"/>
      </w:pPr>
      <w:r>
        <w:t>Выбор ингалятора</w:t>
      </w:r>
      <w: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Рекомендуется обучать пациентов с ХОБЛ правильному применению ингаляторов в начале лечения и затем контролировать их применение во время последующих визитов [119].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 А</w:t>
      </w:r>
      <w:r>
        <w:t xml:space="preserve"> </w:t>
      </w:r>
      <w:r>
        <w:t>(уровень достоверности доказательств –</w:t>
      </w:r>
      <w:r>
        <w:t xml:space="preserve"> 2)</w:t>
      </w:r>
      <w:r>
        <w:rPr>
          <w:b w:val="0"/>
        </w:rPr>
        <w:t xml:space="preserve"> </w:t>
      </w:r>
    </w:p>
    <w:p w:rsidR="003A0918" w:rsidRDefault="00D87DBB">
      <w:pPr>
        <w:spacing w:after="5"/>
        <w:ind w:left="1851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Таблица 8. </w:t>
      </w:r>
      <w:r>
        <w:rPr>
          <w:rFonts w:ascii="Times New Roman" w:eastAsia="Times New Roman" w:hAnsi="Times New Roman" w:cs="Times New Roman"/>
          <w:sz w:val="24"/>
        </w:rPr>
        <w:t>Основные принципы выбора ингаляционного устройства</w:t>
      </w:r>
      <w:r>
        <w:rPr>
          <w:rFonts w:ascii="Times New Roman" w:eastAsia="Times New Roman" w:hAnsi="Times New Roman" w:cs="Times New Roman"/>
          <w:b/>
          <w:sz w:val="24"/>
        </w:rPr>
        <w:t xml:space="preserve">  </w:t>
      </w:r>
    </w:p>
    <w:tbl>
      <w:tblPr>
        <w:tblStyle w:val="TableGrid"/>
        <w:tblW w:w="8644" w:type="dxa"/>
        <w:tblInd w:w="1728" w:type="dxa"/>
        <w:tblCellMar>
          <w:top w:w="62" w:type="dxa"/>
          <w:left w:w="108" w:type="dxa"/>
          <w:bottom w:w="0" w:type="dxa"/>
          <w:right w:w="49" w:type="dxa"/>
        </w:tblCellMar>
        <w:tblLook w:val="04A0" w:firstRow="1" w:lastRow="0" w:firstColumn="1" w:lastColumn="0" w:noHBand="0" w:noVBand="1"/>
      </w:tblPr>
      <w:tblGrid>
        <w:gridCol w:w="1985"/>
        <w:gridCol w:w="1985"/>
        <w:gridCol w:w="2336"/>
        <w:gridCol w:w="2338"/>
      </w:tblGrid>
      <w:tr w:rsidR="003A0918">
        <w:trPr>
          <w:trHeight w:val="288"/>
        </w:trPr>
        <w:tc>
          <w:tcPr>
            <w:tcW w:w="39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Хорошая координация </w:t>
            </w:r>
          </w:p>
        </w:tc>
        <w:tc>
          <w:tcPr>
            <w:tcW w:w="467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Плохая координация </w:t>
            </w:r>
          </w:p>
        </w:tc>
      </w:tr>
      <w:tr w:rsidR="003A0918">
        <w:trPr>
          <w:trHeight w:val="562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Скорость вдоха &gt; 30 л/мин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Скорость вдоха &lt; 30 л/мин  </w:t>
            </w:r>
          </w:p>
        </w:tc>
        <w:tc>
          <w:tcPr>
            <w:tcW w:w="2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Скорость вдоха &gt; 30 л/мин 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Скорость вдоха &lt; 30 л/мин  </w:t>
            </w:r>
          </w:p>
        </w:tc>
      </w:tr>
      <w:tr w:rsidR="003A0918">
        <w:trPr>
          <w:trHeight w:val="1666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ДПИ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ДАИ </w:t>
            </w:r>
          </w:p>
          <w:p w:rsidR="003A0918" w:rsidRDefault="00D87DBB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ЛП в комплекте </w:t>
            </w:r>
          </w:p>
          <w:p w:rsidR="003A0918" w:rsidRDefault="00D87DBB">
            <w:pPr>
              <w:spacing w:after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 ингалятором </w:t>
            </w:r>
            <w:r>
              <w:rPr>
                <w:rFonts w:ascii="Times New Roman" w:eastAsia="Times New Roman" w:hAnsi="Times New Roman" w:cs="Times New Roman"/>
                <w:sz w:val="24"/>
                <w:vertAlign w:val="superscript"/>
              </w:rPr>
              <w:t>®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ДАИ-АВ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Небулайзер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ДАИ </w:t>
            </w:r>
          </w:p>
          <w:p w:rsidR="003A0918" w:rsidRDefault="00D87DBB">
            <w:pPr>
              <w:spacing w:after="35" w:line="241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ЛП в комплекте с ингалятором </w:t>
            </w:r>
            <w:r>
              <w:rPr>
                <w:rFonts w:ascii="Times New Roman" w:eastAsia="Times New Roman" w:hAnsi="Times New Roman" w:cs="Times New Roman"/>
                <w:sz w:val="24"/>
                <w:vertAlign w:val="superscript"/>
              </w:rPr>
              <w:t>®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Небулайзер </w:t>
            </w:r>
          </w:p>
        </w:tc>
        <w:tc>
          <w:tcPr>
            <w:tcW w:w="2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ДПИ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ДАИ-АВ </w:t>
            </w:r>
          </w:p>
          <w:p w:rsidR="003A0918" w:rsidRDefault="00D87DBB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ДАИ + спейсер ЛП в комплекте с ингалятором </w:t>
            </w:r>
            <w:r>
              <w:rPr>
                <w:rFonts w:ascii="Times New Roman" w:eastAsia="Times New Roman" w:hAnsi="Times New Roman" w:cs="Times New Roman"/>
                <w:sz w:val="24"/>
                <w:vertAlign w:val="superscript"/>
              </w:rPr>
              <w:t>®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Небулайзер 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ДАИ + спейсер </w:t>
            </w:r>
          </w:p>
          <w:p w:rsidR="003A0918" w:rsidRDefault="00D87DBB">
            <w:pPr>
              <w:spacing w:after="0"/>
              <w:ind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ЛП в комплекте с ингалятором </w:t>
            </w:r>
            <w:r>
              <w:rPr>
                <w:rFonts w:ascii="Times New Roman" w:eastAsia="Times New Roman" w:hAnsi="Times New Roman" w:cs="Times New Roman"/>
                <w:sz w:val="24"/>
                <w:vertAlign w:val="superscript"/>
              </w:rPr>
              <w:t>®</w:t>
            </w:r>
            <w:r>
              <w:rPr>
                <w:rFonts w:ascii="Times New Roman" w:eastAsia="Times New Roman" w:hAnsi="Times New Roman" w:cs="Times New Roman"/>
                <w:sz w:val="24"/>
                <w:vertAlign w:val="superscript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Небулайзер </w:t>
            </w:r>
          </w:p>
        </w:tc>
      </w:tr>
    </w:tbl>
    <w:p w:rsidR="003A0918" w:rsidRDefault="00D87DBB">
      <w:pPr>
        <w:spacing w:after="5" w:line="238" w:lineRule="auto"/>
        <w:ind w:left="185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Примечание: ЛП в комплекте с ингалятором – лекарственный препарат в компдекте с ингалятором; ДАИ-АВ – дозированный аэрозольный ингалятор, активируемый вдохом. </w:t>
      </w:r>
    </w:p>
    <w:p w:rsidR="003A0918" w:rsidRDefault="00D87DBB">
      <w:pPr>
        <w:spacing w:after="113"/>
        <w:ind w:left="1841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spacing w:after="31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Комментарии: </w:t>
      </w:r>
      <w:r>
        <w:rPr>
          <w:rFonts w:ascii="Times New Roman" w:eastAsia="Times New Roman" w:hAnsi="Times New Roman" w:cs="Times New Roman"/>
          <w:i/>
          <w:sz w:val="24"/>
        </w:rPr>
        <w:t>Значительная часть пациентов допускают ошибки при использовании ингаляторов. При использовании дозированного порошкового ингалятора (ДПИ) не требуется координация между нажатием на кнопку и вдохом, но для создания достаточного инспираторного потока необход</w:t>
      </w:r>
      <w:r>
        <w:rPr>
          <w:rFonts w:ascii="Times New Roman" w:eastAsia="Times New Roman" w:hAnsi="Times New Roman" w:cs="Times New Roman"/>
          <w:i/>
          <w:sz w:val="24"/>
        </w:rPr>
        <w:t>имо достаточное инспираторное усилие. При использовании дозированного аэрозольного ингалятора (ДАИ) не требуется создавать высокий инспираторный поток, но пациент должен уметь координировать активацию ингалятора с началом вдоха. (Таблица 8).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Рекомендует</w:t>
      </w:r>
      <w:r>
        <w:rPr>
          <w:rFonts w:ascii="Times New Roman" w:eastAsia="Times New Roman" w:hAnsi="Times New Roman" w:cs="Times New Roman"/>
          <w:sz w:val="24"/>
        </w:rPr>
        <w:t xml:space="preserve">ся использование спейсеров при назначении ДАИ для устранения проблемы координации и уменьшения депозиции препарата в верхних дыхательных путях [120]. </w:t>
      </w:r>
    </w:p>
    <w:p w:rsidR="003A0918" w:rsidRDefault="00D87DBB">
      <w:pPr>
        <w:pStyle w:val="Heading3"/>
        <w:spacing w:after="150"/>
        <w:ind w:left="1848" w:right="551"/>
      </w:pPr>
      <w:r>
        <w:t xml:space="preserve">Уровень убедительности рекомендаций </w:t>
      </w:r>
      <w:r>
        <w:t xml:space="preserve">C </w:t>
      </w:r>
      <w:r>
        <w:t>(уровень достоверности доказательств –</w:t>
      </w:r>
      <w:r>
        <w:t xml:space="preserve"> 5)</w:t>
      </w:r>
      <w:r>
        <w:rPr>
          <w:b w:val="0"/>
        </w:rP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У пациентов с тяжелой </w:t>
      </w:r>
      <w:r>
        <w:rPr>
          <w:rFonts w:ascii="Times New Roman" w:eastAsia="Times New Roman" w:hAnsi="Times New Roman" w:cs="Times New Roman"/>
          <w:sz w:val="24"/>
        </w:rPr>
        <w:t xml:space="preserve">ХОБЛ рекомендуется отдавать предпочтение ДАИ (в т.ч. со спейсером) или ЛП в комплекте с ингалятором [121, 122]. </w:t>
      </w:r>
    </w:p>
    <w:p w:rsidR="003A0918" w:rsidRDefault="00D87DBB">
      <w:pPr>
        <w:pStyle w:val="Heading3"/>
        <w:ind w:left="1848" w:right="551"/>
      </w:pPr>
      <w:r>
        <w:t xml:space="preserve">Уровень убедительности рекомендаций </w:t>
      </w:r>
      <w:r>
        <w:t xml:space="preserve">C </w:t>
      </w:r>
      <w:r>
        <w:t>(уровень достоверности доказательств –</w:t>
      </w:r>
      <w:r>
        <w:t xml:space="preserve"> 3)</w:t>
      </w:r>
      <w:r>
        <w:rPr>
          <w:b w:val="0"/>
        </w:rPr>
        <w:t xml:space="preserve"> </w:t>
      </w:r>
    </w:p>
    <w:p w:rsidR="003A0918" w:rsidRDefault="00D87DBB">
      <w:pPr>
        <w:spacing w:after="42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i/>
          <w:sz w:val="24"/>
        </w:rPr>
        <w:t xml:space="preserve"> Данная рекомендация обусловлена тем, что у </w:t>
      </w:r>
      <w:r>
        <w:rPr>
          <w:rFonts w:ascii="Times New Roman" w:eastAsia="Times New Roman" w:hAnsi="Times New Roman" w:cs="Times New Roman"/>
          <w:i/>
          <w:sz w:val="24"/>
        </w:rPr>
        <w:t xml:space="preserve">пациентов с тяжелой ХОБЛ при использовании ДПИ инспираторный поток не всегда оказывается достаточным [121].  </w:t>
      </w:r>
    </w:p>
    <w:p w:rsidR="003A0918" w:rsidRDefault="00D87DBB">
      <w:pPr>
        <w:pStyle w:val="Heading3"/>
        <w:spacing w:after="132"/>
        <w:ind w:left="1836" w:right="119"/>
      </w:pPr>
      <w:r>
        <w:rPr>
          <w:sz w:val="28"/>
        </w:rPr>
        <w:t>Тактика лечения стабильной ХОБЛ</w:t>
      </w:r>
      <w:r>
        <w:rPr>
          <w:sz w:val="28"/>
        </w:rPr>
        <w:t xml:space="preserve"> </w:t>
      </w:r>
    </w:p>
    <w:p w:rsidR="003A0918" w:rsidRDefault="00D87DBB">
      <w:pPr>
        <w:numPr>
          <w:ilvl w:val="0"/>
          <w:numId w:val="16"/>
        </w:numPr>
        <w:spacing w:after="5" w:line="364" w:lineRule="auto"/>
        <w:ind w:right="560" w:hanging="708"/>
        <w:jc w:val="both"/>
      </w:pPr>
      <w:r>
        <w:rPr>
          <w:rFonts w:ascii="Times New Roman" w:eastAsia="Times New Roman" w:hAnsi="Times New Roman" w:cs="Times New Roman"/>
          <w:sz w:val="24"/>
        </w:rPr>
        <w:t>Всем пациентам с ХОБЛ рекомендуется реализация немедикаментозных мер. Назначение короткодействующего бронхолитика</w:t>
      </w:r>
      <w:r>
        <w:rPr>
          <w:rFonts w:ascii="Times New Roman" w:eastAsia="Times New Roman" w:hAnsi="Times New Roman" w:cs="Times New Roman"/>
          <w:sz w:val="24"/>
        </w:rPr>
        <w:t xml:space="preserve"> (препарата для лечения обструктивных заболеваний дыхательных путей) только для использования по потребности, вакцинация против гриппа и пневмококковой инфекции, лечение сопутствующих заболеваний [123, 124, 199]. </w:t>
      </w:r>
    </w:p>
    <w:p w:rsidR="003A0918" w:rsidRDefault="00D87DBB">
      <w:pPr>
        <w:spacing w:after="5" w:line="364" w:lineRule="auto"/>
        <w:ind w:left="185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Для короткодействующего бронхолитика (преп</w:t>
      </w:r>
      <w:r>
        <w:rPr>
          <w:rFonts w:ascii="Times New Roman" w:eastAsia="Times New Roman" w:hAnsi="Times New Roman" w:cs="Times New Roman"/>
          <w:sz w:val="24"/>
        </w:rPr>
        <w:t xml:space="preserve">арата для лечения обструктивных заболеваний дыхательных путей) для использования по потребности и вакцинации против гриппа - </w:t>
      </w:r>
      <w:r>
        <w:rPr>
          <w:rFonts w:ascii="Times New Roman" w:eastAsia="Times New Roman" w:hAnsi="Times New Roman" w:cs="Times New Roman"/>
          <w:b/>
          <w:sz w:val="24"/>
        </w:rPr>
        <w:t>уровень убедительности рекомендаций В (уровень достоверности доказательств – 1),</w:t>
      </w:r>
      <w:r>
        <w:rPr>
          <w:rFonts w:ascii="Times New Roman" w:eastAsia="Times New Roman" w:hAnsi="Times New Roman" w:cs="Times New Roman"/>
          <w:sz w:val="24"/>
        </w:rPr>
        <w:t xml:space="preserve"> для вакцинации против пневмококковой инфекции - </w:t>
      </w:r>
      <w:r>
        <w:rPr>
          <w:rFonts w:ascii="Times New Roman" w:eastAsia="Times New Roman" w:hAnsi="Times New Roman" w:cs="Times New Roman"/>
          <w:b/>
          <w:sz w:val="24"/>
        </w:rPr>
        <w:t>ур</w:t>
      </w:r>
      <w:r>
        <w:rPr>
          <w:rFonts w:ascii="Times New Roman" w:eastAsia="Times New Roman" w:hAnsi="Times New Roman" w:cs="Times New Roman"/>
          <w:b/>
          <w:sz w:val="24"/>
        </w:rPr>
        <w:t xml:space="preserve">овень убедительности рекомендаций С (уровень достоверности доказательств – </w:t>
      </w:r>
    </w:p>
    <w:p w:rsidR="003A0918" w:rsidRDefault="00D87DBB">
      <w:pPr>
        <w:spacing w:after="124" w:line="249" w:lineRule="auto"/>
        <w:ind w:left="1851" w:right="209" w:hanging="10"/>
      </w:pPr>
      <w:r>
        <w:rPr>
          <w:rFonts w:ascii="Times New Roman" w:eastAsia="Times New Roman" w:hAnsi="Times New Roman" w:cs="Times New Roman"/>
          <w:b/>
          <w:sz w:val="24"/>
        </w:rPr>
        <w:t>1).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29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Комментарии: </w:t>
      </w:r>
      <w:r>
        <w:rPr>
          <w:rFonts w:ascii="Times New Roman" w:eastAsia="Times New Roman" w:hAnsi="Times New Roman" w:cs="Times New Roman"/>
          <w:i/>
          <w:sz w:val="24"/>
        </w:rPr>
        <w:t>К немедикаментозным мерам относятся отказ от курения, обучение технике ингаляций и основам самоконтроля, вакцинация против гриппа и пневмококковой инфекции, побуж</w:t>
      </w:r>
      <w:r>
        <w:rPr>
          <w:rFonts w:ascii="Times New Roman" w:eastAsia="Times New Roman" w:hAnsi="Times New Roman" w:cs="Times New Roman"/>
          <w:i/>
          <w:sz w:val="24"/>
        </w:rPr>
        <w:t xml:space="preserve">дение к физической активности, оценка необходимости длительной кислородотерапии (ДКТ) и неинвазивной вентиляции легких (НИВЛ). </w:t>
      </w:r>
    </w:p>
    <w:p w:rsidR="003A0918" w:rsidRDefault="00D87DBB">
      <w:pPr>
        <w:numPr>
          <w:ilvl w:val="0"/>
          <w:numId w:val="16"/>
        </w:numPr>
        <w:spacing w:after="5" w:line="364" w:lineRule="auto"/>
        <w:ind w:right="560" w:hanging="708"/>
        <w:jc w:val="both"/>
      </w:pPr>
      <w:r>
        <w:rPr>
          <w:rFonts w:ascii="Times New Roman" w:eastAsia="Times New Roman" w:hAnsi="Times New Roman" w:cs="Times New Roman"/>
          <w:sz w:val="24"/>
        </w:rPr>
        <w:t>Всем пациентам с ХОБЛ рекомендуется назначение комбинации ДДАХ/ДДБА или одного из этих препаратов в режиме монотерапии (приложен</w:t>
      </w:r>
      <w:r>
        <w:rPr>
          <w:rFonts w:ascii="Times New Roman" w:eastAsia="Times New Roman" w:hAnsi="Times New Roman" w:cs="Times New Roman"/>
          <w:sz w:val="24"/>
        </w:rPr>
        <w:t xml:space="preserve">ие Б) [1].  </w:t>
      </w:r>
    </w:p>
    <w:p w:rsidR="003A0918" w:rsidRDefault="00D87DBB">
      <w:pPr>
        <w:pStyle w:val="Heading4"/>
        <w:spacing w:after="150"/>
        <w:ind w:left="1848" w:right="551"/>
      </w:pPr>
      <w:r>
        <w:t xml:space="preserve">Уровень убедительности рекомендаций </w:t>
      </w:r>
      <w:r>
        <w:t xml:space="preserve">C </w:t>
      </w:r>
      <w:r>
        <w:t>(уровень достоверности доказательств –</w:t>
      </w:r>
      <w:r>
        <w:t xml:space="preserve"> 5)</w:t>
      </w:r>
      <w:r>
        <w:rPr>
          <w:b w:val="0"/>
          <w:i/>
        </w:rPr>
        <w:t xml:space="preserve"> </w:t>
      </w:r>
      <w:r>
        <w:rPr>
          <w:b w:val="0"/>
        </w:rP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Стартовая монотерапия одним бронхолитиком (препаратом для лечения обструктивных заболеваний дыхательных путей) длительного действия (ДДАХ или ДДБА) рекомендует</w:t>
      </w:r>
      <w:r>
        <w:rPr>
          <w:rFonts w:ascii="Times New Roman" w:eastAsia="Times New Roman" w:hAnsi="Times New Roman" w:cs="Times New Roman"/>
          <w:sz w:val="24"/>
        </w:rPr>
        <w:t xml:space="preserve">ся пациентам с не выраженными симптомами (mMRC&lt;2 или САТ&lt;10), при отсутствии или не более 1 обострения без госпитализации в течение предшествующего года, а также при наличии противопоказаний к одному из компонентов комбинации (приложение Б) [1]. </w:t>
      </w:r>
    </w:p>
    <w:p w:rsidR="003A0918" w:rsidRDefault="00D87DBB">
      <w:pPr>
        <w:pStyle w:val="Heading4"/>
        <w:ind w:left="1848" w:right="551"/>
      </w:pPr>
      <w:r>
        <w:t>Уровень у</w:t>
      </w:r>
      <w:r>
        <w:t>бедительности рекомендаций С</w:t>
      </w:r>
      <w:r>
        <w:t xml:space="preserve"> </w:t>
      </w:r>
      <w:r>
        <w:t>(уровень достоверности доказательств –</w:t>
      </w:r>
      <w:r>
        <w:t xml:space="preserve"> 5)</w:t>
      </w:r>
      <w:r>
        <w:rPr>
          <w:b w:val="0"/>
        </w:rPr>
        <w:t xml:space="preserve"> </w:t>
      </w:r>
    </w:p>
    <w:p w:rsidR="003A0918" w:rsidRDefault="00D87DBB">
      <w:pPr>
        <w:spacing w:after="29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 xml:space="preserve">Преимущество ДДАХ заключается в более выраженном влиянии на риск обострений [81]. 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Стартовая терапия ДДАХ/ДДБА необходима пациентам с выраженными симптомами (mMR</w:t>
      </w:r>
      <w:r>
        <w:rPr>
          <w:rFonts w:ascii="Times New Roman" w:eastAsia="Times New Roman" w:hAnsi="Times New Roman" w:cs="Times New Roman"/>
          <w:sz w:val="24"/>
        </w:rPr>
        <w:t>С ≥2 или САТ ≥10) независимо от анамнестических сведениях об обострениях в течение предшествующего года сразу после установления диагноза ХОБЛ, либо при сохранении симптомов (одышки и снижении переносимости физических нагрузок) на фоне монотерапии одним ДД</w:t>
      </w:r>
      <w:r>
        <w:rPr>
          <w:rFonts w:ascii="Times New Roman" w:eastAsia="Times New Roman" w:hAnsi="Times New Roman" w:cs="Times New Roman"/>
          <w:sz w:val="24"/>
        </w:rPr>
        <w:t xml:space="preserve">БД (приложение Б) [125, 126]. </w:t>
      </w:r>
    </w:p>
    <w:p w:rsidR="003A0918" w:rsidRDefault="00D87DBB">
      <w:pPr>
        <w:pStyle w:val="Heading4"/>
        <w:ind w:left="1848" w:right="551"/>
      </w:pPr>
      <w:r>
        <w:t>Уровень убедительности рекомендаций А</w:t>
      </w:r>
      <w:r>
        <w:t xml:space="preserve"> </w:t>
      </w:r>
      <w:r>
        <w:t>(уровень достоверности доказательств –</w:t>
      </w:r>
      <w:r>
        <w:t xml:space="preserve"> 1)</w:t>
      </w:r>
      <w:r>
        <w:rPr>
          <w:b w:val="0"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Большинство пациентов с ХОБЛ обращаются к врачу с выраженными симптомами – одышкой и снижением толерантности к физическим нагрузкам</w:t>
      </w:r>
      <w:r>
        <w:rPr>
          <w:rFonts w:ascii="Times New Roman" w:eastAsia="Times New Roman" w:hAnsi="Times New Roman" w:cs="Times New Roman"/>
          <w:i/>
          <w:sz w:val="24"/>
        </w:rPr>
        <w:t xml:space="preserve">. Назначение комбинации ДДАХ/ДДБА позволяет, благодаря максимальной бронходилатации, облегчить одышку, увеличить переносимость физических нагрузок и улучшить качество жизни пациентов.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При сохранении симптомов у больных, получающих ДДАХ/ДДБА, и отсутствии </w:t>
      </w:r>
      <w:r>
        <w:rPr>
          <w:rFonts w:ascii="Times New Roman" w:eastAsia="Times New Roman" w:hAnsi="Times New Roman" w:cs="Times New Roman"/>
          <w:i/>
          <w:sz w:val="24"/>
        </w:rPr>
        <w:t xml:space="preserve">обострений в анамнезе в течение предшествующего года: </w:t>
      </w:r>
    </w:p>
    <w:p w:rsidR="003A0918" w:rsidRDefault="00D87DBB">
      <w:pPr>
        <w:numPr>
          <w:ilvl w:val="0"/>
          <w:numId w:val="17"/>
        </w:numPr>
        <w:spacing w:after="123"/>
        <w:ind w:right="560" w:hanging="283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рассмотрите смену устройства или молекулу </w:t>
      </w:r>
    </w:p>
    <w:p w:rsidR="003A0918" w:rsidRDefault="00D87DBB">
      <w:pPr>
        <w:numPr>
          <w:ilvl w:val="0"/>
          <w:numId w:val="17"/>
        </w:numPr>
        <w:spacing w:after="123"/>
        <w:ind w:right="560" w:hanging="283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реализуйте или усиливайте нефармакологические методы лечения </w:t>
      </w:r>
    </w:p>
    <w:p w:rsidR="003A0918" w:rsidRDefault="00D87DBB">
      <w:pPr>
        <w:numPr>
          <w:ilvl w:val="0"/>
          <w:numId w:val="17"/>
        </w:numPr>
        <w:spacing w:after="115"/>
        <w:ind w:right="560" w:hanging="283"/>
        <w:jc w:val="both"/>
      </w:pPr>
      <w:r>
        <w:rPr>
          <w:rFonts w:ascii="Times New Roman" w:eastAsia="Times New Roman" w:hAnsi="Times New Roman" w:cs="Times New Roman"/>
          <w:i/>
          <w:sz w:val="24"/>
        </w:rPr>
        <w:t>поиск (и лечение) других причин одышки.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152" w:line="249" w:lineRule="auto"/>
        <w:ind w:left="1848" w:right="551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Показания к тройной терапии при ХОБЛ </w:t>
      </w:r>
      <w:r>
        <w:rPr>
          <w:rFonts w:ascii="Times New Roman" w:eastAsia="Times New Roman" w:hAnsi="Times New Roman" w:cs="Times New Roman"/>
          <w:sz w:val="24"/>
        </w:rPr>
        <w:t>(приложение Б) [1,</w:t>
      </w:r>
      <w:r>
        <w:rPr>
          <w:rFonts w:ascii="Times New Roman" w:eastAsia="Times New Roman" w:hAnsi="Times New Roman" w:cs="Times New Roman"/>
          <w:sz w:val="24"/>
        </w:rPr>
        <w:t xml:space="preserve"> 92, 127, 208]: </w:t>
      </w:r>
    </w:p>
    <w:p w:rsidR="003A0918" w:rsidRDefault="00D87DBB">
      <w:pPr>
        <w:numPr>
          <w:ilvl w:val="0"/>
          <w:numId w:val="17"/>
        </w:numPr>
        <w:spacing w:after="5" w:line="364" w:lineRule="auto"/>
        <w:ind w:right="560" w:hanging="283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 качестве стартовой терапии больным с ≥2 умеренными обострениями или ≥1 тяжелыми обострениями (госпитализации), если ЭОЗ ≥300 кл/мкл; </w:t>
      </w:r>
    </w:p>
    <w:p w:rsidR="003A0918" w:rsidRDefault="00D87DBB">
      <w:pPr>
        <w:numPr>
          <w:ilvl w:val="0"/>
          <w:numId w:val="17"/>
        </w:numPr>
        <w:spacing w:after="67"/>
        <w:ind w:right="560" w:hanging="283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пациентам с обострениями на фоне монотерапии ДДАХ или ДДБА, если </w:t>
      </w:r>
    </w:p>
    <w:p w:rsidR="003A0918" w:rsidRDefault="00D87DBB">
      <w:pPr>
        <w:spacing w:after="142"/>
        <w:ind w:left="2276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ЭОЗ ≥ 300 кл/мкл; </w:t>
      </w:r>
    </w:p>
    <w:p w:rsidR="003A0918" w:rsidRDefault="00D87DBB">
      <w:pPr>
        <w:numPr>
          <w:ilvl w:val="0"/>
          <w:numId w:val="17"/>
        </w:numPr>
        <w:spacing w:after="5" w:line="364" w:lineRule="auto"/>
        <w:ind w:right="560" w:hanging="283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пациентам с ≥2 умеренными обострениями или ≥1 тяжелыми обострениями на фоне лечения  ДДАХ/ДДБА, если ЭОЗ ≥ 100 кл/мкл; </w:t>
      </w:r>
    </w:p>
    <w:p w:rsidR="003A0918" w:rsidRDefault="00D87DBB">
      <w:pPr>
        <w:numPr>
          <w:ilvl w:val="0"/>
          <w:numId w:val="17"/>
        </w:numPr>
        <w:spacing w:after="69"/>
        <w:ind w:right="560" w:hanging="283"/>
        <w:jc w:val="both"/>
      </w:pPr>
      <w:r>
        <w:rPr>
          <w:rFonts w:ascii="Times New Roman" w:eastAsia="Times New Roman" w:hAnsi="Times New Roman" w:cs="Times New Roman"/>
          <w:sz w:val="24"/>
        </w:rPr>
        <w:t>при сочетании ХОБЛ и БА.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pStyle w:val="Heading4"/>
        <w:ind w:left="1848" w:right="551"/>
      </w:pPr>
      <w:r>
        <w:t>Уровень убедительности рекомендаций А (уровень достоверности доказательств –</w:t>
      </w:r>
      <w:r>
        <w:t xml:space="preserve"> 1)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Комментарии: </w:t>
      </w:r>
      <w:r>
        <w:rPr>
          <w:rFonts w:ascii="Times New Roman" w:eastAsia="Times New Roman" w:hAnsi="Times New Roman" w:cs="Times New Roman"/>
          <w:i/>
          <w:sz w:val="24"/>
        </w:rPr>
        <w:t>Наиболее удобным</w:t>
      </w:r>
      <w:r>
        <w:rPr>
          <w:rFonts w:ascii="Times New Roman" w:eastAsia="Times New Roman" w:hAnsi="Times New Roman" w:cs="Times New Roman"/>
          <w:i/>
          <w:sz w:val="24"/>
        </w:rPr>
        <w:t xml:space="preserve"> вариантом тройной терапии является применение лекарственного препарата, содержащего все три компонента в одном устройстве доставки. Использование одного ингаляционного устройства способствует повышению приверженности к лечению и уменьшает вероятность крит</w:t>
      </w:r>
      <w:r>
        <w:rPr>
          <w:rFonts w:ascii="Times New Roman" w:eastAsia="Times New Roman" w:hAnsi="Times New Roman" w:cs="Times New Roman"/>
          <w:i/>
          <w:sz w:val="24"/>
        </w:rPr>
        <w:t xml:space="preserve">ических ошибок в технике ингаляции [128]. 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Применение фиксированной комбинации флутиказона фуроат+умеклидиния бромид+вилантерол в сравнении с комбинацией ДДАХ/ДДБА (умеклидиния бромид+вилантерол**) привело к снижению частоты среднетяжелых/тяжелых обострен</w:t>
      </w:r>
      <w:r>
        <w:rPr>
          <w:rFonts w:ascii="Times New Roman" w:eastAsia="Times New Roman" w:hAnsi="Times New Roman" w:cs="Times New Roman"/>
          <w:i/>
          <w:sz w:val="24"/>
        </w:rPr>
        <w:t>ий/год на 25% [57] и в сравнении с комбинацией ИГКС/ДДБА (будесонид+форматерол**) на 15% [92].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Среднегодовая частота обострений ХОБЛ в результате лечения комбинацией в едином ингалятаре будесонид+гликопиррония бромид+формотерол уменьшилась в сравнении с ле</w:t>
      </w:r>
      <w:r>
        <w:rPr>
          <w:rFonts w:ascii="Times New Roman" w:eastAsia="Times New Roman" w:hAnsi="Times New Roman" w:cs="Times New Roman"/>
          <w:i/>
          <w:sz w:val="24"/>
        </w:rPr>
        <w:t>чением гликопиррония бромид+формотеролом на 52% и в сравнении с лечением будесонид+формотеролом на 13% [56]; при лечении фиксированной комбинацией беклометазон+гликопиррония бромид+формотерол по сравнению с индакатерол+гликопиррония бромидом+индакатерол на</w:t>
      </w:r>
      <w:r>
        <w:rPr>
          <w:rFonts w:ascii="Times New Roman" w:eastAsia="Times New Roman" w:hAnsi="Times New Roman" w:cs="Times New Roman"/>
          <w:i/>
          <w:sz w:val="24"/>
        </w:rPr>
        <w:t xml:space="preserve"> 15% [129] и в сравнении с беклометазон+формотерол на 23%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142"/>
        <w:ind w:left="1851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[130].</w:t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При возникновении повторных обострений на терапии комбинацией ДДАХ/ДДБА у пациента без эозинофилии (ЭОЗ &lt; 100 кл/мкл) и/или истории БА, или при рецидиве обострений на тройной терапии (ИГК</w:t>
      </w:r>
      <w:r>
        <w:rPr>
          <w:rFonts w:ascii="Times New Roman" w:eastAsia="Times New Roman" w:hAnsi="Times New Roman" w:cs="Times New Roman"/>
          <w:sz w:val="24"/>
        </w:rPr>
        <w:t>С/ДДАХ/ДДБА), рекомендуется уточнить фенотип ХОБЛ и назначить фенотип-специфическую терапию (рофлумиласт 250 или 500 мкг/сут, #N-ацетилцистеин</w:t>
      </w:r>
      <w:r>
        <w:rPr>
          <w:rFonts w:ascii="Times New Roman" w:eastAsia="Times New Roman" w:hAnsi="Times New Roman" w:cs="Times New Roman"/>
        </w:rPr>
        <w:t>**600 или 1200 мг/сут</w:t>
      </w:r>
      <w:r>
        <w:rPr>
          <w:rFonts w:ascii="Times New Roman" w:eastAsia="Times New Roman" w:hAnsi="Times New Roman" w:cs="Times New Roman"/>
          <w:sz w:val="24"/>
        </w:rPr>
        <w:t>, #азитромицин</w:t>
      </w:r>
      <w:r>
        <w:rPr>
          <w:rFonts w:ascii="Times New Roman" w:eastAsia="Times New Roman" w:hAnsi="Times New Roman" w:cs="Times New Roman"/>
        </w:rPr>
        <w:t>**</w:t>
      </w:r>
      <w:r>
        <w:rPr>
          <w:rFonts w:ascii="Times New Roman" w:eastAsia="Times New Roman" w:hAnsi="Times New Roman" w:cs="Times New Roman"/>
          <w:sz w:val="24"/>
        </w:rPr>
        <w:t xml:space="preserve"> 250 мг 1 раз в сут ежедневно или 500 мг один раз 3 сут/неделя и др.) (см. пр</w:t>
      </w:r>
      <w:r>
        <w:rPr>
          <w:rFonts w:ascii="Times New Roman" w:eastAsia="Times New Roman" w:hAnsi="Times New Roman" w:cs="Times New Roman"/>
          <w:sz w:val="24"/>
        </w:rPr>
        <w:t xml:space="preserve">иложение Б) [106, 115, 116, 118].  </w:t>
      </w:r>
    </w:p>
    <w:p w:rsidR="003A0918" w:rsidRDefault="00D87DBB">
      <w:pPr>
        <w:pStyle w:val="Heading4"/>
        <w:spacing w:after="150"/>
        <w:ind w:left="1848" w:right="551"/>
      </w:pPr>
      <w:r>
        <w:t xml:space="preserve">Уровень убедительности рекомендаций </w:t>
      </w:r>
      <w:r>
        <w:t xml:space="preserve">A </w:t>
      </w:r>
      <w:r>
        <w:t>(уровень достоверности доказательств –</w:t>
      </w:r>
      <w:r>
        <w:t xml:space="preserve"> 2)</w:t>
      </w:r>
      <w:r>
        <w:rPr>
          <w:b w:val="0"/>
        </w:rP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Объем бронходилатационной терапии (ДДАХ/ДДБА) не рекомендуется уменьшать (при отсутствии </w:t>
      </w:r>
      <w:r>
        <w:rPr>
          <w:rFonts w:ascii="Times New Roman" w:eastAsia="Times New Roman" w:hAnsi="Times New Roman" w:cs="Times New Roman"/>
          <w:sz w:val="24"/>
        </w:rPr>
        <w:t xml:space="preserve">НЯ) даже в случае максимального облегчения симптомов [1]. </w:t>
      </w:r>
    </w:p>
    <w:p w:rsidR="003A0918" w:rsidRDefault="00D87DBB">
      <w:pPr>
        <w:pStyle w:val="Heading4"/>
        <w:ind w:left="1848" w:right="551"/>
      </w:pPr>
      <w:r>
        <w:t xml:space="preserve">Уровень убедительности рекомендаций </w:t>
      </w:r>
      <w:r>
        <w:t>C (</w:t>
      </w:r>
      <w:r>
        <w:t>уровень достоверности доказательств –</w:t>
      </w:r>
      <w:r>
        <w:t xml:space="preserve"> 5)</w:t>
      </w:r>
      <w:r>
        <w:rPr>
          <w:b w:val="0"/>
        </w:rPr>
        <w:t xml:space="preserve"> </w:t>
      </w:r>
    </w:p>
    <w:p w:rsidR="003A0918" w:rsidRDefault="00D87DBB">
      <w:pPr>
        <w:spacing w:after="42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Комментарии: </w:t>
      </w:r>
      <w:r>
        <w:rPr>
          <w:rFonts w:ascii="Times New Roman" w:eastAsia="Times New Roman" w:hAnsi="Times New Roman" w:cs="Times New Roman"/>
          <w:i/>
          <w:sz w:val="24"/>
        </w:rPr>
        <w:t>Это связано с тем, что ХОБЛ является прогрессирующим заболеванием, поэтому полная нормализация функцион</w:t>
      </w:r>
      <w:r>
        <w:rPr>
          <w:rFonts w:ascii="Times New Roman" w:eastAsia="Times New Roman" w:hAnsi="Times New Roman" w:cs="Times New Roman"/>
          <w:i/>
          <w:sz w:val="24"/>
        </w:rPr>
        <w:t xml:space="preserve">альных показателей легких невозможна. </w:t>
      </w:r>
    </w:p>
    <w:p w:rsidR="003A0918" w:rsidRDefault="00D87DBB">
      <w:pPr>
        <w:pStyle w:val="Heading3"/>
        <w:spacing w:after="104"/>
        <w:ind w:left="1836" w:right="119"/>
      </w:pPr>
      <w:r>
        <w:rPr>
          <w:sz w:val="28"/>
        </w:rPr>
        <w:t>Деэскалационная терапия</w:t>
      </w:r>
      <w:r>
        <w:rPr>
          <w:sz w:val="28"/>
        </w:rP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Деэскалационная терапия возможна только у больных ХОБЛ, получающих комбинированнную терапию ИГКС/ДДАХ/ДДБА [131-134, 170-173]:  </w:t>
      </w:r>
    </w:p>
    <w:p w:rsidR="003A0918" w:rsidRDefault="00D87DBB">
      <w:pPr>
        <w:numPr>
          <w:ilvl w:val="0"/>
          <w:numId w:val="18"/>
        </w:numPr>
        <w:spacing w:after="5" w:line="364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>при уровне эозинофилов &lt; 100 кл/мкл рекомендуется постепенная о</w:t>
      </w:r>
      <w:r>
        <w:rPr>
          <w:rFonts w:ascii="Times New Roman" w:eastAsia="Times New Roman" w:hAnsi="Times New Roman" w:cs="Times New Roman"/>
          <w:sz w:val="24"/>
        </w:rPr>
        <w:t xml:space="preserve">тмена ИГКС со ступенчатым уменьшением суточной дозы в течение 3 месяцев до полной отмены </w:t>
      </w:r>
    </w:p>
    <w:p w:rsidR="003A0918" w:rsidRDefault="00D87DBB">
      <w:pPr>
        <w:spacing w:after="140"/>
        <w:ind w:left="1503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ИГКС при условии назначения ДДАХ/ДДБА; </w:t>
      </w:r>
    </w:p>
    <w:p w:rsidR="003A0918" w:rsidRDefault="00D87DBB">
      <w:pPr>
        <w:numPr>
          <w:ilvl w:val="0"/>
          <w:numId w:val="18"/>
        </w:numPr>
        <w:spacing w:after="5" w:line="364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при возникновении нежелательных явлений, связанных с ИГКС, рекомендуется постепенная отмена ИГКС.  </w:t>
      </w:r>
    </w:p>
    <w:p w:rsidR="003A0918" w:rsidRDefault="00D87DBB">
      <w:pPr>
        <w:spacing w:after="7" w:line="355" w:lineRule="auto"/>
        <w:ind w:left="1841" w:right="560" w:hanging="708"/>
        <w:jc w:val="both"/>
      </w:pPr>
      <w:r>
        <w:rPr>
          <w:rFonts w:ascii="Times New Roman" w:eastAsia="Times New Roman" w:hAnsi="Times New Roman" w:cs="Times New Roman"/>
          <w:b/>
          <w:sz w:val="24"/>
        </w:rPr>
        <w:t>Уровень убедительности рек</w:t>
      </w:r>
      <w:r>
        <w:rPr>
          <w:rFonts w:ascii="Times New Roman" w:eastAsia="Times New Roman" w:hAnsi="Times New Roman" w:cs="Times New Roman"/>
          <w:b/>
          <w:sz w:val="24"/>
        </w:rPr>
        <w:t>омендаций С (уровень достоверности доказательств –3)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 xml:space="preserve">Комментарии: </w:t>
      </w:r>
      <w:r>
        <w:rPr>
          <w:rFonts w:ascii="Times New Roman" w:eastAsia="Times New Roman" w:hAnsi="Times New Roman" w:cs="Times New Roman"/>
          <w:i/>
          <w:sz w:val="24"/>
        </w:rPr>
        <w:t>если по мнению врача пациент не нуждается в продолжении лечения ИГКС, или возникли НЯ от такой терапии, то ИГКС могут быть отменены [132]. При сохранении симптомов на фоне отсутствия обостре</w:t>
      </w:r>
      <w:r>
        <w:rPr>
          <w:rFonts w:ascii="Times New Roman" w:eastAsia="Times New Roman" w:hAnsi="Times New Roman" w:cs="Times New Roman"/>
          <w:i/>
          <w:sz w:val="24"/>
        </w:rPr>
        <w:t xml:space="preserve">ний ХОБЛ в течении предшествующего года рекомендуется перевод на терапию ДДАХ/ДДБА[1].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Комментарии: </w:t>
      </w:r>
      <w:r>
        <w:rPr>
          <w:rFonts w:ascii="Times New Roman" w:eastAsia="Times New Roman" w:hAnsi="Times New Roman" w:cs="Times New Roman"/>
          <w:i/>
          <w:sz w:val="24"/>
        </w:rPr>
        <w:t>Значение ОФВ</w:t>
      </w:r>
      <w:r>
        <w:rPr>
          <w:rFonts w:ascii="Times New Roman" w:eastAsia="Times New Roman" w:hAnsi="Times New Roman" w:cs="Times New Roman"/>
          <w:i/>
          <w:sz w:val="24"/>
          <w:vertAlign w:val="subscript"/>
        </w:rPr>
        <w:t>1</w:t>
      </w:r>
      <w:r>
        <w:rPr>
          <w:rFonts w:ascii="Times New Roman" w:eastAsia="Times New Roman" w:hAnsi="Times New Roman" w:cs="Times New Roman"/>
          <w:i/>
          <w:sz w:val="24"/>
        </w:rPr>
        <w:t xml:space="preserve">&lt;50% ранее считалось фактором риска частых обострений ХОБЛ и рассматривалось как показание </w:t>
      </w:r>
      <w:r>
        <w:rPr>
          <w:rFonts w:ascii="Times New Roman" w:eastAsia="Times New Roman" w:hAnsi="Times New Roman" w:cs="Times New Roman"/>
          <w:i/>
          <w:sz w:val="24"/>
        </w:rPr>
        <w:t xml:space="preserve">к назначению комбинации ИГКС/ДДБА или ИГКС/ДДАХ/ДДБА. В настоящее время такой подход не рекомендуется, поскольку он приводит к нежелательным эффектам и неоправданным затратам [131]. 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Алгоритм терапии больных хронической обструктивной болезнью легких предс</w:t>
      </w:r>
      <w:r>
        <w:rPr>
          <w:rFonts w:ascii="Times New Roman" w:eastAsia="Times New Roman" w:hAnsi="Times New Roman" w:cs="Times New Roman"/>
          <w:sz w:val="24"/>
        </w:rPr>
        <w:t xml:space="preserve">тавлен на рисунке 4 [230].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62"/>
        <w:ind w:right="318"/>
        <w:jc w:val="right"/>
      </w:pPr>
      <w:r>
        <w:rPr>
          <w:noProof/>
        </w:rPr>
        <w:drawing>
          <wp:inline distT="0" distB="0" distL="0" distR="0">
            <wp:extent cx="6086984" cy="4082415"/>
            <wp:effectExtent l="0" t="0" r="0" b="0"/>
            <wp:docPr id="9452" name="Picture 94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52" name="Picture 9452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86984" cy="4082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203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pStyle w:val="Heading2"/>
        <w:spacing w:after="92"/>
        <w:ind w:left="1493" w:right="22"/>
      </w:pPr>
      <w:r>
        <w:rPr>
          <w:sz w:val="32"/>
        </w:rPr>
        <w:t>3.2</w:t>
      </w:r>
      <w:r>
        <w:rPr>
          <w:rFonts w:ascii="Arial" w:eastAsia="Arial" w:hAnsi="Arial" w:cs="Arial"/>
          <w:sz w:val="32"/>
        </w:rPr>
        <w:t xml:space="preserve"> </w:t>
      </w:r>
      <w:r>
        <w:rPr>
          <w:sz w:val="32"/>
        </w:rPr>
        <w:t>Хирургическое лечение</w:t>
      </w:r>
      <w:r>
        <w:rPr>
          <w:sz w:val="32"/>
        </w:rPr>
        <w:t xml:space="preserve"> </w:t>
      </w:r>
    </w:p>
    <w:p w:rsidR="003A0918" w:rsidRDefault="00D87DBB">
      <w:pPr>
        <w:spacing w:after="142"/>
        <w:ind w:left="2213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Пациентам с ХОБЛ с верхнедолевой эмфиземой и низкой переносимостью физической нагрузки рекомендуется проведение операции по уменьшению объема легких </w:t>
      </w:r>
    </w:p>
    <w:p w:rsidR="003A0918" w:rsidRDefault="00D87DBB">
      <w:pPr>
        <w:spacing w:after="112"/>
        <w:ind w:left="1851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[136].   </w:t>
      </w:r>
    </w:p>
    <w:p w:rsidR="003A0918" w:rsidRDefault="00D87DBB">
      <w:pPr>
        <w:pStyle w:val="Heading3"/>
        <w:ind w:left="1848" w:right="551"/>
      </w:pPr>
      <w:r>
        <w:t xml:space="preserve">Уровень убедительности рекомендаций </w:t>
      </w:r>
      <w:r>
        <w:t xml:space="preserve">A </w:t>
      </w:r>
      <w:r>
        <w:t>(уровень достоверности доказательств –</w:t>
      </w:r>
      <w:r>
        <w:t xml:space="preserve"> 2)</w:t>
      </w:r>
      <w:r>
        <w:rPr>
          <w:b w:val="0"/>
        </w:rPr>
        <w:t xml:space="preserve"> </w:t>
      </w:r>
    </w:p>
    <w:p w:rsidR="003A0918" w:rsidRDefault="00D87DBB">
      <w:pPr>
        <w:spacing w:after="31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Комментарии: </w:t>
      </w:r>
      <w:r>
        <w:rPr>
          <w:rFonts w:ascii="Times New Roman" w:eastAsia="Times New Roman" w:hAnsi="Times New Roman" w:cs="Times New Roman"/>
          <w:i/>
          <w:sz w:val="24"/>
        </w:rPr>
        <w:t>Операция уменьшения объема легких проводится путем удаления части легкого для уменьшения гиперинфляции и достижения более эффективной насосной работы респираторных мышц. В настоящее время для уменьшения объема легких возможно использование и менее инвазивн</w:t>
      </w:r>
      <w:r>
        <w:rPr>
          <w:rFonts w:ascii="Times New Roman" w:eastAsia="Times New Roman" w:hAnsi="Times New Roman" w:cs="Times New Roman"/>
          <w:i/>
          <w:sz w:val="24"/>
        </w:rPr>
        <w:t xml:space="preserve">ых методов – окклюзия сегментарных бронхов с помощью клапанов, специального клея и др.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Трансплантация легких рекомендуется ряду пациентов с очень тяжелым течением ХОБЛ при наличии следующих показаний: индекс BODE ≥ 7 баллов (см. Приложение Г5) (BODE – B</w:t>
      </w:r>
      <w:r>
        <w:rPr>
          <w:rFonts w:ascii="Times New Roman" w:eastAsia="Times New Roman" w:hAnsi="Times New Roman" w:cs="Times New Roman"/>
          <w:sz w:val="24"/>
        </w:rPr>
        <w:t xml:space="preserve"> – </w:t>
      </w:r>
      <w:r>
        <w:rPr>
          <w:rFonts w:ascii="Times New Roman" w:eastAsia="Times New Roman" w:hAnsi="Times New Roman" w:cs="Times New Roman"/>
          <w:i/>
          <w:sz w:val="24"/>
        </w:rPr>
        <w:t>body mass index</w:t>
      </w:r>
      <w:r>
        <w:rPr>
          <w:rFonts w:ascii="Times New Roman" w:eastAsia="Times New Roman" w:hAnsi="Times New Roman" w:cs="Times New Roman"/>
          <w:sz w:val="24"/>
        </w:rPr>
        <w:t xml:space="preserve"> (индекс масс тела), O – </w:t>
      </w:r>
      <w:r>
        <w:rPr>
          <w:rFonts w:ascii="Times New Roman" w:eastAsia="Times New Roman" w:hAnsi="Times New Roman" w:cs="Times New Roman"/>
          <w:i/>
          <w:sz w:val="24"/>
        </w:rPr>
        <w:t>obstruction</w:t>
      </w:r>
      <w:r>
        <w:rPr>
          <w:rFonts w:ascii="Times New Roman" w:eastAsia="Times New Roman" w:hAnsi="Times New Roman" w:cs="Times New Roman"/>
          <w:sz w:val="24"/>
        </w:rPr>
        <w:t xml:space="preserve"> (обструкция) D – </w:t>
      </w:r>
      <w:r>
        <w:rPr>
          <w:rFonts w:ascii="Times New Roman" w:eastAsia="Times New Roman" w:hAnsi="Times New Roman" w:cs="Times New Roman"/>
          <w:i/>
          <w:sz w:val="24"/>
        </w:rPr>
        <w:t>dyspne</w:t>
      </w:r>
      <w:r>
        <w:rPr>
          <w:rFonts w:ascii="Times New Roman" w:eastAsia="Times New Roman" w:hAnsi="Times New Roman" w:cs="Times New Roman"/>
          <w:sz w:val="24"/>
        </w:rPr>
        <w:t xml:space="preserve">a (одышка), E – </w:t>
      </w:r>
      <w:r>
        <w:rPr>
          <w:rFonts w:ascii="Times New Roman" w:eastAsia="Times New Roman" w:hAnsi="Times New Roman" w:cs="Times New Roman"/>
          <w:i/>
          <w:sz w:val="24"/>
        </w:rPr>
        <w:t>exercise tolerance</w:t>
      </w:r>
      <w:r>
        <w:rPr>
          <w:rFonts w:ascii="Times New Roman" w:eastAsia="Times New Roman" w:hAnsi="Times New Roman" w:cs="Times New Roman"/>
          <w:sz w:val="24"/>
        </w:rPr>
        <w:t xml:space="preserve"> (толерантность к физической нагрузке)), ОФВ</w:t>
      </w:r>
      <w:r>
        <w:rPr>
          <w:rFonts w:ascii="Times New Roman" w:eastAsia="Times New Roman" w:hAnsi="Times New Roman" w:cs="Times New Roman"/>
          <w:sz w:val="24"/>
          <w:vertAlign w:val="subscript"/>
        </w:rPr>
        <w:t>1</w:t>
      </w:r>
      <w:r>
        <w:rPr>
          <w:rFonts w:ascii="Times New Roman" w:eastAsia="Times New Roman" w:hAnsi="Times New Roman" w:cs="Times New Roman"/>
          <w:sz w:val="24"/>
        </w:rPr>
        <w:t xml:space="preserve"> &lt; 15% от должных, ≥ 3 обострений в предшествующий год, 1 обострение с развитием острой гиперкапнич</w:t>
      </w:r>
      <w:r>
        <w:rPr>
          <w:rFonts w:ascii="Times New Roman" w:eastAsia="Times New Roman" w:hAnsi="Times New Roman" w:cs="Times New Roman"/>
          <w:sz w:val="24"/>
        </w:rPr>
        <w:t xml:space="preserve">еской дыхательной недостаточности (ОДН), среднетяжелая-тяжелая легочная гипертензия (среднее давление в легочной артерии ≥ 35 мм рт.ст.) [137].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 С (уровень достоверности доказательств –</w:t>
      </w:r>
      <w:r>
        <w:t xml:space="preserve"> 5)</w:t>
      </w:r>
      <w:r>
        <w:rPr>
          <w:b w:val="0"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Комментарии: </w:t>
      </w:r>
      <w:r>
        <w:rPr>
          <w:rFonts w:ascii="Times New Roman" w:eastAsia="Times New Roman" w:hAnsi="Times New Roman" w:cs="Times New Roman"/>
          <w:i/>
          <w:sz w:val="24"/>
        </w:rPr>
        <w:t>Трансплантация ле</w:t>
      </w:r>
      <w:r>
        <w:rPr>
          <w:rFonts w:ascii="Times New Roman" w:eastAsia="Times New Roman" w:hAnsi="Times New Roman" w:cs="Times New Roman"/>
          <w:i/>
          <w:sz w:val="24"/>
        </w:rPr>
        <w:t xml:space="preserve">гких может улучшить качество жизни и функциональные показатели у тщательно отобранных пациентов с ХОБЛ. </w:t>
      </w:r>
    </w:p>
    <w:p w:rsidR="003A0918" w:rsidRDefault="00D87DBB">
      <w:pPr>
        <w:spacing w:after="203"/>
        <w:ind w:left="1841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pStyle w:val="Heading2"/>
        <w:spacing w:after="92"/>
        <w:ind w:left="1493" w:right="22"/>
      </w:pPr>
      <w:r>
        <w:rPr>
          <w:sz w:val="32"/>
        </w:rPr>
        <w:t>3.3</w:t>
      </w:r>
      <w:r>
        <w:rPr>
          <w:rFonts w:ascii="Arial" w:eastAsia="Arial" w:hAnsi="Arial" w:cs="Arial"/>
          <w:sz w:val="32"/>
        </w:rPr>
        <w:t xml:space="preserve"> </w:t>
      </w:r>
      <w:r>
        <w:rPr>
          <w:sz w:val="32"/>
        </w:rPr>
        <w:t>Другие методы лечения</w:t>
      </w:r>
      <w:r>
        <w:rPr>
          <w:sz w:val="32"/>
        </w:rPr>
        <w:t xml:space="preserve"> </w:t>
      </w:r>
    </w:p>
    <w:p w:rsidR="003A0918" w:rsidRDefault="00D87DBB">
      <w:pPr>
        <w:spacing w:after="0"/>
        <w:ind w:left="221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pStyle w:val="Heading3"/>
        <w:ind w:left="1848" w:right="551"/>
      </w:pPr>
      <w:r>
        <w:t>Длительная кислородотерапия</w:t>
      </w:r>
      <w: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Одним из наиболее тяжелых осложнений ХОБЛ, развивающихся </w:t>
      </w:r>
      <w:r>
        <w:rPr>
          <w:rFonts w:ascii="Times New Roman" w:eastAsia="Times New Roman" w:hAnsi="Times New Roman" w:cs="Times New Roman"/>
          <w:sz w:val="24"/>
        </w:rPr>
        <w:t>на его поздних (терминальных) стадиях, является хроническая дыхательная недостаточность (ХДН). Главным признаком ХДН служит развитие гипоксемии, т.е. снижение содержания кислорода в артериальной крови (РаО</w:t>
      </w:r>
      <w:r>
        <w:rPr>
          <w:rFonts w:ascii="Times New Roman" w:eastAsia="Times New Roman" w:hAnsi="Times New Roman" w:cs="Times New Roman"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sz w:val="24"/>
        </w:rPr>
        <w:t xml:space="preserve">).  </w:t>
      </w:r>
    </w:p>
    <w:p w:rsidR="003A0918" w:rsidRDefault="00D87DBB">
      <w:pPr>
        <w:spacing w:after="43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ДКТ на сегодняшний день является одним из нем</w:t>
      </w:r>
      <w:r>
        <w:rPr>
          <w:rFonts w:ascii="Times New Roman" w:eastAsia="Times New Roman" w:hAnsi="Times New Roman" w:cs="Times New Roman"/>
          <w:sz w:val="24"/>
        </w:rPr>
        <w:t>ногих методов терапии, способных снизить летальность пациентов с ХОБЛ. Гипоксемия не только сокращает жизнь пациентов с ХОБЛ, но обладает и другими существенными неблагоприятными последствиями: ухудшением качества жизни, развитием полицитемии, повышением р</w:t>
      </w:r>
      <w:r>
        <w:rPr>
          <w:rFonts w:ascii="Times New Roman" w:eastAsia="Times New Roman" w:hAnsi="Times New Roman" w:cs="Times New Roman"/>
          <w:sz w:val="24"/>
        </w:rPr>
        <w:t xml:space="preserve">иска сердечных аритмий во время сна, развитием и прогрессированием легочной гипертензии. ДКТ позволяет уменьшить или устранить все эти негативные эффекты гипоксемии.  </w:t>
      </w:r>
    </w:p>
    <w:p w:rsidR="003A0918" w:rsidRDefault="00D87DBB">
      <w:pPr>
        <w:tabs>
          <w:tab w:val="center" w:pos="1188"/>
          <w:tab w:val="center" w:pos="6194"/>
        </w:tabs>
        <w:spacing w:after="72"/>
      </w:pPr>
      <w:r>
        <w:tab/>
      </w: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ab/>
      </w:r>
      <w:r>
        <w:rPr>
          <w:rFonts w:ascii="Times New Roman" w:eastAsia="Times New Roman" w:hAnsi="Times New Roman" w:cs="Times New Roman"/>
          <w:sz w:val="24"/>
        </w:rPr>
        <w:t xml:space="preserve">Пациентам ХОБЛ с ХДН рекомендуется проведение ДКТ (показания см. Таблицу 9) </w:t>
      </w:r>
    </w:p>
    <w:p w:rsidR="003A0918" w:rsidRDefault="00D87DBB">
      <w:pPr>
        <w:spacing w:after="115"/>
        <w:ind w:left="1851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[1, 138</w:t>
      </w:r>
      <w:r>
        <w:rPr>
          <w:rFonts w:ascii="Times New Roman" w:eastAsia="Times New Roman" w:hAnsi="Times New Roman" w:cs="Times New Roman"/>
          <w:sz w:val="24"/>
        </w:rPr>
        <w:t xml:space="preserve">]. </w:t>
      </w:r>
    </w:p>
    <w:p w:rsidR="003A0918" w:rsidRDefault="00D87DBB">
      <w:pPr>
        <w:spacing w:after="125" w:line="249" w:lineRule="auto"/>
        <w:ind w:left="1848" w:right="551" w:hanging="10"/>
      </w:pPr>
      <w:r>
        <w:rPr>
          <w:rFonts w:ascii="Times New Roman" w:eastAsia="Times New Roman" w:hAnsi="Times New Roman" w:cs="Times New Roman"/>
          <w:b/>
          <w:sz w:val="24"/>
        </w:rPr>
        <w:t>Уровень убедительности рекомендаций С (уровень достоверности доказа-</w:t>
      </w:r>
    </w:p>
    <w:p w:rsidR="003A0918" w:rsidRDefault="00D87DBB">
      <w:pPr>
        <w:spacing w:after="125" w:line="249" w:lineRule="auto"/>
        <w:ind w:left="1848" w:right="551" w:hanging="10"/>
      </w:pPr>
      <w:r>
        <w:rPr>
          <w:rFonts w:ascii="Times New Roman" w:eastAsia="Times New Roman" w:hAnsi="Times New Roman" w:cs="Times New Roman"/>
          <w:b/>
          <w:sz w:val="24"/>
        </w:rPr>
        <w:t>тельств –5).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pStyle w:val="Heading3"/>
        <w:ind w:left="1143" w:right="551"/>
      </w:pPr>
      <w:r>
        <w:t xml:space="preserve">Таблица 9. Показания к длительной кислородотерапии </w:t>
      </w:r>
      <w: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tbl>
      <w:tblPr>
        <w:tblStyle w:val="TableGrid"/>
        <w:tblW w:w="9251" w:type="dxa"/>
        <w:tblInd w:w="1275" w:type="dxa"/>
        <w:tblCellMar>
          <w:top w:w="62" w:type="dxa"/>
          <w:left w:w="106" w:type="dxa"/>
          <w:bottom w:w="0" w:type="dxa"/>
          <w:right w:w="54" w:type="dxa"/>
        </w:tblCellMar>
        <w:tblLook w:val="04A0" w:firstRow="1" w:lastRow="0" w:firstColumn="1" w:lastColumn="0" w:noHBand="0" w:noVBand="1"/>
      </w:tblPr>
      <w:tblGrid>
        <w:gridCol w:w="2432"/>
        <w:gridCol w:w="1709"/>
        <w:gridCol w:w="1419"/>
        <w:gridCol w:w="3692"/>
      </w:tblGrid>
      <w:tr w:rsidR="003A0918">
        <w:trPr>
          <w:trHeight w:val="759"/>
        </w:trPr>
        <w:tc>
          <w:tcPr>
            <w:tcW w:w="2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8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Показания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8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PaO</w:t>
            </w:r>
            <w:r>
              <w:rPr>
                <w:rFonts w:ascii="Times New Roman" w:eastAsia="Times New Roman" w:hAnsi="Times New Roman" w:cs="Times New Roman"/>
                <w:sz w:val="24"/>
                <w:vertAlign w:val="subscript"/>
              </w:rPr>
              <w:t>2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3A0918" w:rsidRDefault="00D87DBB">
            <w:pPr>
              <w:spacing w:after="0"/>
              <w:ind w:left="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(мм рт.ст.) 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69" w:right="10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SрO</w:t>
            </w:r>
            <w:r>
              <w:rPr>
                <w:rFonts w:ascii="Times New Roman" w:eastAsia="Times New Roman" w:hAnsi="Times New Roman" w:cs="Times New Roman"/>
                <w:sz w:val="24"/>
                <w:vertAlign w:val="subscript"/>
              </w:rPr>
              <w:t>2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(%) </w:t>
            </w:r>
          </w:p>
        </w:tc>
        <w:tc>
          <w:tcPr>
            <w:tcW w:w="3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Особые условия </w:t>
            </w:r>
          </w:p>
        </w:tc>
      </w:tr>
      <w:tr w:rsidR="003A0918">
        <w:trPr>
          <w:trHeight w:val="346"/>
        </w:trPr>
        <w:tc>
          <w:tcPr>
            <w:tcW w:w="2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Абсолютные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&lt; 55 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8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≤ 88 </w:t>
            </w:r>
          </w:p>
        </w:tc>
        <w:tc>
          <w:tcPr>
            <w:tcW w:w="3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Нет. </w:t>
            </w:r>
          </w:p>
        </w:tc>
      </w:tr>
      <w:tr w:rsidR="003A0918">
        <w:trPr>
          <w:trHeight w:val="838"/>
        </w:trPr>
        <w:tc>
          <w:tcPr>
            <w:tcW w:w="2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Относительные (при наличии особых условий)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55-59 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8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89 </w:t>
            </w:r>
          </w:p>
        </w:tc>
        <w:tc>
          <w:tcPr>
            <w:tcW w:w="3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Легочное сердце, отеки, полицитемия (Ht&gt;55%). </w:t>
            </w:r>
          </w:p>
        </w:tc>
      </w:tr>
      <w:tr w:rsidR="003A0918">
        <w:trPr>
          <w:trHeight w:val="1436"/>
        </w:trPr>
        <w:tc>
          <w:tcPr>
            <w:tcW w:w="2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Нет показаний (за исключением особых условий)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≥60 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≥90 </w:t>
            </w:r>
          </w:p>
        </w:tc>
        <w:tc>
          <w:tcPr>
            <w:tcW w:w="3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Десатурация при нагрузке; </w:t>
            </w:r>
          </w:p>
          <w:p w:rsidR="003A0918" w:rsidRDefault="00D87DBB">
            <w:pPr>
              <w:spacing w:after="32" w:line="238" w:lineRule="auto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Десатурация во время сна;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Болезнь легких с тяжелым диспноэ, уменьшающимся на фоне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О</w:t>
            </w:r>
            <w:r>
              <w:rPr>
                <w:rFonts w:ascii="Times New Roman" w:eastAsia="Times New Roman" w:hAnsi="Times New Roman" w:cs="Times New Roman"/>
                <w:sz w:val="24"/>
                <w:vertAlign w:val="subscript"/>
              </w:rPr>
              <w:t>2.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3A0918" w:rsidRDefault="00D87DBB">
      <w:pPr>
        <w:spacing w:after="113"/>
        <w:ind w:left="1841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Комментарии: </w:t>
      </w:r>
      <w:r>
        <w:rPr>
          <w:rFonts w:ascii="Times New Roman" w:eastAsia="Times New Roman" w:hAnsi="Times New Roman" w:cs="Times New Roman"/>
          <w:i/>
          <w:sz w:val="24"/>
        </w:rPr>
        <w:t xml:space="preserve">Следует подчеркнуть, что наличие клинических признаков легочного сердца предполагает более раннее назначение ДКТ. 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31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Коррекция гипоксемии с помощью кислорода – </w:t>
      </w:r>
      <w:r>
        <w:rPr>
          <w:rFonts w:ascii="Times New Roman" w:eastAsia="Times New Roman" w:hAnsi="Times New Roman" w:cs="Times New Roman"/>
          <w:i/>
          <w:sz w:val="24"/>
        </w:rPr>
        <w:t>наиболее патофизиологически обоснованный метод терапии ХДН. В отличие от ряда неотложных состояний (пневмония, отек легких, травма), использование кислорода у пациентов с хронической гипоксемией должно быть постоянным, длительным и, как правило, проводитьс</w:t>
      </w:r>
      <w:r>
        <w:rPr>
          <w:rFonts w:ascii="Times New Roman" w:eastAsia="Times New Roman" w:hAnsi="Times New Roman" w:cs="Times New Roman"/>
          <w:i/>
          <w:sz w:val="24"/>
        </w:rPr>
        <w:t xml:space="preserve">я в домашних условиях, поэтому такая форма терапии и называется ДКТ. 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Параметры газообмена, на которых основываются показания к ДКТ, рекомендуется оценивать только во время стабильного состояния пациентов, т.е. через 3-4 недели после обострения ХОБЛ [13</w:t>
      </w:r>
      <w:r>
        <w:rPr>
          <w:rFonts w:ascii="Times New Roman" w:eastAsia="Times New Roman" w:hAnsi="Times New Roman" w:cs="Times New Roman"/>
          <w:sz w:val="24"/>
        </w:rPr>
        <w:t xml:space="preserve">9-141]. 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 С (уровень достоверности доказательств –</w:t>
      </w:r>
      <w:r>
        <w:t xml:space="preserve"> 5)</w:t>
      </w:r>
      <w:r>
        <w:rPr>
          <w:b w:val="0"/>
        </w:rPr>
        <w:t xml:space="preserve"> </w:t>
      </w:r>
    </w:p>
    <w:p w:rsidR="003A0918" w:rsidRDefault="00D87DBB">
      <w:pPr>
        <w:spacing w:after="31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Именно такое время требуется для восстановления газообмена и кислородного транспорта после периода ОДН. Перед назначением пациентам с ХОБЛ ДКТ рекоменду</w:t>
      </w:r>
      <w:r>
        <w:rPr>
          <w:rFonts w:ascii="Times New Roman" w:eastAsia="Times New Roman" w:hAnsi="Times New Roman" w:cs="Times New Roman"/>
          <w:i/>
          <w:sz w:val="24"/>
        </w:rPr>
        <w:t>ется убедиться, что возможности медикаментозной терапии исчерпаны и максимально возможная терапия не приводит к повышению РаО</w:t>
      </w:r>
      <w:r>
        <w:rPr>
          <w:rFonts w:ascii="Times New Roman" w:eastAsia="Times New Roman" w:hAnsi="Times New Roman" w:cs="Times New Roman"/>
          <w:i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i/>
          <w:sz w:val="24"/>
        </w:rPr>
        <w:t xml:space="preserve"> выше пограничных значений. 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При назначении кислородотерапии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рекомендуется стремиться к достижению значений РаО</w:t>
      </w:r>
      <w:r>
        <w:rPr>
          <w:rFonts w:ascii="Times New Roman" w:eastAsia="Times New Roman" w:hAnsi="Times New Roman" w:cs="Times New Roman"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sz w:val="24"/>
        </w:rPr>
        <w:t xml:space="preserve"> &gt; 60 мм рт. ст</w:t>
      </w:r>
      <w:r>
        <w:rPr>
          <w:rFonts w:ascii="Times New Roman" w:eastAsia="Times New Roman" w:hAnsi="Times New Roman" w:cs="Times New Roman"/>
          <w:sz w:val="24"/>
        </w:rPr>
        <w:t>. и SрO</w:t>
      </w:r>
      <w:r>
        <w:rPr>
          <w:rFonts w:ascii="Times New Roman" w:eastAsia="Times New Roman" w:hAnsi="Times New Roman" w:cs="Times New Roman"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sz w:val="24"/>
        </w:rPr>
        <w:t xml:space="preserve"> &gt; 90% [142]. </w:t>
      </w:r>
    </w:p>
    <w:p w:rsidR="003A0918" w:rsidRDefault="00D87DBB">
      <w:pPr>
        <w:pStyle w:val="Heading3"/>
        <w:spacing w:after="152"/>
        <w:ind w:left="1848" w:right="551"/>
      </w:pPr>
      <w:r>
        <w:t>Уровень убедительности рекомендаций</w:t>
      </w:r>
      <w:r>
        <w:t xml:space="preserve"> </w:t>
      </w:r>
      <w:r>
        <w:t>С</w:t>
      </w:r>
      <w:r>
        <w:t xml:space="preserve"> </w:t>
      </w:r>
      <w:r>
        <w:t>(уровень достоверности доказательств –</w:t>
      </w:r>
      <w:r>
        <w:t xml:space="preserve"> 5)</w:t>
      </w:r>
      <w:r>
        <w:rPr>
          <w:b w:val="0"/>
        </w:rP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ДКТ не рекомендуется пациентам с ХОБЛ, продолжающим курить; не получающих адекватную медикаментозную терапию, направленную на контроль течения ХОБЛ (</w:t>
      </w:r>
      <w:r>
        <w:rPr>
          <w:rFonts w:ascii="Times New Roman" w:eastAsia="Times New Roman" w:hAnsi="Times New Roman" w:cs="Times New Roman"/>
          <w:sz w:val="24"/>
        </w:rPr>
        <w:t xml:space="preserve">препараты для лечения обструктивных заболеваний дыхательных путей, ИГКС и </w:t>
      </w:r>
    </w:p>
    <w:p w:rsidR="003A0918" w:rsidRDefault="00D87DBB">
      <w:pPr>
        <w:spacing w:after="115"/>
        <w:ind w:left="185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т.д.); недостаточно мотивированным для данного вида терапии [141, 202]. </w:t>
      </w:r>
    </w:p>
    <w:p w:rsidR="003A0918" w:rsidRDefault="00D87DBB">
      <w:pPr>
        <w:pStyle w:val="Heading3"/>
        <w:spacing w:after="152"/>
        <w:ind w:left="1848" w:right="551"/>
      </w:pPr>
      <w:r>
        <w:t>Уровень убедительности рекомендаций С (уровень достоверности доказательств –</w:t>
      </w:r>
      <w:r>
        <w:t xml:space="preserve"> 5)</w:t>
      </w:r>
      <w:r>
        <w:rPr>
          <w:b w:val="0"/>
        </w:rP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Большинству пациентов ХОБ</w:t>
      </w:r>
      <w:r>
        <w:rPr>
          <w:rFonts w:ascii="Times New Roman" w:eastAsia="Times New Roman" w:hAnsi="Times New Roman" w:cs="Times New Roman"/>
          <w:sz w:val="24"/>
        </w:rPr>
        <w:t xml:space="preserve">Л рекомендуется проведение ДКТ не менее 15 часов сутки с максимальными перерывами между сеансами, не превышающими 2-х часов подряд, с потоком кислорода 1-2 л/мин [142].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 С</w:t>
      </w:r>
      <w:r>
        <w:t xml:space="preserve"> </w:t>
      </w:r>
      <w:r>
        <w:t>(уровень достоверности доказательств –</w:t>
      </w:r>
      <w:r>
        <w:t xml:space="preserve"> 5)</w:t>
      </w:r>
      <w:r>
        <w:rPr>
          <w:b w:val="0"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</w:t>
      </w:r>
      <w:r>
        <w:rPr>
          <w:rFonts w:ascii="Times New Roman" w:eastAsia="Times New Roman" w:hAnsi="Times New Roman" w:cs="Times New Roman"/>
          <w:b/>
          <w:sz w:val="24"/>
        </w:rPr>
        <w:t>нтарии:</w:t>
      </w:r>
      <w:r>
        <w:rPr>
          <w:rFonts w:ascii="Times New Roman" w:eastAsia="Times New Roman" w:hAnsi="Times New Roman" w:cs="Times New Roman"/>
          <w:i/>
          <w:sz w:val="24"/>
        </w:rPr>
        <w:t xml:space="preserve"> ДКТ (&gt; 15 часов в день) увеличивает выживаемость у пациентов с хронической дыхательной недостаточностью и выраженной гипоксемией в покое. Для проведения ДКТ в домашних условиях сегодня в основном используют концентраторы кислорода. У наиболее тяжел</w:t>
      </w:r>
      <w:r>
        <w:rPr>
          <w:rFonts w:ascii="Times New Roman" w:eastAsia="Times New Roman" w:hAnsi="Times New Roman" w:cs="Times New Roman"/>
          <w:i/>
          <w:sz w:val="24"/>
        </w:rPr>
        <w:t xml:space="preserve">ых пациентов поток может быть увеличен и до 4-5 л/мин. Алгоритм ДКТ у пациентов с ХОБЛ представлен в приложении Б2.  </w:t>
      </w:r>
    </w:p>
    <w:p w:rsidR="003A0918" w:rsidRDefault="00D87DBB">
      <w:pPr>
        <w:pStyle w:val="Heading3"/>
        <w:ind w:left="1848" w:right="551"/>
      </w:pPr>
      <w:r>
        <w:t>Длительная домашняя вентиляция легких</w:t>
      </w:r>
      <w: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Гиперкапния (т.е. повышение парциального напряжения углекислого газа в артериальной крови - РаСО</w:t>
      </w:r>
      <w:r>
        <w:rPr>
          <w:rFonts w:ascii="Times New Roman" w:eastAsia="Times New Roman" w:hAnsi="Times New Roman" w:cs="Times New Roman"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≥ 45 мм рт.ст.) является маркером снижения вентиляционного резерва при терминальных стадиях легочных заболеваний и также служит отрицательным прогностическим фактором для пациентов с ХОБЛ. Ночная гиперкапния изменяет чувствительность дыхательного центра к </w:t>
      </w:r>
      <w:r>
        <w:rPr>
          <w:rFonts w:ascii="Times New Roman" w:eastAsia="Times New Roman" w:hAnsi="Times New Roman" w:cs="Times New Roman"/>
          <w:sz w:val="24"/>
        </w:rPr>
        <w:t>СО</w:t>
      </w:r>
      <w:r>
        <w:rPr>
          <w:rFonts w:ascii="Times New Roman" w:eastAsia="Times New Roman" w:hAnsi="Times New Roman" w:cs="Times New Roman"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sz w:val="24"/>
        </w:rPr>
        <w:t>, приводя к более высокому уровню РаСО</w:t>
      </w:r>
      <w:r>
        <w:rPr>
          <w:rFonts w:ascii="Times New Roman" w:eastAsia="Times New Roman" w:hAnsi="Times New Roman" w:cs="Times New Roman"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sz w:val="24"/>
        </w:rPr>
        <w:t xml:space="preserve"> и в дневное время, что имеет негативные последствия для функции сердца, головного мозга и дыхательных мышц. Дисфункция дыхательной мускулатуры в сочетании с высокой резистивной, эластичной и пороговой нагрузкой на</w:t>
      </w:r>
      <w:r>
        <w:rPr>
          <w:rFonts w:ascii="Times New Roman" w:eastAsia="Times New Roman" w:hAnsi="Times New Roman" w:cs="Times New Roman"/>
          <w:sz w:val="24"/>
        </w:rPr>
        <w:t xml:space="preserve"> аппарат дыхания еще более усугубляет гиперкапнию у пациентов с ХОБЛ, таким образом, развивается «порочный круг», разорвать который может только проведение респираторной поддержки (вентиляции легких). 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У пациентов с ХОБЛ со стабильным течением ХДН, не нуж</w:t>
      </w:r>
      <w:r>
        <w:rPr>
          <w:rFonts w:ascii="Times New Roman" w:eastAsia="Times New Roman" w:hAnsi="Times New Roman" w:cs="Times New Roman"/>
          <w:sz w:val="24"/>
        </w:rPr>
        <w:t xml:space="preserve">дающихся в интенсивной терапии, возможно проведение длительной респираторной поддержки на постоянной основе в домашних условиях – т.н. длительной домашней вентиляции легких (ДДВЛ). </w:t>
      </w:r>
    </w:p>
    <w:p w:rsidR="003A0918" w:rsidRDefault="00D87DBB">
      <w:pPr>
        <w:spacing w:after="41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Использование ДДВЛ у пациентов с ХОБЛ сопровождается рядом положительных п</w:t>
      </w:r>
      <w:r>
        <w:rPr>
          <w:rFonts w:ascii="Times New Roman" w:eastAsia="Times New Roman" w:hAnsi="Times New Roman" w:cs="Times New Roman"/>
          <w:sz w:val="24"/>
        </w:rPr>
        <w:t>атофизиологических эффектов, основными из которых являются улучшение показателей газообмена – повышение РаО</w:t>
      </w:r>
      <w:r>
        <w:rPr>
          <w:rFonts w:ascii="Times New Roman" w:eastAsia="Times New Roman" w:hAnsi="Times New Roman" w:cs="Times New Roman"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sz w:val="24"/>
        </w:rPr>
        <w:t xml:space="preserve"> и снижение РаСО</w:t>
      </w:r>
      <w:r>
        <w:rPr>
          <w:rFonts w:ascii="Times New Roman" w:eastAsia="Times New Roman" w:hAnsi="Times New Roman" w:cs="Times New Roman"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sz w:val="24"/>
        </w:rPr>
        <w:t>, улучшение функции дыхательных мышц, повышение переносимости физических нагрузок, улучшение качества сна, уменьшение ЛГИ. В недавн</w:t>
      </w:r>
      <w:r>
        <w:rPr>
          <w:rFonts w:ascii="Times New Roman" w:eastAsia="Times New Roman" w:hAnsi="Times New Roman" w:cs="Times New Roman"/>
          <w:sz w:val="24"/>
        </w:rPr>
        <w:t>о проведенных исследованиях продемонстрировано, что при адекватно подобранных параметрах неинвазивной вентиляции легких (НИВЛ) возможно значительное улучшение выживаемости пациентов ХОБЛ, осложненной гиперкапнической ХДН [143, 144].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tabs>
          <w:tab w:val="center" w:pos="1188"/>
          <w:tab w:val="center" w:pos="6193"/>
        </w:tabs>
        <w:spacing w:after="74"/>
      </w:pPr>
      <w:r>
        <w:tab/>
      </w: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ab/>
      </w:r>
      <w:r>
        <w:rPr>
          <w:rFonts w:ascii="Times New Roman" w:eastAsia="Times New Roman" w:hAnsi="Times New Roman" w:cs="Times New Roman"/>
          <w:sz w:val="24"/>
        </w:rPr>
        <w:t>ДДВЛ рекомендуется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пациентам с ХОБЛ, отвечающим следующим критериям [145 </w:t>
      </w:r>
    </w:p>
    <w:p w:rsidR="003A0918" w:rsidRDefault="00D87DBB">
      <w:pPr>
        <w:spacing w:after="133"/>
        <w:ind w:left="1851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- 147]: </w:t>
      </w:r>
    </w:p>
    <w:p w:rsidR="003A0918" w:rsidRDefault="00D87DBB">
      <w:pPr>
        <w:numPr>
          <w:ilvl w:val="0"/>
          <w:numId w:val="19"/>
        </w:numPr>
        <w:spacing w:after="131"/>
        <w:ind w:right="560" w:hanging="425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Наличие симптомов ХДН: слабость, одышка, утренние головные боли; </w:t>
      </w:r>
    </w:p>
    <w:p w:rsidR="003A0918" w:rsidRDefault="00D87DBB">
      <w:pPr>
        <w:numPr>
          <w:ilvl w:val="0"/>
          <w:numId w:val="19"/>
        </w:numPr>
        <w:spacing w:after="5" w:line="364" w:lineRule="auto"/>
        <w:ind w:right="560" w:hanging="425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Наличие одного из следующих показателей: PaCO2 &gt; 55 мм рт.ст., PaCO2 50-54 мм рт.ст. и эпизоды ночных десатураций (SрO2 &lt; </w:t>
      </w:r>
      <w:r>
        <w:rPr>
          <w:rFonts w:ascii="Times New Roman" w:eastAsia="Times New Roman" w:hAnsi="Times New Roman" w:cs="Times New Roman"/>
          <w:sz w:val="24"/>
        </w:rPr>
        <w:t xml:space="preserve">88% в течение более 5 мин во время O2-терапии 2 л/мин), PaCO2 50-54 мм рт.ст. и частые госпитализации вследствие развития повторных обострений (2 и более госпитализаций за 12 мес). </w:t>
      </w:r>
    </w:p>
    <w:p w:rsidR="003A0918" w:rsidRDefault="00D87DBB">
      <w:pPr>
        <w:pStyle w:val="Heading3"/>
        <w:ind w:left="1848" w:right="551"/>
      </w:pPr>
      <w:r>
        <w:t xml:space="preserve">Уровень убедительности рекомендаций </w:t>
      </w:r>
      <w:r>
        <w:t xml:space="preserve">C </w:t>
      </w:r>
      <w:r>
        <w:t>(уровень достоверности доказательств</w:t>
      </w:r>
      <w:r>
        <w:t xml:space="preserve"> –</w:t>
      </w:r>
      <w:r>
        <w:t xml:space="preserve"> 5)</w:t>
      </w:r>
      <w:r>
        <w:rPr>
          <w:i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i/>
          <w:sz w:val="24"/>
        </w:rPr>
        <w:t xml:space="preserve"> В домашних условиях используются преимущественно портативные респираторы. Общими чертами портативных респираторов является их малый размер, низкая стоимость, простота настройки, возможность эффективно компенсировать даже высокую утечку,</w:t>
      </w:r>
      <w:r>
        <w:rPr>
          <w:rFonts w:ascii="Times New Roman" w:eastAsia="Times New Roman" w:hAnsi="Times New Roman" w:cs="Times New Roman"/>
          <w:i/>
          <w:sz w:val="24"/>
        </w:rPr>
        <w:t xml:space="preserve"> однако данные аппараты, как правило, не обладают теми возможностями мониторинга и тревог, что есть у «реанимационных» респираторов. Большинство портативных респираторов используют одиночный контур (инспираторный), эвакуация выдыхаемого дыхательного объема</w:t>
      </w:r>
      <w:r>
        <w:rPr>
          <w:rFonts w:ascii="Times New Roman" w:eastAsia="Times New Roman" w:hAnsi="Times New Roman" w:cs="Times New Roman"/>
          <w:i/>
          <w:sz w:val="24"/>
        </w:rPr>
        <w:t xml:space="preserve"> осуществляется через клапан выдоха или специальные отверстия в маске или контуре. </w:t>
      </w:r>
    </w:p>
    <w:p w:rsidR="003A0918" w:rsidRDefault="00D87DBB">
      <w:pPr>
        <w:spacing w:after="31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Параметры вентиляции обычно подбирают в условиях стационара, а затем проводится регулярное наблюдение за пациентами и обслуживание аппаратуры специалистами на дому.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При </w:t>
      </w:r>
      <w:r>
        <w:rPr>
          <w:rFonts w:ascii="Times New Roman" w:eastAsia="Times New Roman" w:hAnsi="Times New Roman" w:cs="Times New Roman"/>
          <w:sz w:val="24"/>
        </w:rPr>
        <w:t xml:space="preserve">проведении ДДВЛ рекомендуется использовать респираторы в ночное время и, возможно, несколько часов в дневное время [148].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 А</w:t>
      </w:r>
      <w:r>
        <w:t xml:space="preserve"> </w:t>
      </w:r>
      <w:r>
        <w:t>(уровень достоверности доказательств –</w:t>
      </w:r>
      <w:r>
        <w:t xml:space="preserve"> 2)</w:t>
      </w:r>
      <w:r>
        <w:rPr>
          <w:i/>
        </w:rPr>
        <w:t xml:space="preserve"> </w:t>
      </w:r>
    </w:p>
    <w:p w:rsidR="003A0918" w:rsidRDefault="00D87DBB">
      <w:pPr>
        <w:spacing w:after="28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</w:t>
      </w:r>
      <w:r>
        <w:rPr>
          <w:rFonts w:ascii="Times New Roman" w:eastAsia="Times New Roman" w:hAnsi="Times New Roman" w:cs="Times New Roman"/>
          <w:i/>
          <w:sz w:val="24"/>
        </w:rPr>
        <w:t>: Некоторым пациентам с ХОБЛ, особенно пр</w:t>
      </w:r>
      <w:r>
        <w:rPr>
          <w:rFonts w:ascii="Times New Roman" w:eastAsia="Times New Roman" w:hAnsi="Times New Roman" w:cs="Times New Roman"/>
          <w:i/>
          <w:sz w:val="24"/>
        </w:rPr>
        <w:t>и наличии явной гиперкапнии в дневное время, требуется дополнительная подача кислорода из кислородного концентратора или из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блока жидкого кислорода портативного (код 113770). Критерии дозирования кислорода такие же, как при ДКТ (РаО</w:t>
      </w:r>
      <w:r>
        <w:rPr>
          <w:rFonts w:ascii="Times New Roman" w:eastAsia="Times New Roman" w:hAnsi="Times New Roman" w:cs="Times New Roman"/>
          <w:i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i/>
          <w:sz w:val="24"/>
        </w:rPr>
        <w:t xml:space="preserve"> &gt; 60 мм рт.ст. и SрO</w:t>
      </w:r>
      <w:r>
        <w:rPr>
          <w:rFonts w:ascii="Times New Roman" w:eastAsia="Times New Roman" w:hAnsi="Times New Roman" w:cs="Times New Roman"/>
          <w:i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i/>
          <w:sz w:val="24"/>
        </w:rPr>
        <w:t xml:space="preserve"> &gt; 90%). 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ДДВЛ не рекомендуется проводить у пациентов с ХОБЛ с тяжелыми расстройствами глотания и неспособностью контролировать откашливание (для масочной вентиляции); плохой мотивацией и неадекватным комплаенсом; тяжелыми когнитивными расстройствами; п</w:t>
      </w:r>
      <w:r>
        <w:rPr>
          <w:rFonts w:ascii="Times New Roman" w:eastAsia="Times New Roman" w:hAnsi="Times New Roman" w:cs="Times New Roman"/>
          <w:sz w:val="24"/>
        </w:rPr>
        <w:t xml:space="preserve">отребностью в постоянной (около 24 ч/сут) респираторной поддержке; недостаточностью финансовых или страховых ресурсов; отсутствием поддержки пациента медицинскими учреждениями [144, 203]. </w:t>
      </w:r>
    </w:p>
    <w:p w:rsidR="003A0918" w:rsidRDefault="00D87DBB">
      <w:pPr>
        <w:spacing w:after="125" w:line="249" w:lineRule="auto"/>
        <w:ind w:left="1848" w:right="551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</w:t>
      </w:r>
      <w:r>
        <w:rPr>
          <w:rFonts w:ascii="Times New Roman" w:eastAsia="Times New Roman" w:hAnsi="Times New Roman" w:cs="Times New Roman"/>
          <w:b/>
          <w:sz w:val="24"/>
        </w:rPr>
        <w:t>(уровень достоверности доказа-</w:t>
      </w:r>
    </w:p>
    <w:p w:rsidR="003A0918" w:rsidRDefault="00D87DBB">
      <w:pPr>
        <w:spacing w:after="125" w:line="249" w:lineRule="auto"/>
        <w:ind w:left="1848" w:right="551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тельств – 5). </w:t>
      </w:r>
    </w:p>
    <w:p w:rsidR="003A0918" w:rsidRDefault="00D87DBB">
      <w:pPr>
        <w:spacing w:after="190"/>
        <w:ind w:left="1841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pStyle w:val="Heading2"/>
        <w:spacing w:after="92"/>
        <w:ind w:right="22"/>
      </w:pPr>
      <w:r>
        <w:rPr>
          <w:sz w:val="32"/>
        </w:rPr>
        <w:t xml:space="preserve">3.4  </w:t>
      </w:r>
      <w:r>
        <w:rPr>
          <w:sz w:val="32"/>
        </w:rPr>
        <w:t>Лечение обострений ХОБЛ</w:t>
      </w:r>
      <w:r>
        <w:rPr>
          <w:sz w:val="32"/>
        </w:rP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Обострение ХОБЛ - событие, характеризующееся усилением одышки и/или кашля с мокротой, ухудшающееся в течение ≤ 14 дней, может сопровождаться тахипноэ и/или тахикардией, часто свя</w:t>
      </w:r>
      <w:r>
        <w:rPr>
          <w:rFonts w:ascii="Times New Roman" w:eastAsia="Times New Roman" w:hAnsi="Times New Roman" w:cs="Times New Roman"/>
          <w:sz w:val="24"/>
        </w:rPr>
        <w:t xml:space="preserve">зано с усилением местного и системного воспаления, вызванного инфекцией дыхательных путей, поллютантами или другими повреждениями воздухоносной системы [1].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Пациентам с обострением ХОБЛ госпитализация в стационар рекомендуется при наличии следующих показа</w:t>
      </w:r>
      <w:r>
        <w:rPr>
          <w:rFonts w:ascii="Times New Roman" w:eastAsia="Times New Roman" w:hAnsi="Times New Roman" w:cs="Times New Roman"/>
          <w:sz w:val="24"/>
        </w:rPr>
        <w:t xml:space="preserve">ний:  </w:t>
      </w:r>
    </w:p>
    <w:p w:rsidR="003A0918" w:rsidRDefault="00D87DBB">
      <w:pPr>
        <w:numPr>
          <w:ilvl w:val="0"/>
          <w:numId w:val="20"/>
        </w:numPr>
        <w:spacing w:after="5" w:line="364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>значительное увеличение интенсивности и/или появление новых клинических симптомов (одышка по шкале визуально-аналоговой шкале по Боргу (</w:t>
      </w:r>
      <w:r>
        <w:rPr>
          <w:rFonts w:ascii="Times New Roman" w:eastAsia="Times New Roman" w:hAnsi="Times New Roman" w:cs="Times New Roman"/>
          <w:i/>
          <w:sz w:val="24"/>
        </w:rPr>
        <w:t>VAS - visual analog scale</w:t>
      </w:r>
      <w:r>
        <w:rPr>
          <w:rFonts w:ascii="Times New Roman" w:eastAsia="Times New Roman" w:hAnsi="Times New Roman" w:cs="Times New Roman"/>
          <w:sz w:val="24"/>
        </w:rPr>
        <w:t xml:space="preserve">) ≥5 баллов,  </w:t>
      </w:r>
    </w:p>
    <w:p w:rsidR="003A0918" w:rsidRDefault="00D87DBB">
      <w:pPr>
        <w:numPr>
          <w:ilvl w:val="0"/>
          <w:numId w:val="20"/>
        </w:numPr>
        <w:spacing w:after="96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частота дыхания ≥ 24/мин,  </w:t>
      </w:r>
    </w:p>
    <w:p w:rsidR="003A0918" w:rsidRDefault="00D87DBB">
      <w:pPr>
        <w:numPr>
          <w:ilvl w:val="0"/>
          <w:numId w:val="20"/>
        </w:numPr>
        <w:spacing w:after="94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частота сердечных сокращений ≥ 95/мин),  </w:t>
      </w:r>
    </w:p>
    <w:p w:rsidR="003A0918" w:rsidRDefault="00D87DBB">
      <w:pPr>
        <w:numPr>
          <w:ilvl w:val="0"/>
          <w:numId w:val="20"/>
        </w:numPr>
        <w:spacing w:after="5" w:line="364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>пад</w:t>
      </w:r>
      <w:r>
        <w:rPr>
          <w:rFonts w:ascii="Times New Roman" w:eastAsia="Times New Roman" w:hAnsi="Times New Roman" w:cs="Times New Roman"/>
          <w:sz w:val="24"/>
        </w:rPr>
        <w:t xml:space="preserve">ение SрO2&lt;92% и/или снижение SрO2 &gt; 3% от исходного уровня, если известно,  </w:t>
      </w:r>
    </w:p>
    <w:p w:rsidR="003A0918" w:rsidRDefault="00D87DBB">
      <w:pPr>
        <w:numPr>
          <w:ilvl w:val="0"/>
          <w:numId w:val="20"/>
        </w:numPr>
        <w:spacing w:after="5" w:line="364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РаО2 ≤ 60 мм рт.ст. и/или РаСО2 &gt;45 мм рт.ст. (при возможности определения), невозможность купировать обострение с помощью первоначальной терапии </w:t>
      </w:r>
    </w:p>
    <w:p w:rsidR="003A0918" w:rsidRDefault="00D87DBB">
      <w:pPr>
        <w:spacing w:after="112"/>
        <w:ind w:left="2211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[15]. </w:t>
      </w:r>
    </w:p>
    <w:p w:rsidR="003A0918" w:rsidRDefault="00D87DBB">
      <w:pPr>
        <w:pStyle w:val="Heading3"/>
        <w:spacing w:after="152"/>
        <w:ind w:left="1848" w:right="551"/>
      </w:pPr>
      <w:r>
        <w:t>Уровень убедительности рекомендаций С (уровень достоверности доказательств –</w:t>
      </w:r>
      <w:r>
        <w:t xml:space="preserve"> 5) </w:t>
      </w:r>
    </w:p>
    <w:p w:rsidR="003A0918" w:rsidRDefault="00D87DBB">
      <w:pPr>
        <w:spacing w:after="5" w:line="364" w:lineRule="auto"/>
        <w:ind w:left="2201" w:right="560" w:hanging="360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В качестве обязательного диагностического минимума при поступлении в стационар рекомендуется выполнение развернутого клинического анализа крови, определение С-реактивного бе</w:t>
      </w:r>
      <w:r>
        <w:rPr>
          <w:rFonts w:ascii="Times New Roman" w:eastAsia="Times New Roman" w:hAnsi="Times New Roman" w:cs="Times New Roman"/>
          <w:sz w:val="24"/>
        </w:rPr>
        <w:t>лка сыворотки крови, коагулограмма с определнием D-димера (по показаниям), пульсоксиметрия, рентгенографии органов грудной  клетки, а также электрокардиография [1, 149].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spacing w:after="2" w:line="356" w:lineRule="auto"/>
        <w:ind w:left="2146" w:right="551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C (уровень достоверности доказательств – 5) </w:t>
      </w:r>
    </w:p>
    <w:p w:rsidR="003A0918" w:rsidRDefault="00D87DBB">
      <w:pPr>
        <w:spacing w:after="112"/>
        <w:ind w:left="213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pStyle w:val="Heading3"/>
        <w:ind w:left="1848" w:right="551"/>
      </w:pPr>
      <w:r>
        <w:t>Ин</w:t>
      </w:r>
      <w:r>
        <w:t>галяционные бронходилататоры</w:t>
      </w:r>
      <w:r>
        <w:t xml:space="preserve"> </w:t>
      </w:r>
      <w:r>
        <w:t>(препараты для лечения</w:t>
      </w:r>
      <w:r>
        <w:t xml:space="preserve"> </w:t>
      </w:r>
      <w:r>
        <w:t>обструктивных заболеваний дыхательных путей)</w:t>
      </w:r>
      <w: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Назначение бронходилататоров (препараты для лечения обструктивных заболеваний дыхательных путей) является ключевым звеном терапии обострения ХОБЛ.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Всем пац</w:t>
      </w:r>
      <w:r>
        <w:rPr>
          <w:rFonts w:ascii="Times New Roman" w:eastAsia="Times New Roman" w:hAnsi="Times New Roman" w:cs="Times New Roman"/>
          <w:sz w:val="24"/>
        </w:rPr>
        <w:t>иентам с обострением ХОБЛ рекомендуется назначение ингаляционных бронходилататоров - КДБА (сальбутамол</w:t>
      </w:r>
      <w:r>
        <w:rPr>
          <w:rFonts w:ascii="Times New Roman" w:eastAsia="Times New Roman" w:hAnsi="Times New Roman" w:cs="Times New Roman"/>
        </w:rPr>
        <w:t>**</w:t>
      </w:r>
      <w:r>
        <w:rPr>
          <w:rFonts w:ascii="Times New Roman" w:eastAsia="Times New Roman" w:hAnsi="Times New Roman" w:cs="Times New Roman"/>
          <w:sz w:val="24"/>
        </w:rPr>
        <w:t>, фенотерол) или КДАХ (ипратропия бромид</w:t>
      </w:r>
      <w:r>
        <w:rPr>
          <w:rFonts w:ascii="Times New Roman" w:eastAsia="Times New Roman" w:hAnsi="Times New Roman" w:cs="Times New Roman"/>
        </w:rPr>
        <w:t xml:space="preserve"> **</w:t>
      </w:r>
      <w:r>
        <w:rPr>
          <w:rFonts w:ascii="Times New Roman" w:eastAsia="Times New Roman" w:hAnsi="Times New Roman" w:cs="Times New Roman"/>
          <w:sz w:val="24"/>
        </w:rPr>
        <w:t xml:space="preserve">), либо фиксированную комбинацию КДБА/КДАХ [150, 151].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</w:t>
      </w:r>
      <w:r>
        <w:t xml:space="preserve"> B </w:t>
      </w:r>
      <w:r>
        <w:t>(уровень достоверности доказательств –</w:t>
      </w:r>
      <w:r>
        <w:t xml:space="preserve"> 3)</w:t>
      </w:r>
      <w:r>
        <w:rPr>
          <w:i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Эффективность β</w:t>
      </w:r>
      <w:r>
        <w:rPr>
          <w:rFonts w:ascii="Times New Roman" w:eastAsia="Times New Roman" w:hAnsi="Times New Roman" w:cs="Times New Roman"/>
          <w:i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i/>
          <w:sz w:val="24"/>
        </w:rPr>
        <w:t>-агонистов (селективных бета2адреномиметиков)  и ипратропия бромида</w:t>
      </w:r>
      <w:r>
        <w:rPr>
          <w:rFonts w:ascii="Times New Roman" w:eastAsia="Times New Roman" w:hAnsi="Times New Roman" w:cs="Times New Roman"/>
        </w:rPr>
        <w:t>**</w:t>
      </w:r>
      <w:r>
        <w:rPr>
          <w:rFonts w:ascii="Times New Roman" w:eastAsia="Times New Roman" w:hAnsi="Times New Roman" w:cs="Times New Roman"/>
          <w:i/>
          <w:sz w:val="24"/>
        </w:rPr>
        <w:t xml:space="preserve"> при обострении ХОБЛ примерно одинакова, преимуществом β</w:t>
      </w:r>
      <w:r>
        <w:rPr>
          <w:rFonts w:ascii="Times New Roman" w:eastAsia="Times New Roman" w:hAnsi="Times New Roman" w:cs="Times New Roman"/>
          <w:i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i/>
          <w:sz w:val="24"/>
        </w:rPr>
        <w:t>-агонистов (селективных бета2-адреномиметиков)  является б</w:t>
      </w:r>
      <w:r>
        <w:rPr>
          <w:rFonts w:ascii="Times New Roman" w:eastAsia="Times New Roman" w:hAnsi="Times New Roman" w:cs="Times New Roman"/>
          <w:i/>
          <w:sz w:val="24"/>
        </w:rPr>
        <w:t xml:space="preserve">олее быстрое начало действия, а антихолинергических средств – высокая безопасность и хорошая переносимость. 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Повышение дозы КДБА и КДАХ, особенно при назначении через небулайзер, может дополнительно облегчать одышку во время обострения ХОБЛ [151]. Нежелат</w:t>
      </w:r>
      <w:r>
        <w:rPr>
          <w:rFonts w:ascii="Times New Roman" w:eastAsia="Times New Roman" w:hAnsi="Times New Roman" w:cs="Times New Roman"/>
          <w:i/>
          <w:sz w:val="24"/>
        </w:rPr>
        <w:t xml:space="preserve">ельные эффекты обычно являются дозозависимыми.  </w:t>
      </w:r>
    </w:p>
    <w:p w:rsidR="003A0918" w:rsidRDefault="00D87DBB">
      <w:pPr>
        <w:pStyle w:val="Heading3"/>
        <w:ind w:left="1848" w:right="551"/>
      </w:pPr>
      <w:r>
        <w:t>Глюкокортикостероиды</w:t>
      </w:r>
      <w: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По данным клинических исследований, посвященных обострениям ХОБЛ, потребовавших госпитализации пациентов в стационар, системные ГКС сокращают время наступления ремиссии, улучшают функци</w:t>
      </w:r>
      <w:r>
        <w:rPr>
          <w:rFonts w:ascii="Times New Roman" w:eastAsia="Times New Roman" w:hAnsi="Times New Roman" w:cs="Times New Roman"/>
          <w:sz w:val="24"/>
        </w:rPr>
        <w:t>ю легких (ОФВ</w:t>
      </w:r>
      <w:r>
        <w:rPr>
          <w:rFonts w:ascii="Times New Roman" w:eastAsia="Times New Roman" w:hAnsi="Times New Roman" w:cs="Times New Roman"/>
          <w:sz w:val="24"/>
          <w:vertAlign w:val="subscript"/>
        </w:rPr>
        <w:t>1</w:t>
      </w:r>
      <w:r>
        <w:rPr>
          <w:rFonts w:ascii="Times New Roman" w:eastAsia="Times New Roman" w:hAnsi="Times New Roman" w:cs="Times New Roman"/>
          <w:sz w:val="24"/>
        </w:rPr>
        <w:t xml:space="preserve">) и уменьшают гипоксемию, а также могут уменьшить риск раннего рецидива и неудачи лечения, снизить длительность пребывания в стационаре.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Пациентам с неинфекционным обострением ХОБЛ, потребовавших госпитализации в стационар, рекомендуется н</w:t>
      </w:r>
      <w:r>
        <w:rPr>
          <w:rFonts w:ascii="Times New Roman" w:eastAsia="Times New Roman" w:hAnsi="Times New Roman" w:cs="Times New Roman"/>
          <w:sz w:val="24"/>
        </w:rPr>
        <w:t xml:space="preserve">азначение системных или ингаляционных ГКС [152, 153]. </w:t>
      </w:r>
    </w:p>
    <w:p w:rsidR="003A0918" w:rsidRDefault="00D87DBB">
      <w:pPr>
        <w:pStyle w:val="Heading3"/>
        <w:ind w:left="1848" w:right="551"/>
      </w:pPr>
      <w:r>
        <w:t xml:space="preserve">Уровень убедительности рекомендаций </w:t>
      </w:r>
      <w:r>
        <w:t xml:space="preserve">A </w:t>
      </w:r>
      <w:r>
        <w:t>(уровень достоверности доказательств –</w:t>
      </w:r>
      <w:r>
        <w:t xml:space="preserve"> 2)</w:t>
      </w:r>
      <w:r>
        <w:rPr>
          <w:i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 xml:space="preserve">Обычно рекомендуется курс терапии пероральным #преднизолоном </w:t>
      </w:r>
      <w:r>
        <w:rPr>
          <w:rFonts w:ascii="Times New Roman" w:eastAsia="Times New Roman" w:hAnsi="Times New Roman" w:cs="Times New Roman"/>
        </w:rPr>
        <w:t>**</w:t>
      </w:r>
      <w:r>
        <w:rPr>
          <w:rFonts w:ascii="Times New Roman" w:eastAsia="Times New Roman" w:hAnsi="Times New Roman" w:cs="Times New Roman"/>
          <w:i/>
          <w:sz w:val="24"/>
        </w:rPr>
        <w:t xml:space="preserve"> в дозе 30-40 мг/сут в течение 5-</w:t>
      </w:r>
      <w:r>
        <w:rPr>
          <w:rFonts w:ascii="Times New Roman" w:eastAsia="Times New Roman" w:hAnsi="Times New Roman" w:cs="Times New Roman"/>
          <w:i/>
          <w:sz w:val="24"/>
        </w:rPr>
        <w:t xml:space="preserve">7 дней. Более безопасной альтернативой системным ГКС при обострении ХОБЛ являются ингаляционные формы ГКС (будесонид), назначаемые через небулайзер. 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Пациенты с обострением ХОБЛ и эозинофилией крови &gt; 2% имеют наилучший ответ на системные ГКС [154].  </w:t>
      </w:r>
    </w:p>
    <w:p w:rsidR="003A0918" w:rsidRDefault="00D87DBB">
      <w:pPr>
        <w:pStyle w:val="Heading3"/>
        <w:ind w:left="1848" w:right="551"/>
      </w:pPr>
      <w:r>
        <w:t>Ант</w:t>
      </w:r>
      <w:r>
        <w:t xml:space="preserve">ибактериальная терапия </w:t>
      </w:r>
      <w: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Так как бактерии являются причиной далеко не всех обострений ХОБЛ, то важно определить показания к назначению антибактериальной терапии при развитии обострений. </w:t>
      </w:r>
    </w:p>
    <w:p w:rsidR="003A0918" w:rsidRDefault="00D87DBB">
      <w:pPr>
        <w:spacing w:after="5" w:line="364" w:lineRule="auto"/>
        <w:ind w:left="2201" w:right="560" w:hanging="360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Назначение антибактериальной терапии может быть рекомендовано </w:t>
      </w:r>
      <w:r>
        <w:rPr>
          <w:rFonts w:ascii="Times New Roman" w:eastAsia="Times New Roman" w:hAnsi="Times New Roman" w:cs="Times New Roman"/>
          <w:sz w:val="24"/>
        </w:rPr>
        <w:t xml:space="preserve">пациентам с обострением ХОБЛ при наличии усиления одышки, увеличения объема и степени гнойности мокроты или при наличии двух из трех перечисленных признаков, </w:t>
      </w:r>
      <w:r>
        <w:rPr>
          <w:rFonts w:ascii="Times New Roman" w:eastAsia="Times New Roman" w:hAnsi="Times New Roman" w:cs="Times New Roman"/>
          <w:color w:val="212121"/>
          <w:sz w:val="24"/>
        </w:rPr>
        <w:t>если одним из них является наличие гнойной мокроты</w:t>
      </w:r>
      <w:r>
        <w:rPr>
          <w:rFonts w:ascii="Times New Roman" w:eastAsia="Times New Roman" w:hAnsi="Times New Roman" w:cs="Times New Roman"/>
          <w:sz w:val="24"/>
        </w:rPr>
        <w:t xml:space="preserve"> [155, 156]. </w:t>
      </w:r>
    </w:p>
    <w:p w:rsidR="003A0918" w:rsidRDefault="00D87DBB">
      <w:pPr>
        <w:pStyle w:val="Heading3"/>
        <w:ind w:left="1503" w:right="551"/>
      </w:pPr>
      <w:r>
        <w:t>Уровень убедительности рекомендаци</w:t>
      </w:r>
      <w:r>
        <w:t xml:space="preserve">й </w:t>
      </w:r>
      <w:r>
        <w:t xml:space="preserve">A </w:t>
      </w:r>
      <w:r>
        <w:t>(уровень достоверности доказательств –</w:t>
      </w:r>
      <w:r>
        <w:t xml:space="preserve"> </w:t>
      </w:r>
    </w:p>
    <w:p w:rsidR="003A0918" w:rsidRDefault="00D87DBB">
      <w:pPr>
        <w:spacing w:after="124" w:line="249" w:lineRule="auto"/>
        <w:ind w:left="1488" w:right="209" w:hanging="10"/>
      </w:pPr>
      <w:r>
        <w:rPr>
          <w:rFonts w:ascii="Times New Roman" w:eastAsia="Times New Roman" w:hAnsi="Times New Roman" w:cs="Times New Roman"/>
          <w:b/>
          <w:sz w:val="24"/>
        </w:rPr>
        <w:t>2)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 </w:t>
      </w:r>
    </w:p>
    <w:p w:rsidR="003A0918" w:rsidRDefault="00D87DBB">
      <w:pPr>
        <w:spacing w:after="31" w:line="355" w:lineRule="auto"/>
        <w:ind w:left="1503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Комментарии: </w:t>
      </w:r>
      <w:r>
        <w:rPr>
          <w:rFonts w:ascii="Times New Roman" w:eastAsia="Times New Roman" w:hAnsi="Times New Roman" w:cs="Times New Roman"/>
          <w:i/>
          <w:sz w:val="24"/>
        </w:rPr>
        <w:t xml:space="preserve">У пациентов с подобными сценариями обострений ХОБЛ антибиотики обладают наибольшей эффективностью, так как причиной таких обострений является бактериальная инфекция. </w:t>
      </w:r>
    </w:p>
    <w:p w:rsidR="003A0918" w:rsidRDefault="00D87DBB">
      <w:pPr>
        <w:spacing w:after="5" w:line="364" w:lineRule="auto"/>
        <w:ind w:left="2201" w:right="560" w:hanging="360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Антибактериальная терапия </w:t>
      </w:r>
      <w:r>
        <w:rPr>
          <w:rFonts w:ascii="Times New Roman" w:eastAsia="Times New Roman" w:hAnsi="Times New Roman" w:cs="Times New Roman"/>
          <w:sz w:val="24"/>
        </w:rPr>
        <w:t xml:space="preserve">также рекомендуется пациентам с тяжелым обострением ХОБЛ, нуждающимся в инвазивной или неинвазивной вентиляции легких [157] </w:t>
      </w:r>
    </w:p>
    <w:p w:rsidR="003A0918" w:rsidRDefault="00D87DBB">
      <w:pPr>
        <w:pStyle w:val="Heading3"/>
        <w:ind w:left="1503" w:right="551"/>
      </w:pPr>
      <w:r>
        <w:t xml:space="preserve">Уровень убедительности рекомендаций </w:t>
      </w:r>
      <w:r>
        <w:t xml:space="preserve">A </w:t>
      </w:r>
      <w:r>
        <w:t>(уровень достоверности доказательств –</w:t>
      </w:r>
      <w:r>
        <w:t xml:space="preserve"> </w:t>
      </w:r>
    </w:p>
    <w:p w:rsidR="003A0918" w:rsidRDefault="00D87DBB">
      <w:pPr>
        <w:spacing w:after="124" w:line="249" w:lineRule="auto"/>
        <w:ind w:left="1488" w:right="209" w:hanging="10"/>
      </w:pPr>
      <w:r>
        <w:rPr>
          <w:rFonts w:ascii="Times New Roman" w:eastAsia="Times New Roman" w:hAnsi="Times New Roman" w:cs="Times New Roman"/>
          <w:b/>
          <w:sz w:val="24"/>
        </w:rPr>
        <w:t>2)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Для улучшения диагностики и подходов к терапии об</w:t>
      </w:r>
      <w:r>
        <w:rPr>
          <w:rFonts w:ascii="Times New Roman" w:eastAsia="Times New Roman" w:hAnsi="Times New Roman" w:cs="Times New Roman"/>
          <w:sz w:val="24"/>
        </w:rPr>
        <w:t xml:space="preserve">острений ХОБЛ рекомендуется использование биомаркеров, таких как С-реактивный белок [149]. </w:t>
      </w:r>
    </w:p>
    <w:p w:rsidR="003A0918" w:rsidRDefault="00D87DBB">
      <w:pPr>
        <w:spacing w:after="5" w:line="364" w:lineRule="auto"/>
        <w:ind w:left="2201" w:right="560" w:hanging="360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Пациентам с обострением ХОБЛ может быть рассмотрено назначение антибактериальной терапии при повышении уровня С-реактивного белка ≥ 30 мг/л при сооответсвующих кр</w:t>
      </w:r>
      <w:r>
        <w:rPr>
          <w:rFonts w:ascii="Times New Roman" w:eastAsia="Times New Roman" w:hAnsi="Times New Roman" w:cs="Times New Roman"/>
          <w:sz w:val="24"/>
        </w:rPr>
        <w:t xml:space="preserve">итериях по Anthonisen [155, 156]. </w:t>
      </w:r>
    </w:p>
    <w:p w:rsidR="003A0918" w:rsidRDefault="00D87DBB">
      <w:pPr>
        <w:pStyle w:val="Heading3"/>
        <w:ind w:left="1503" w:right="551"/>
      </w:pPr>
      <w:r>
        <w:t>Уровень убедительности рекомендаций С (уровень достоверности доказательств –</w:t>
      </w:r>
      <w:r>
        <w:t xml:space="preserve"> </w:t>
      </w:r>
    </w:p>
    <w:p w:rsidR="003A0918" w:rsidRDefault="00D87DBB">
      <w:pPr>
        <w:spacing w:after="124" w:line="249" w:lineRule="auto"/>
        <w:ind w:left="1488" w:right="209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3) </w:t>
      </w:r>
    </w:p>
    <w:p w:rsidR="003A0918" w:rsidRDefault="00D87DBB">
      <w:pPr>
        <w:spacing w:after="5" w:line="364" w:lineRule="auto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Критериями высокого риска бактериальной инфекции при обострении ХОБЛ являются сочетания клинико-лабораторных показателей [160]: </w:t>
      </w:r>
    </w:p>
    <w:p w:rsidR="003A0918" w:rsidRDefault="00D87DBB">
      <w:pPr>
        <w:numPr>
          <w:ilvl w:val="0"/>
          <w:numId w:val="21"/>
        </w:numPr>
        <w:spacing w:after="151"/>
        <w:ind w:right="1019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сывороточный С-реактивный белок &gt; 40 мг/л,  </w:t>
      </w:r>
    </w:p>
    <w:p w:rsidR="003A0918" w:rsidRDefault="00D87DBB">
      <w:pPr>
        <w:numPr>
          <w:ilvl w:val="0"/>
          <w:numId w:val="21"/>
        </w:numPr>
        <w:spacing w:after="5" w:line="364" w:lineRule="auto"/>
        <w:ind w:right="1019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длительность прогрессирования симптомов более 1 дня, количество нейтрофилов (нейтрофильный лейкоцитоз) в крови &gt;9 500/ мкл. </w:t>
      </w:r>
    </w:p>
    <w:p w:rsidR="003A0918" w:rsidRDefault="00D87DBB">
      <w:pPr>
        <w:spacing w:after="116"/>
        <w:ind w:left="10" w:right="551" w:hanging="10"/>
        <w:jc w:val="right"/>
      </w:pPr>
      <w:r>
        <w:rPr>
          <w:rFonts w:ascii="Times New Roman" w:eastAsia="Times New Roman" w:hAnsi="Times New Roman" w:cs="Times New Roman"/>
          <w:b/>
          <w:sz w:val="24"/>
        </w:rPr>
        <w:t>Уровень убедительности рекомендаций С (уровень достоверности доказа-</w:t>
      </w:r>
    </w:p>
    <w:p w:rsidR="003A0918" w:rsidRDefault="00D87DBB">
      <w:pPr>
        <w:pStyle w:val="Heading3"/>
        <w:ind w:left="1143" w:right="551"/>
      </w:pPr>
      <w:r>
        <w:t>тельств –</w:t>
      </w:r>
      <w:r>
        <w:t xml:space="preserve"> 5)</w:t>
      </w:r>
      <w:r>
        <w:rPr>
          <w:b w:val="0"/>
        </w:rP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Пре</w:t>
      </w:r>
      <w:r>
        <w:rPr>
          <w:rFonts w:ascii="Times New Roman" w:eastAsia="Times New Roman" w:hAnsi="Times New Roman" w:cs="Times New Roman"/>
          <w:sz w:val="24"/>
        </w:rPr>
        <w:t>дполагаемый спектр респираторных патогенов, играющих этиологическую роль в обострении ХОБЛ, и, соответственно, выбор эмпирической антибактериальной терапии зависит от степени тяжести бронхиальной обструкции ХОБЛ и наличия факторов риска (Таблица 10).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spacing w:after="5"/>
        <w:ind w:left="1128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Та</w:t>
      </w:r>
      <w:r>
        <w:rPr>
          <w:rFonts w:ascii="Times New Roman" w:eastAsia="Times New Roman" w:hAnsi="Times New Roman" w:cs="Times New Roman"/>
          <w:b/>
          <w:sz w:val="24"/>
        </w:rPr>
        <w:t xml:space="preserve">блица 10. </w:t>
      </w:r>
      <w:r>
        <w:rPr>
          <w:rFonts w:ascii="Times New Roman" w:eastAsia="Times New Roman" w:hAnsi="Times New Roman" w:cs="Times New Roman"/>
          <w:sz w:val="24"/>
        </w:rPr>
        <w:t xml:space="preserve">Наиболее вероятные возбудители инфекционных обострений и антибактериальная терапия с учетом тяжести бронхиальной обструкции по GOLD [161-165, 204, 205, 210-214, 229] </w:t>
      </w:r>
    </w:p>
    <w:tbl>
      <w:tblPr>
        <w:tblStyle w:val="TableGrid"/>
        <w:tblW w:w="9628" w:type="dxa"/>
        <w:tblInd w:w="1025" w:type="dxa"/>
        <w:tblCellMar>
          <w:top w:w="61" w:type="dxa"/>
          <w:left w:w="108" w:type="dxa"/>
          <w:bottom w:w="0" w:type="dxa"/>
          <w:right w:w="51" w:type="dxa"/>
        </w:tblCellMar>
        <w:tblLook w:val="04A0" w:firstRow="1" w:lastRow="0" w:firstColumn="1" w:lastColumn="0" w:noHBand="0" w:noVBand="1"/>
      </w:tblPr>
      <w:tblGrid>
        <w:gridCol w:w="2069"/>
        <w:gridCol w:w="1426"/>
        <w:gridCol w:w="3096"/>
        <w:gridCol w:w="3037"/>
      </w:tblGrid>
      <w:tr w:rsidR="003A0918">
        <w:trPr>
          <w:trHeight w:val="562"/>
        </w:trPr>
        <w:tc>
          <w:tcPr>
            <w:tcW w:w="2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Градация по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GOLD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1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Пост. </w:t>
            </w:r>
          </w:p>
          <w:p w:rsidR="003A0918" w:rsidRDefault="00D87DBB">
            <w:pPr>
              <w:spacing w:after="0"/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ОФВ</w:t>
            </w:r>
            <w:r>
              <w:rPr>
                <w:rFonts w:ascii="Times New Roman" w:eastAsia="Times New Roman" w:hAnsi="Times New Roman" w:cs="Times New Roman"/>
                <w:b/>
                <w:sz w:val="24"/>
                <w:vertAlign w:val="subscript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Вероятные возбудители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3A0918" w:rsidRDefault="00D87DBB">
            <w:pPr>
              <w:spacing w:after="0"/>
              <w:ind w:left="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Антибактериальные препараты </w:t>
            </w:r>
          </w:p>
        </w:tc>
      </w:tr>
      <w:tr w:rsidR="003A0918">
        <w:trPr>
          <w:trHeight w:val="1390"/>
        </w:trPr>
        <w:tc>
          <w:tcPr>
            <w:tcW w:w="2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GOLD I-II, без факторов риска </w:t>
            </w:r>
          </w:p>
        </w:tc>
        <w:tc>
          <w:tcPr>
            <w:tcW w:w="1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&gt; 50%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3A0918" w:rsidRDefault="00D87DBB">
            <w:pPr>
              <w:spacing w:after="0"/>
              <w:ind w:right="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9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Haemophilus influenzae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3A0918" w:rsidRDefault="00D87DBB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Moraxella catarrhalis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3A0918" w:rsidRDefault="00D87DBB">
            <w:pPr>
              <w:spacing w:after="0"/>
              <w:ind w:right="56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Streptococcus pneumoniae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3A0918" w:rsidRDefault="00D87DBB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Chlamydophila pneumoniae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Mycoplasma pneumoniae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9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Амоксициллин </w:t>
            </w:r>
          </w:p>
          <w:p w:rsidR="003A0918" w:rsidRDefault="00D87DBB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«Новые» макролиды (кларитромицин, азитромицин) </w:t>
            </w:r>
          </w:p>
          <w:p w:rsidR="003A0918" w:rsidRDefault="00D87DBB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Цефалоспорины III </w:t>
            </w:r>
          </w:p>
        </w:tc>
      </w:tr>
      <w:tr w:rsidR="003A0918">
        <w:trPr>
          <w:trHeight w:val="1666"/>
        </w:trPr>
        <w:tc>
          <w:tcPr>
            <w:tcW w:w="2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1" w:line="238" w:lineRule="auto"/>
              <w:ind w:right="13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GOLD I-II,  с факторами риска*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1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&gt; 50%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3A0918" w:rsidRDefault="00D87DBB">
            <w:pPr>
              <w:spacing w:after="0"/>
              <w:ind w:right="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9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Haemophilus influenzae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3A0918" w:rsidRDefault="00D87DBB">
            <w:pPr>
              <w:spacing w:after="0"/>
              <w:ind w:left="96" w:right="92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Moraxella catarrhalis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PRSP </w:t>
            </w:r>
          </w:p>
        </w:tc>
        <w:tc>
          <w:tcPr>
            <w:tcW w:w="3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«Респираторные»  фторхинолоны </w:t>
            </w:r>
          </w:p>
          <w:p w:rsidR="003A0918" w:rsidRDefault="00D87DBB">
            <w:pPr>
              <w:spacing w:after="0" w:line="239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(моксифлоксацин,  левофлоксацин) </w:t>
            </w:r>
          </w:p>
          <w:p w:rsidR="003A0918" w:rsidRDefault="00D87DBB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Амоксициллин/клавуланат, ампициллин/сульбактам </w:t>
            </w:r>
          </w:p>
        </w:tc>
      </w:tr>
      <w:tr w:rsidR="003A0918">
        <w:trPr>
          <w:trHeight w:val="1390"/>
        </w:trPr>
        <w:tc>
          <w:tcPr>
            <w:tcW w:w="2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GOLD III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1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30 – 50%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3A0918" w:rsidRDefault="00D87DBB">
            <w:pPr>
              <w:spacing w:after="0"/>
              <w:ind w:right="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9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Haemophilus influenzae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3A0918" w:rsidRDefault="00D87DBB">
            <w:pPr>
              <w:spacing w:after="0" w:line="238" w:lineRule="auto"/>
              <w:ind w:left="96" w:right="92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Moraxella catarrhalis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PRSP </w:t>
            </w:r>
          </w:p>
          <w:p w:rsidR="003A0918" w:rsidRDefault="00D87DBB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Гр(-) энтеробактерии </w:t>
            </w:r>
          </w:p>
        </w:tc>
        <w:tc>
          <w:tcPr>
            <w:tcW w:w="3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«Респираторные» фторхинолоны </w:t>
            </w:r>
          </w:p>
          <w:p w:rsidR="003A0918" w:rsidRDefault="00D87DBB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(моксифлоксацин, левофлоксацин) </w:t>
            </w:r>
          </w:p>
          <w:p w:rsidR="003A0918" w:rsidRDefault="00D87DBB">
            <w:pPr>
              <w:spacing w:after="0"/>
              <w:ind w:left="2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Амоксициллин/клавуланат </w:t>
            </w:r>
          </w:p>
        </w:tc>
      </w:tr>
      <w:tr w:rsidR="003A0918">
        <w:trPr>
          <w:trHeight w:val="1668"/>
        </w:trPr>
        <w:tc>
          <w:tcPr>
            <w:tcW w:w="2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GOLD IV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1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&lt; 30%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3A0918" w:rsidRDefault="00D87DBB">
            <w:pPr>
              <w:spacing w:after="0"/>
              <w:ind w:right="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Haemophilus influenzae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3A0918" w:rsidRDefault="00D87DBB">
            <w:pPr>
              <w:spacing w:after="0"/>
              <w:ind w:right="5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PRSP </w:t>
            </w:r>
          </w:p>
          <w:p w:rsidR="003A0918" w:rsidRDefault="00D87DBB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Гр(-) энтеробактерии </w:t>
            </w:r>
          </w:p>
          <w:p w:rsidR="003A0918" w:rsidRDefault="00D87DBB">
            <w:pPr>
              <w:spacing w:after="0"/>
              <w:ind w:left="82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Pseudomonas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aeruginosa**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2" w:line="236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Фторхинолоны (ципрофлоксацин)/ «респиратор-</w:t>
            </w:r>
          </w:p>
          <w:p w:rsidR="003A0918" w:rsidRDefault="00D87DBB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ные» фторхинолоны (левофлоксацин) ± </w:t>
            </w:r>
          </w:p>
          <w:p w:rsidR="003A0918" w:rsidRDefault="00D87DBB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антисинегнойные βлактамы </w:t>
            </w:r>
          </w:p>
        </w:tc>
      </w:tr>
    </w:tbl>
    <w:p w:rsidR="003A0918" w:rsidRDefault="00D87DBB">
      <w:pPr>
        <w:spacing w:after="5"/>
        <w:ind w:left="1128" w:right="560" w:hanging="10"/>
        <w:jc w:val="both"/>
      </w:pPr>
      <w:r>
        <w:rPr>
          <w:rFonts w:ascii="Times New Roman" w:eastAsia="Times New Roman" w:hAnsi="Times New Roman" w:cs="Times New Roman"/>
          <w:b/>
          <w:i/>
          <w:sz w:val="24"/>
        </w:rPr>
        <w:t>Примечание:</w:t>
      </w:r>
      <w:r>
        <w:rPr>
          <w:rFonts w:ascii="Times New Roman" w:eastAsia="Times New Roman" w:hAnsi="Times New Roman" w:cs="Times New Roman"/>
          <w:sz w:val="24"/>
        </w:rPr>
        <w:t xml:space="preserve"> Пост. ОФВ1 – постбронходилатациониый ОФВ1 </w:t>
      </w:r>
    </w:p>
    <w:p w:rsidR="003A0918" w:rsidRDefault="00D87DBB">
      <w:pPr>
        <w:spacing w:after="0"/>
        <w:ind w:left="1128" w:hanging="10"/>
      </w:pPr>
      <w:r>
        <w:rPr>
          <w:rFonts w:ascii="Times New Roman" w:eastAsia="Times New Roman" w:hAnsi="Times New Roman" w:cs="Times New Roman"/>
          <w:sz w:val="24"/>
        </w:rPr>
        <w:t xml:space="preserve">PRSP - пенициллин-резистентные </w:t>
      </w:r>
      <w:r>
        <w:rPr>
          <w:rFonts w:ascii="Times New Roman" w:eastAsia="Times New Roman" w:hAnsi="Times New Roman" w:cs="Times New Roman"/>
          <w:i/>
          <w:sz w:val="24"/>
        </w:rPr>
        <w:t xml:space="preserve">Streptococcus pneumoniae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*Факторы риска: возраст ≥ 65 лет, сопутствующие сердечно-сосудистые заболевания, частые обострения (≥ 2 в год) </w:t>
      </w:r>
    </w:p>
    <w:p w:rsidR="003A0918" w:rsidRDefault="00D87DBB">
      <w:pPr>
        <w:spacing w:after="130"/>
        <w:ind w:left="185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**Предикторы инфекции </w:t>
      </w:r>
      <w:r>
        <w:rPr>
          <w:rFonts w:ascii="Times New Roman" w:eastAsia="Times New Roman" w:hAnsi="Times New Roman" w:cs="Times New Roman"/>
          <w:i/>
          <w:sz w:val="24"/>
        </w:rPr>
        <w:t xml:space="preserve">Pseudomonas aeruginosa: </w:t>
      </w:r>
    </w:p>
    <w:p w:rsidR="003A0918" w:rsidRDefault="00D87DBB">
      <w:pPr>
        <w:numPr>
          <w:ilvl w:val="0"/>
          <w:numId w:val="22"/>
        </w:numPr>
        <w:spacing w:after="137"/>
        <w:ind w:right="561" w:hanging="28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Частые курсы антибиотиков ≥2 за год); </w:t>
      </w:r>
    </w:p>
    <w:p w:rsidR="003A0918" w:rsidRDefault="00D87DBB">
      <w:pPr>
        <w:numPr>
          <w:ilvl w:val="0"/>
          <w:numId w:val="22"/>
        </w:numPr>
        <w:spacing w:after="130"/>
        <w:ind w:right="561" w:hanging="286"/>
        <w:jc w:val="both"/>
      </w:pPr>
      <w:r>
        <w:rPr>
          <w:rFonts w:ascii="Times New Roman" w:eastAsia="Times New Roman" w:hAnsi="Times New Roman" w:cs="Times New Roman"/>
          <w:sz w:val="24"/>
        </w:rPr>
        <w:t>ОФВ</w:t>
      </w:r>
      <w:r>
        <w:rPr>
          <w:rFonts w:ascii="Times New Roman" w:eastAsia="Times New Roman" w:hAnsi="Times New Roman" w:cs="Times New Roman"/>
          <w:sz w:val="24"/>
          <w:vertAlign w:val="subscript"/>
        </w:rPr>
        <w:t>1</w:t>
      </w:r>
      <w:r>
        <w:rPr>
          <w:rFonts w:ascii="Times New Roman" w:eastAsia="Times New Roman" w:hAnsi="Times New Roman" w:cs="Times New Roman"/>
          <w:sz w:val="24"/>
        </w:rPr>
        <w:t xml:space="preserve"> &lt; 30%; </w:t>
      </w:r>
    </w:p>
    <w:p w:rsidR="003A0918" w:rsidRDefault="00D87DBB">
      <w:pPr>
        <w:numPr>
          <w:ilvl w:val="0"/>
          <w:numId w:val="22"/>
        </w:numPr>
        <w:spacing w:after="116"/>
        <w:ind w:right="561" w:hanging="28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Выделение </w:t>
      </w:r>
      <w:r>
        <w:rPr>
          <w:rFonts w:ascii="Times New Roman" w:eastAsia="Times New Roman" w:hAnsi="Times New Roman" w:cs="Times New Roman"/>
          <w:i/>
          <w:sz w:val="24"/>
        </w:rPr>
        <w:t>Pseudomonas aeruginosa</w:t>
      </w:r>
      <w:r>
        <w:rPr>
          <w:rFonts w:ascii="Times New Roman" w:eastAsia="Times New Roman" w:hAnsi="Times New Roman" w:cs="Times New Roman"/>
          <w:sz w:val="24"/>
        </w:rPr>
        <w:t xml:space="preserve"> в предыдущие</w:t>
      </w:r>
      <w:r>
        <w:rPr>
          <w:rFonts w:ascii="Times New Roman" w:eastAsia="Times New Roman" w:hAnsi="Times New Roman" w:cs="Times New Roman"/>
          <w:sz w:val="24"/>
        </w:rPr>
        <w:t xml:space="preserve"> обострения, колонизация </w:t>
      </w:r>
    </w:p>
    <w:p w:rsidR="003A0918" w:rsidRDefault="00D87DBB">
      <w:pPr>
        <w:spacing w:after="131"/>
        <w:ind w:left="2137" w:hanging="10"/>
      </w:pPr>
      <w:r>
        <w:rPr>
          <w:rFonts w:ascii="Times New Roman" w:eastAsia="Times New Roman" w:hAnsi="Times New Roman" w:cs="Times New Roman"/>
          <w:i/>
          <w:sz w:val="24"/>
        </w:rPr>
        <w:t>Pseudomonas aeruginosa</w:t>
      </w:r>
      <w:r>
        <w:rPr>
          <w:rFonts w:ascii="Times New Roman" w:eastAsia="Times New Roman" w:hAnsi="Times New Roman" w:cs="Times New Roman"/>
          <w:sz w:val="24"/>
        </w:rPr>
        <w:t xml:space="preserve">; </w:t>
      </w:r>
    </w:p>
    <w:p w:rsidR="003A0918" w:rsidRDefault="00D87DBB">
      <w:pPr>
        <w:numPr>
          <w:ilvl w:val="0"/>
          <w:numId w:val="22"/>
        </w:numPr>
        <w:spacing w:after="5" w:line="364" w:lineRule="auto"/>
        <w:ind w:right="561" w:hanging="28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Частые курсы системных ГКС (&gt; 10 мг преднизолона в последние 2 недели); </w:t>
      </w:r>
      <w:r>
        <w:rPr>
          <w:rFonts w:ascii="Wingdings" w:eastAsia="Wingdings" w:hAnsi="Wingdings" w:cs="Wingdings"/>
          <w:sz w:val="24"/>
        </w:rPr>
        <w:t>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Бронхоэктазы.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 В (уровень достоверности доказательств –</w:t>
      </w:r>
      <w:r>
        <w:t xml:space="preserve"> 2)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Комментарий:</w:t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 xml:space="preserve">Оптимальная продолжительность антимикробной терапии при обострении ХОБЛ составляет 5-7 суток [215].  </w:t>
      </w:r>
    </w:p>
    <w:p w:rsidR="003A0918" w:rsidRDefault="00D87DBB">
      <w:pPr>
        <w:pStyle w:val="Heading3"/>
        <w:ind w:left="1848" w:right="551"/>
      </w:pPr>
      <w:r>
        <w:t>Кислородотерапия</w:t>
      </w:r>
      <w: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Гипоксемия представляет серьезную угрозу для жизни пациента, поэтому кислородотерапия является приоритетным направлением терапии острой </w:t>
      </w:r>
      <w:r>
        <w:rPr>
          <w:rFonts w:ascii="Times New Roman" w:eastAsia="Times New Roman" w:hAnsi="Times New Roman" w:cs="Times New Roman"/>
          <w:sz w:val="24"/>
        </w:rPr>
        <w:t xml:space="preserve">дыхательной недостаточности (ОДН) на фоне ХОБЛ. </w:t>
      </w:r>
    </w:p>
    <w:p w:rsidR="003A0918" w:rsidRDefault="00D87DBB">
      <w:pPr>
        <w:spacing w:after="5" w:line="364" w:lineRule="auto"/>
        <w:ind w:left="1853" w:right="560" w:hanging="360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Всем пациентам с обострением ХОБЛ и ОДН рекомендовано проведение кислородотерапии с целью достижение РаО</w:t>
      </w:r>
      <w:r>
        <w:rPr>
          <w:rFonts w:ascii="Times New Roman" w:eastAsia="Times New Roman" w:hAnsi="Times New Roman" w:cs="Times New Roman"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sz w:val="24"/>
        </w:rPr>
        <w:t xml:space="preserve"> в пределах 55-65 мм рт.ст. и SрO</w:t>
      </w:r>
      <w:r>
        <w:rPr>
          <w:rFonts w:ascii="Times New Roman" w:eastAsia="Times New Roman" w:hAnsi="Times New Roman" w:cs="Times New Roman"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sz w:val="24"/>
        </w:rPr>
        <w:t xml:space="preserve"> 88-92% </w:t>
      </w:r>
    </w:p>
    <w:p w:rsidR="003A0918" w:rsidRDefault="00D87DBB">
      <w:pPr>
        <w:spacing w:after="115"/>
        <w:ind w:left="1863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[202]. </w:t>
      </w:r>
    </w:p>
    <w:p w:rsidR="003A0918" w:rsidRDefault="00D87DBB">
      <w:pPr>
        <w:pStyle w:val="Heading3"/>
        <w:ind w:left="1848" w:right="551"/>
      </w:pPr>
      <w:r>
        <w:t xml:space="preserve">Уровень убедительности рекомендаций </w:t>
      </w:r>
      <w:r>
        <w:t xml:space="preserve">A </w:t>
      </w:r>
      <w:r>
        <w:t>(уровень до</w:t>
      </w:r>
      <w:r>
        <w:t>стоверности доказательств –</w:t>
      </w:r>
      <w:r>
        <w:t xml:space="preserve"> 2)</w:t>
      </w:r>
      <w:r>
        <w:rPr>
          <w:i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Комментарии: </w:t>
      </w:r>
      <w:r>
        <w:rPr>
          <w:rFonts w:ascii="Times New Roman" w:eastAsia="Times New Roman" w:hAnsi="Times New Roman" w:cs="Times New Roman"/>
          <w:i/>
          <w:sz w:val="24"/>
        </w:rPr>
        <w:t>Проведение пульсоксиметрии рекомендовано пациентам для оценки необходимости дополнительной кислородотерапии. Кислородотерапия показана пациентам при значении SрO2 ≤ 92% [1, 202]. Для доставки кислорода рекоменду</w:t>
      </w:r>
      <w:r>
        <w:rPr>
          <w:rFonts w:ascii="Times New Roman" w:eastAsia="Times New Roman" w:hAnsi="Times New Roman" w:cs="Times New Roman"/>
          <w:i/>
          <w:sz w:val="24"/>
        </w:rPr>
        <w:t>ется использовать носовые канюли или маску Вентури. При назначении кислорода</w:t>
      </w:r>
      <w:r>
        <w:rPr>
          <w:rFonts w:ascii="Times New Roman" w:eastAsia="Times New Roman" w:hAnsi="Times New Roman" w:cs="Times New Roman"/>
          <w:i/>
          <w:sz w:val="24"/>
          <w:vertAlign w:val="subscript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через канюли большинству пациентов достаточно потока 1-2 л/мин. Маска Вентури является более предпочтительным способом доставки кислорода, т.к. позволяет обеспечивать довольно точ</w:t>
      </w:r>
      <w:r>
        <w:rPr>
          <w:rFonts w:ascii="Times New Roman" w:eastAsia="Times New Roman" w:hAnsi="Times New Roman" w:cs="Times New Roman"/>
          <w:i/>
          <w:sz w:val="24"/>
        </w:rPr>
        <w:t>ные значения фракции кислорода во вдыхаемой смеси (FiO</w:t>
      </w:r>
      <w:r>
        <w:rPr>
          <w:rFonts w:ascii="Times New Roman" w:eastAsia="Times New Roman" w:hAnsi="Times New Roman" w:cs="Times New Roman"/>
          <w:i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i/>
          <w:sz w:val="24"/>
        </w:rPr>
        <w:t>), не зависящие от минутной вентиляции и инспираторного потока пациента.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pStyle w:val="Heading3"/>
        <w:ind w:left="1848" w:right="551"/>
      </w:pPr>
      <w:r>
        <w:t>Неинвазивная вентиляция легких</w:t>
      </w:r>
      <w: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Развитие нового направления респираторной поддержки – НИВЛ, т.е. проведения вентиляционного по</w:t>
      </w:r>
      <w:r>
        <w:rPr>
          <w:rFonts w:ascii="Times New Roman" w:eastAsia="Times New Roman" w:hAnsi="Times New Roman" w:cs="Times New Roman"/>
          <w:sz w:val="24"/>
        </w:rPr>
        <w:t>собия без постановки искусственных дыхательных путей, обеспечивает безопасное и эффективное достижение разгрузки дыхательной мускулатуры, восстановление газообмена и уменьшение диспноэ у пациента с ОДН. НИВЛ является единственно доказанным методом терапии,</w:t>
      </w:r>
      <w:r>
        <w:rPr>
          <w:rFonts w:ascii="Times New Roman" w:eastAsia="Times New Roman" w:hAnsi="Times New Roman" w:cs="Times New Roman"/>
          <w:sz w:val="24"/>
        </w:rPr>
        <w:t xml:space="preserve"> способным снизить летальность у пациентов с ХОБЛ с ОДН </w:t>
      </w:r>
    </w:p>
    <w:p w:rsidR="003A0918" w:rsidRDefault="00D87DBB">
      <w:pPr>
        <w:spacing w:after="142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[167].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Пациентам с ОДН на фоне ХОБЛ рекомендуется проведение НИВЛ при наличии следующих признаков [168]: </w:t>
      </w:r>
    </w:p>
    <w:p w:rsidR="003A0918" w:rsidRDefault="00D87DBB">
      <w:pPr>
        <w:numPr>
          <w:ilvl w:val="0"/>
          <w:numId w:val="23"/>
        </w:numPr>
        <w:spacing w:after="131"/>
        <w:ind w:left="2977" w:right="560" w:hanging="425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Выраженная одышка в покое; </w:t>
      </w:r>
    </w:p>
    <w:p w:rsidR="003A0918" w:rsidRDefault="00D87DBB">
      <w:pPr>
        <w:numPr>
          <w:ilvl w:val="0"/>
          <w:numId w:val="23"/>
        </w:numPr>
        <w:spacing w:after="5" w:line="364" w:lineRule="auto"/>
        <w:ind w:left="2977" w:right="560" w:hanging="425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Частота дыхания &gt; 24 </w:t>
      </w:r>
      <w:r>
        <w:rPr>
          <w:rFonts w:ascii="Times New Roman" w:eastAsia="Times New Roman" w:hAnsi="Times New Roman" w:cs="Times New Roman"/>
          <w:sz w:val="24"/>
        </w:rPr>
        <w:t xml:space="preserve">в 1 мин, участие в дыхании вспомогательной дыхательной мускулатуры, абдоминальный парадокс. </w:t>
      </w:r>
    </w:p>
    <w:p w:rsidR="003A0918" w:rsidRDefault="00D87DBB">
      <w:pPr>
        <w:spacing w:after="3" w:line="384" w:lineRule="auto"/>
        <w:ind w:left="2552" w:right="4670" w:hanging="425"/>
      </w:pPr>
      <w:r>
        <w:rPr>
          <w:rFonts w:ascii="Times New Roman" w:eastAsia="Times New Roman" w:hAnsi="Times New Roman" w:cs="Times New Roman"/>
          <w:sz w:val="24"/>
        </w:rPr>
        <w:t xml:space="preserve">Признаки нарушения газообмена: </w:t>
      </w:r>
      <w:r>
        <w:rPr>
          <w:rFonts w:ascii="Wingdings" w:eastAsia="Wingdings" w:hAnsi="Wingdings" w:cs="Wingdings"/>
          <w:sz w:val="24"/>
        </w:rPr>
        <w:t>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ab/>
      </w:r>
      <w:r>
        <w:rPr>
          <w:rFonts w:ascii="Times New Roman" w:eastAsia="Times New Roman" w:hAnsi="Times New Roman" w:cs="Times New Roman"/>
          <w:sz w:val="24"/>
        </w:rPr>
        <w:t xml:space="preserve">РaCO2 &gt; 45 мм рт.ст., pH &lt; 7,35; </w:t>
      </w:r>
      <w:r>
        <w:rPr>
          <w:rFonts w:ascii="Wingdings" w:eastAsia="Wingdings" w:hAnsi="Wingdings" w:cs="Wingdings"/>
          <w:sz w:val="24"/>
        </w:rPr>
        <w:t>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ab/>
      </w:r>
      <w:r>
        <w:rPr>
          <w:rFonts w:ascii="Times New Roman" w:eastAsia="Times New Roman" w:hAnsi="Times New Roman" w:cs="Times New Roman"/>
          <w:sz w:val="24"/>
        </w:rPr>
        <w:t xml:space="preserve">PaO2/ FiO2 &lt; 200 мм рт.ст. </w:t>
      </w:r>
    </w:p>
    <w:p w:rsidR="003A0918" w:rsidRDefault="00D87DBB">
      <w:pPr>
        <w:pStyle w:val="Heading3"/>
        <w:ind w:left="1848" w:right="551"/>
      </w:pPr>
      <w:r>
        <w:t xml:space="preserve">Уровень убедительности рекомендаций </w:t>
      </w:r>
      <w:r>
        <w:t xml:space="preserve">C </w:t>
      </w:r>
      <w:r>
        <w:t>(уровень достоверности доказательств –</w:t>
      </w:r>
      <w:r>
        <w:t xml:space="preserve"> 5)</w:t>
      </w:r>
      <w:r>
        <w:rPr>
          <w:i/>
        </w:rPr>
        <w:t xml:space="preserve"> </w:t>
      </w:r>
    </w:p>
    <w:p w:rsidR="003A0918" w:rsidRDefault="00D87DBB">
      <w:pPr>
        <w:spacing w:after="31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Во время НИВЛ взаимосвязь пациент-респиратор осуществляется при помощи носовых или лицевых масок. Пациент находится в сознании, при этом, как правило, не требуется применения седативных и миорелаксиру</w:t>
      </w:r>
      <w:r>
        <w:rPr>
          <w:rFonts w:ascii="Times New Roman" w:eastAsia="Times New Roman" w:hAnsi="Times New Roman" w:cs="Times New Roman"/>
          <w:i/>
          <w:sz w:val="24"/>
        </w:rPr>
        <w:t xml:space="preserve">ющих препаратов. Еще одним важным достоинством НИВЛ является возможность её быстрого прекращения, а также немедленного возобновления при необходимости. 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После инициации или изменения режима кислородотерапии в течение ближайших 30-60 минут рекомендуется </w:t>
      </w:r>
      <w:r>
        <w:rPr>
          <w:rFonts w:ascii="Times New Roman" w:eastAsia="Times New Roman" w:hAnsi="Times New Roman" w:cs="Times New Roman"/>
          <w:sz w:val="24"/>
        </w:rPr>
        <w:t>проведение газового анализа артериальной крови для контроля показателей РаСО</w:t>
      </w:r>
      <w:r>
        <w:rPr>
          <w:rFonts w:ascii="Times New Roman" w:eastAsia="Times New Roman" w:hAnsi="Times New Roman" w:cs="Times New Roman"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sz w:val="24"/>
        </w:rPr>
        <w:t xml:space="preserve"> и рН [169].  </w:t>
      </w:r>
    </w:p>
    <w:p w:rsidR="003A0918" w:rsidRDefault="00D87DBB">
      <w:pPr>
        <w:pStyle w:val="Heading3"/>
        <w:spacing w:after="150"/>
        <w:ind w:left="1848" w:right="551"/>
      </w:pPr>
      <w:r>
        <w:t>Уровень убедительности рекомендаций С</w:t>
      </w:r>
      <w:r>
        <w:t xml:space="preserve"> </w:t>
      </w:r>
      <w:r>
        <w:t>(уровень достоверности доказательств –</w:t>
      </w:r>
      <w:r>
        <w:t xml:space="preserve"> 4) </w:t>
      </w:r>
      <w:r>
        <w:rPr>
          <w:i/>
        </w:rP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НВЛ не рекомендуется проводить пациентам с ОДН, нуждающимся в проведении экстрен</w:t>
      </w:r>
      <w:r>
        <w:rPr>
          <w:rFonts w:ascii="Times New Roman" w:eastAsia="Times New Roman" w:hAnsi="Times New Roman" w:cs="Times New Roman"/>
          <w:sz w:val="24"/>
        </w:rPr>
        <w:t xml:space="preserve">ной интубации трахеи и инвазивной респираторной поддержки [170, 171].  </w:t>
      </w:r>
      <w:r>
        <w:rPr>
          <w:rFonts w:ascii="Times New Roman" w:eastAsia="Times New Roman" w:hAnsi="Times New Roman" w:cs="Times New Roman"/>
          <w:b/>
          <w:sz w:val="24"/>
        </w:rPr>
        <w:t>Уровень убедительности рекомендаций С (уровень достоверности доказа-</w:t>
      </w:r>
    </w:p>
    <w:p w:rsidR="003A0918" w:rsidRDefault="00D87DBB">
      <w:pPr>
        <w:pStyle w:val="Heading3"/>
        <w:ind w:left="1848" w:right="551"/>
      </w:pPr>
      <w:r>
        <w:t>тельств –</w:t>
      </w:r>
      <w:r>
        <w:t xml:space="preserve"> 5)</w:t>
      </w:r>
      <w:r>
        <w:rPr>
          <w:i/>
        </w:rPr>
        <w:t xml:space="preserve"> </w:t>
      </w:r>
    </w:p>
    <w:p w:rsidR="003A0918" w:rsidRDefault="00D87DBB">
      <w:pPr>
        <w:spacing w:after="129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Комментарии: </w:t>
      </w:r>
      <w:r>
        <w:rPr>
          <w:rFonts w:ascii="Times New Roman" w:eastAsia="Times New Roman" w:hAnsi="Times New Roman" w:cs="Times New Roman"/>
          <w:i/>
          <w:sz w:val="24"/>
        </w:rPr>
        <w:t xml:space="preserve">Противопоказания к НИВЛ при ОДН на фоне ХОБЛ: </w:t>
      </w:r>
    </w:p>
    <w:p w:rsidR="003A0918" w:rsidRDefault="00D87DBB">
      <w:pPr>
        <w:numPr>
          <w:ilvl w:val="0"/>
          <w:numId w:val="24"/>
        </w:numPr>
        <w:spacing w:after="131"/>
        <w:ind w:right="560" w:hanging="286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Остановка дыхания; </w:t>
      </w:r>
    </w:p>
    <w:p w:rsidR="003A0918" w:rsidRDefault="00D87DBB">
      <w:pPr>
        <w:numPr>
          <w:ilvl w:val="0"/>
          <w:numId w:val="24"/>
        </w:numPr>
        <w:spacing w:after="7" w:line="355" w:lineRule="auto"/>
        <w:ind w:right="560" w:hanging="286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Нестабильная гемодинамика (гипотония, неконтролируемые аритмии или ишемия миокарда); </w:t>
      </w:r>
    </w:p>
    <w:p w:rsidR="003A0918" w:rsidRDefault="00D87DBB">
      <w:pPr>
        <w:numPr>
          <w:ilvl w:val="0"/>
          <w:numId w:val="24"/>
        </w:numPr>
        <w:spacing w:after="7" w:line="355" w:lineRule="auto"/>
        <w:ind w:right="560" w:hanging="286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Невозможность обеспечить защиту дыхательных путей (нарушения кашля и глотания); </w:t>
      </w:r>
    </w:p>
    <w:p w:rsidR="003A0918" w:rsidRDefault="00D87DBB">
      <w:pPr>
        <w:numPr>
          <w:ilvl w:val="0"/>
          <w:numId w:val="24"/>
        </w:numPr>
        <w:spacing w:after="133"/>
        <w:ind w:right="560" w:hanging="286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Избыточная бронхиальная секреция; </w:t>
      </w:r>
    </w:p>
    <w:p w:rsidR="003A0918" w:rsidRDefault="00D87DBB">
      <w:pPr>
        <w:numPr>
          <w:ilvl w:val="0"/>
          <w:numId w:val="24"/>
        </w:numPr>
        <w:spacing w:after="7" w:line="355" w:lineRule="auto"/>
        <w:ind w:right="560" w:hanging="286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Признаки нарушения сознания (ажитация или угнетение), </w:t>
      </w:r>
      <w:r>
        <w:rPr>
          <w:rFonts w:ascii="Times New Roman" w:eastAsia="Times New Roman" w:hAnsi="Times New Roman" w:cs="Times New Roman"/>
          <w:i/>
          <w:sz w:val="24"/>
        </w:rPr>
        <w:t xml:space="preserve">неспособность пациента к сотрудничеству с медицинским персоналом. </w:t>
      </w:r>
    </w:p>
    <w:p w:rsidR="003A0918" w:rsidRDefault="00D87DBB">
      <w:pPr>
        <w:pStyle w:val="Heading3"/>
        <w:spacing w:after="150"/>
        <w:ind w:left="1848" w:right="551"/>
      </w:pPr>
      <w:r>
        <w:t>Инвазивная респираторная поддержка</w:t>
      </w:r>
      <w: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Искусственная вентиляция легких (ИВЛ) рекомендуется пациентам с ХОБЛ с ОДН, у которых медикаментозная терапия и НИВЛ не приводит к улучшению состояния </w:t>
      </w:r>
    </w:p>
    <w:p w:rsidR="003A0918" w:rsidRDefault="00D87DBB">
      <w:pPr>
        <w:spacing w:after="112"/>
        <w:ind w:left="1851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[172].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 В (уровень достоверности доказательств –</w:t>
      </w:r>
      <w:r>
        <w:t xml:space="preserve"> 2) </w:t>
      </w:r>
    </w:p>
    <w:p w:rsidR="003A0918" w:rsidRDefault="00D87DBB">
      <w:pPr>
        <w:spacing w:after="31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Комментарии: 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Показания к проведению ИВЛ должны учитывать не только отсутствие эффекта от консервативных методов терапии, степень тяжести изменений функции дыхания, но и быстроту их развития и потенциальную обратимость процесса, вызвавшего ОДН. Как правило, при назначен</w:t>
      </w:r>
      <w:r>
        <w:rPr>
          <w:rFonts w:ascii="Times New Roman" w:eastAsia="Times New Roman" w:hAnsi="Times New Roman" w:cs="Times New Roman"/>
          <w:i/>
          <w:sz w:val="24"/>
        </w:rPr>
        <w:t xml:space="preserve">ии респираторной поддержки проводится комплексная клиническая и функциональная оценка статуса пациента.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Проведение ИВЛ при ОДН на фоне обострения ХОБЛ рекомендуется при наличии следующих показаний [173, 174]: </w:t>
      </w:r>
    </w:p>
    <w:p w:rsidR="003A0918" w:rsidRDefault="00D87DBB">
      <w:pPr>
        <w:spacing w:after="129"/>
        <w:ind w:left="227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Абсолютные показания:  </w:t>
      </w:r>
    </w:p>
    <w:p w:rsidR="003A0918" w:rsidRDefault="00D87DBB">
      <w:pPr>
        <w:numPr>
          <w:ilvl w:val="0"/>
          <w:numId w:val="25"/>
        </w:numPr>
        <w:spacing w:after="133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>Остановка дыхания</w:t>
      </w:r>
      <w:r>
        <w:rPr>
          <w:rFonts w:ascii="Times New Roman" w:eastAsia="Times New Roman" w:hAnsi="Times New Roman" w:cs="Times New Roman"/>
          <w:sz w:val="24"/>
        </w:rPr>
        <w:t xml:space="preserve">;  </w:t>
      </w:r>
    </w:p>
    <w:p w:rsidR="003A0918" w:rsidRDefault="00D87DBB">
      <w:pPr>
        <w:numPr>
          <w:ilvl w:val="0"/>
          <w:numId w:val="25"/>
        </w:numPr>
        <w:spacing w:after="131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Выраженные нарушения сознания (сопор, кома);  </w:t>
      </w:r>
    </w:p>
    <w:p w:rsidR="003A0918" w:rsidRDefault="00D87DBB">
      <w:pPr>
        <w:numPr>
          <w:ilvl w:val="0"/>
          <w:numId w:val="25"/>
        </w:numPr>
        <w:spacing w:after="5" w:line="364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Нестабильная гемодинамика (систолическое артериальное давление &lt; 70 мм рт.ст., частота сердечных сокращений &lt; 50/мин или &gt; 160/мин);  </w:t>
      </w:r>
      <w:r>
        <w:rPr>
          <w:rFonts w:ascii="Wingdings" w:eastAsia="Wingdings" w:hAnsi="Wingdings" w:cs="Wingdings"/>
          <w:sz w:val="24"/>
        </w:rPr>
        <w:t>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Утомление дыхательной мускулатуры.  </w:t>
      </w:r>
    </w:p>
    <w:p w:rsidR="003A0918" w:rsidRDefault="00D87DBB">
      <w:pPr>
        <w:spacing w:after="130"/>
        <w:ind w:left="227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Относительные показания:  </w:t>
      </w:r>
    </w:p>
    <w:p w:rsidR="003A0918" w:rsidRDefault="00D87DBB">
      <w:pPr>
        <w:numPr>
          <w:ilvl w:val="0"/>
          <w:numId w:val="25"/>
        </w:numPr>
        <w:spacing w:after="132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>Часто</w:t>
      </w:r>
      <w:r>
        <w:rPr>
          <w:rFonts w:ascii="Times New Roman" w:eastAsia="Times New Roman" w:hAnsi="Times New Roman" w:cs="Times New Roman"/>
          <w:sz w:val="24"/>
        </w:rPr>
        <w:t xml:space="preserve">та дыхания &gt; 35/мин;  </w:t>
      </w:r>
    </w:p>
    <w:p w:rsidR="003A0918" w:rsidRDefault="00D87DBB">
      <w:pPr>
        <w:numPr>
          <w:ilvl w:val="0"/>
          <w:numId w:val="25"/>
        </w:numPr>
        <w:spacing w:after="131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рН артериальной крови &lt; 7,25;  </w:t>
      </w:r>
    </w:p>
    <w:p w:rsidR="003A0918" w:rsidRDefault="00D87DBB">
      <w:pPr>
        <w:pStyle w:val="Heading3"/>
        <w:spacing w:after="174" w:line="358" w:lineRule="auto"/>
        <w:ind w:left="1838" w:right="551" w:firstLine="775"/>
      </w:pPr>
      <w:r>
        <w:rPr>
          <w:rFonts w:ascii="Wingdings" w:eastAsia="Wingdings" w:hAnsi="Wingdings" w:cs="Wingdings"/>
          <w:b w:val="0"/>
        </w:rPr>
        <w:t>➢</w:t>
      </w:r>
      <w:r>
        <w:rPr>
          <w:rFonts w:ascii="Arial" w:eastAsia="Arial" w:hAnsi="Arial" w:cs="Arial"/>
          <w:b w:val="0"/>
        </w:rPr>
        <w:t xml:space="preserve"> </w:t>
      </w:r>
      <w:r>
        <w:rPr>
          <w:b w:val="0"/>
        </w:rPr>
        <w:t xml:space="preserve">РаО2 &lt; 45 мм рт.ст., несмотря на проведение кислородотерапии. </w:t>
      </w:r>
      <w:r>
        <w:t xml:space="preserve">Уровень убедительности рекомендаций </w:t>
      </w:r>
      <w:r>
        <w:t xml:space="preserve">C </w:t>
      </w:r>
      <w:r>
        <w:t>(уровень достоверности доказательств –</w:t>
      </w:r>
      <w:r>
        <w:t xml:space="preserve"> 5) </w:t>
      </w:r>
    </w:p>
    <w:p w:rsidR="003A0918" w:rsidRDefault="00D87DBB">
      <w:pPr>
        <w:tabs>
          <w:tab w:val="center" w:pos="1188"/>
          <w:tab w:val="center" w:pos="6194"/>
        </w:tabs>
        <w:spacing w:after="72"/>
      </w:pPr>
      <w:r>
        <w:tab/>
      </w: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ab/>
      </w:r>
      <w:r>
        <w:rPr>
          <w:rFonts w:ascii="Times New Roman" w:eastAsia="Times New Roman" w:hAnsi="Times New Roman" w:cs="Times New Roman"/>
          <w:sz w:val="24"/>
        </w:rPr>
        <w:t>У пациентов с ХОБЛ отлучение от ИВЛ рекомендуется на</w:t>
      </w:r>
      <w:r>
        <w:rPr>
          <w:rFonts w:ascii="Times New Roman" w:eastAsia="Times New Roman" w:hAnsi="Times New Roman" w:cs="Times New Roman"/>
          <w:sz w:val="24"/>
        </w:rPr>
        <w:t>чинать как можно раньше</w:t>
      </w:r>
      <w:r>
        <w:rPr>
          <w:rFonts w:ascii="Times New Roman" w:eastAsia="Times New Roman" w:hAnsi="Times New Roman" w:cs="Times New Roman"/>
          <w:color w:val="FF0000"/>
          <w:sz w:val="24"/>
        </w:rPr>
        <w:t xml:space="preserve"> </w:t>
      </w:r>
    </w:p>
    <w:p w:rsidR="003A0918" w:rsidRDefault="00D87DBB">
      <w:pPr>
        <w:spacing w:after="115"/>
        <w:ind w:left="1851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[164]. </w:t>
      </w:r>
    </w:p>
    <w:p w:rsidR="003A0918" w:rsidRDefault="00D87DBB">
      <w:pPr>
        <w:pStyle w:val="Heading3"/>
        <w:ind w:left="1848" w:right="551"/>
      </w:pPr>
      <w:r>
        <w:t xml:space="preserve">Уровень убедительности рекомендаций </w:t>
      </w:r>
      <w:r>
        <w:t xml:space="preserve">A </w:t>
      </w:r>
      <w:r>
        <w:t>(уровень достоверности доказательств –</w:t>
      </w:r>
      <w:r>
        <w:t xml:space="preserve"> 2) </w:t>
      </w:r>
    </w:p>
    <w:p w:rsidR="003A0918" w:rsidRDefault="00D87DBB">
      <w:pPr>
        <w:spacing w:after="121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 xml:space="preserve">Каждый дополнительный день инвазивной респираторной поддержки значительно повышает риск развития осложнений ИВЛ, особенно вентилятор-ассоциированной пневмонии. </w:t>
      </w:r>
    </w:p>
    <w:p w:rsidR="003A0918" w:rsidRDefault="00D87DBB">
      <w:pPr>
        <w:pStyle w:val="Heading3"/>
        <w:spacing w:after="245"/>
        <w:ind w:left="1848" w:right="551"/>
      </w:pPr>
      <w:r>
        <w:t>Мукоактивные препараты</w:t>
      </w:r>
      <w:r>
        <w:t xml:space="preserve"> </w:t>
      </w:r>
    </w:p>
    <w:p w:rsidR="003A0918" w:rsidRDefault="00D87DBB">
      <w:pPr>
        <w:spacing w:after="11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Пациентам с обострением ХОБЛ при наличии продуктивного кашля рекомендовано назначение мукоактивных препаратов для разжижения и улучшения отхождения мокроты. 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</w:t>
      </w:r>
      <w:r>
        <w:t xml:space="preserve"> </w:t>
      </w:r>
      <w:r>
        <w:t>С (уровень достоверности доказа-</w:t>
      </w:r>
    </w:p>
    <w:p w:rsidR="003A0918" w:rsidRDefault="00D87DBB">
      <w:pPr>
        <w:spacing w:after="246" w:line="249" w:lineRule="auto"/>
        <w:ind w:left="1143" w:right="551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тельств – 5).  </w:t>
      </w:r>
    </w:p>
    <w:p w:rsidR="003A0918" w:rsidRDefault="00D87DBB">
      <w:pPr>
        <w:spacing w:after="124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мукоактивные препараты применяются при наличии продуктивного кашля – амброксол, N-ацетилцистеин, эрдостеин, карбоцистеин</w:t>
      </w:r>
      <w:r>
        <w:rPr>
          <w:rFonts w:ascii="Times New Roman" w:eastAsia="Times New Roman" w:hAnsi="Times New Roman" w:cs="Times New Roman"/>
          <w:sz w:val="24"/>
        </w:rPr>
        <w:t xml:space="preserve">. </w:t>
      </w:r>
    </w:p>
    <w:p w:rsidR="003A0918" w:rsidRDefault="00D87DBB">
      <w:pPr>
        <w:pStyle w:val="Heading3"/>
        <w:ind w:left="1848" w:right="551"/>
      </w:pPr>
      <w:r>
        <w:t>Методы мобилизации и</w:t>
      </w:r>
      <w:r>
        <w:t xml:space="preserve"> </w:t>
      </w:r>
      <w:r>
        <w:t>удаления бронхиального секрета</w:t>
      </w:r>
      <w: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При обострении ХОБЛ рекомендуется использовать специальные методы улучшения д</w:t>
      </w:r>
      <w:r>
        <w:rPr>
          <w:rFonts w:ascii="Times New Roman" w:eastAsia="Times New Roman" w:hAnsi="Times New Roman" w:cs="Times New Roman"/>
          <w:sz w:val="24"/>
        </w:rPr>
        <w:t xml:space="preserve">ренажа дыхательных путей - высокочастотную перкуссионную вентиляцию легких или высокочастотные колебания (осцилляции) грудной стенки, виброакустическую терапию [175, 176, 206].  </w:t>
      </w:r>
    </w:p>
    <w:p w:rsidR="003A0918" w:rsidRDefault="00D87DBB">
      <w:pPr>
        <w:pStyle w:val="Heading3"/>
        <w:ind w:left="1848" w:right="551"/>
      </w:pPr>
      <w:r>
        <w:t>Уровень убедительности рекомендаций</w:t>
      </w:r>
      <w:r>
        <w:t xml:space="preserve"> A </w:t>
      </w:r>
      <w:r>
        <w:t>(уровень достоверности доказательств –</w:t>
      </w:r>
      <w:r>
        <w:t xml:space="preserve"> </w:t>
      </w:r>
      <w:r>
        <w:t xml:space="preserve">2)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 xml:space="preserve">Гиперпродукция секрета и его плохая эвакуация из дыхательных путей может представлять серьезную проблему для многих пациентов с тяжелым обострением ХОБЛ, поэтому данные методы могут существенного улучшить их состояние. </w:t>
      </w:r>
    </w:p>
    <w:p w:rsidR="003A0918" w:rsidRDefault="00D87DBB">
      <w:pPr>
        <w:spacing w:after="190"/>
        <w:ind w:left="1841"/>
      </w:pP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3A0918" w:rsidRDefault="00D87DBB">
      <w:pPr>
        <w:pStyle w:val="Heading1"/>
        <w:spacing w:after="332" w:line="358" w:lineRule="auto"/>
        <w:ind w:left="870" w:right="570"/>
      </w:pPr>
      <w:r>
        <w:rPr>
          <w:sz w:val="28"/>
        </w:rPr>
        <w:t>4</w:t>
      </w:r>
      <w:r>
        <w:t xml:space="preserve">. </w:t>
      </w:r>
      <w:r>
        <w:t>Медицинская реабилитация</w:t>
      </w:r>
      <w:r>
        <w:t xml:space="preserve"> </w:t>
      </w:r>
      <w:r>
        <w:t>и санаторно</w:t>
      </w:r>
      <w:r>
        <w:t>-</w:t>
      </w:r>
      <w:r>
        <w:t>курортное лечение, медицинские показания и противопоказания к применению методов реабилитации, в том числе основанных на использовании природных лечебных факторов</w:t>
      </w:r>
      <w: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У пациентов с ХОБЛ снижается физическая активность, а о</w:t>
      </w:r>
      <w:r>
        <w:rPr>
          <w:rFonts w:ascii="Times New Roman" w:eastAsia="Times New Roman" w:hAnsi="Times New Roman" w:cs="Times New Roman"/>
          <w:sz w:val="24"/>
        </w:rPr>
        <w:t>тсутствие физической активности служит предиктором повышенной летальности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[177]. Легочная реабилитация является важной и неотъемлемой частью ведения пациентов с ХОБЛ, имеющей высокий уровень доказательности. 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Курсы легочной реабилитации рекомендуются па</w:t>
      </w:r>
      <w:r>
        <w:rPr>
          <w:rFonts w:ascii="Times New Roman" w:eastAsia="Times New Roman" w:hAnsi="Times New Roman" w:cs="Times New Roman"/>
          <w:sz w:val="24"/>
        </w:rPr>
        <w:t xml:space="preserve">циентам с ХОБЛ с постоянной одышкой, несмотря на использование бронходилататоров (препараты для лечения обструктивных заболеваний дыхательных путей), а также физически неактивным пациентам с частыми обострениями или непереносимостью физической нагрузки </w:t>
      </w:r>
    </w:p>
    <w:p w:rsidR="003A0918" w:rsidRDefault="00D87DBB">
      <w:pPr>
        <w:spacing w:after="112"/>
        <w:ind w:left="1851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[1</w:t>
      </w:r>
      <w:r>
        <w:rPr>
          <w:rFonts w:ascii="Times New Roman" w:eastAsia="Times New Roman" w:hAnsi="Times New Roman" w:cs="Times New Roman"/>
          <w:sz w:val="24"/>
        </w:rPr>
        <w:t xml:space="preserve">78, 179].  </w:t>
      </w:r>
    </w:p>
    <w:p w:rsidR="003A0918" w:rsidRDefault="00D87DBB">
      <w:pPr>
        <w:pStyle w:val="Heading2"/>
        <w:ind w:left="1848" w:right="551"/>
      </w:pPr>
      <w:r>
        <w:t xml:space="preserve">Уровень убедительности рекомендаций </w:t>
      </w:r>
      <w:r>
        <w:t xml:space="preserve">C </w:t>
      </w:r>
      <w:r>
        <w:t>(уровень достоверности доказательств –</w:t>
      </w:r>
      <w:r>
        <w:t xml:space="preserve"> 5)</w:t>
      </w:r>
      <w:r>
        <w:rPr>
          <w:b w:val="0"/>
        </w:rPr>
        <w:t xml:space="preserve"> </w:t>
      </w:r>
    </w:p>
    <w:p w:rsidR="003A0918" w:rsidRDefault="00D87DBB">
      <w:pPr>
        <w:spacing w:after="115"/>
        <w:ind w:left="1841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130"/>
        <w:ind w:left="185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Эффекты легочной реабилитации включают [178-180]: </w:t>
      </w:r>
    </w:p>
    <w:p w:rsidR="003A0918" w:rsidRDefault="00D87DBB">
      <w:pPr>
        <w:numPr>
          <w:ilvl w:val="0"/>
          <w:numId w:val="26"/>
        </w:numPr>
        <w:spacing w:after="132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Улучшение переносимости физической нагрузки; </w:t>
      </w:r>
    </w:p>
    <w:p w:rsidR="003A0918" w:rsidRDefault="00D87DBB">
      <w:pPr>
        <w:numPr>
          <w:ilvl w:val="0"/>
          <w:numId w:val="26"/>
        </w:numPr>
        <w:spacing w:after="130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Уменьшение ощущения одышки; </w:t>
      </w:r>
    </w:p>
    <w:p w:rsidR="003A0918" w:rsidRDefault="00D87DBB">
      <w:pPr>
        <w:numPr>
          <w:ilvl w:val="0"/>
          <w:numId w:val="26"/>
        </w:numPr>
        <w:spacing w:after="133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Улучшение качества </w:t>
      </w:r>
      <w:r>
        <w:rPr>
          <w:rFonts w:ascii="Times New Roman" w:eastAsia="Times New Roman" w:hAnsi="Times New Roman" w:cs="Times New Roman"/>
          <w:sz w:val="24"/>
        </w:rPr>
        <w:t xml:space="preserve">жизни, связанного со здоровьем; </w:t>
      </w:r>
    </w:p>
    <w:p w:rsidR="003A0918" w:rsidRDefault="00D87DBB">
      <w:pPr>
        <w:numPr>
          <w:ilvl w:val="0"/>
          <w:numId w:val="26"/>
        </w:numPr>
        <w:spacing w:after="5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Уменьшение количества и длительности госпитализаций;  </w:t>
      </w:r>
    </w:p>
    <w:p w:rsidR="003A0918" w:rsidRDefault="00D87DBB">
      <w:pPr>
        <w:numPr>
          <w:ilvl w:val="0"/>
          <w:numId w:val="26"/>
        </w:numPr>
        <w:spacing w:after="133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Уменьшение уровня тревоги и депрессии, связанных с ХОБЛ;  </w:t>
      </w:r>
    </w:p>
    <w:p w:rsidR="003A0918" w:rsidRDefault="00D87DBB">
      <w:pPr>
        <w:numPr>
          <w:ilvl w:val="0"/>
          <w:numId w:val="26"/>
        </w:numPr>
        <w:spacing w:after="131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Улучшение выживаемости; </w:t>
      </w:r>
    </w:p>
    <w:p w:rsidR="003A0918" w:rsidRDefault="00D87DBB">
      <w:pPr>
        <w:numPr>
          <w:ilvl w:val="0"/>
          <w:numId w:val="26"/>
        </w:numPr>
        <w:spacing w:after="5" w:line="364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Улучшение результатов госпитализации по поводу обострений; </w:t>
      </w:r>
      <w:r>
        <w:rPr>
          <w:rFonts w:ascii="Wingdings" w:eastAsia="Wingdings" w:hAnsi="Wingdings" w:cs="Wingdings"/>
          <w:sz w:val="24"/>
        </w:rPr>
        <w:t>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Усиление действия ДДБД.</w:t>
      </w:r>
      <w:r>
        <w:rPr>
          <w:rFonts w:ascii="Times New Roman" w:eastAsia="Times New Roman" w:hAnsi="Times New Roman" w:cs="Times New Roman"/>
          <w:sz w:val="24"/>
        </w:rPr>
        <w:t xml:space="preserve"> 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Реабилитация является многокомпонентной мерой. Рекомендуется включать в программу легочной реабилитации психологическую поддержку и борьбу с депрессией, обучение, нутритивную поддержку и индивидуальные занятия лечебной физкультурой [181]. Длительность т</w:t>
      </w:r>
      <w:r>
        <w:rPr>
          <w:rFonts w:ascii="Times New Roman" w:eastAsia="Times New Roman" w:hAnsi="Times New Roman" w:cs="Times New Roman"/>
          <w:sz w:val="24"/>
        </w:rPr>
        <w:t xml:space="preserve">акой программы не установлена, однако считается, что она может продолжаться от 4 до 10 недель [182]. </w:t>
      </w:r>
    </w:p>
    <w:p w:rsidR="003A0918" w:rsidRDefault="00D87DBB">
      <w:pPr>
        <w:pStyle w:val="Heading2"/>
        <w:spacing w:after="151"/>
        <w:ind w:left="1848" w:right="551"/>
      </w:pPr>
      <w:r>
        <w:t>Индивидуальные занятия лечебной физкультурой (физические тренировки)</w:t>
      </w:r>
      <w: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При проведении легочной реабилитации у пациентов с ХОБЛ рекомендуется включать в п</w:t>
      </w:r>
      <w:r>
        <w:rPr>
          <w:rFonts w:ascii="Times New Roman" w:eastAsia="Times New Roman" w:hAnsi="Times New Roman" w:cs="Times New Roman"/>
          <w:sz w:val="24"/>
        </w:rPr>
        <w:t xml:space="preserve">рограмму индивидуальные занятия лечебной физкультурой (физические тренировки) [183].  </w:t>
      </w:r>
    </w:p>
    <w:p w:rsidR="003A0918" w:rsidRDefault="00D87DBB">
      <w:pPr>
        <w:pStyle w:val="Heading2"/>
        <w:ind w:left="1848" w:right="551"/>
      </w:pPr>
      <w:r>
        <w:t xml:space="preserve">Уровень убедительности рекомендаций </w:t>
      </w:r>
      <w:r>
        <w:t xml:space="preserve">A </w:t>
      </w:r>
      <w:r>
        <w:t>(уровень достоверности доказательств –</w:t>
      </w:r>
      <w:r>
        <w:t xml:space="preserve"> 2)</w:t>
      </w:r>
      <w:r>
        <w:rPr>
          <w:b w:val="0"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Разработка тренировочных программ требует индивидуального подхода и зависит</w:t>
      </w:r>
      <w:r>
        <w:rPr>
          <w:rFonts w:ascii="Times New Roman" w:eastAsia="Times New Roman" w:hAnsi="Times New Roman" w:cs="Times New Roman"/>
          <w:i/>
          <w:sz w:val="24"/>
        </w:rPr>
        <w:t xml:space="preserve"> от исходного состояния пациента, степени тяжести ХОБЛ и сопутствующих заболеваний, а также мотивации</w:t>
      </w:r>
      <w:r>
        <w:rPr>
          <w:rFonts w:ascii="Times New Roman" w:eastAsia="Times New Roman" w:hAnsi="Times New Roman" w:cs="Times New Roman"/>
          <w:sz w:val="24"/>
        </w:rPr>
        <w:t xml:space="preserve">. </w:t>
      </w:r>
      <w:r>
        <w:rPr>
          <w:rFonts w:ascii="Times New Roman" w:eastAsia="Times New Roman" w:hAnsi="Times New Roman" w:cs="Times New Roman"/>
          <w:i/>
          <w:sz w:val="24"/>
        </w:rPr>
        <w:t xml:space="preserve">При наличии соответствующих показаний во время тренировки следует использовать различные виды респираторной поддержки. 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В качестве индивидуального занятия лечебной физкультурой (физической тренировки) можно использовать занятия на беговой дорожке или велоэргометре от 10 до 45 минут на одно занятие с интенсивностью от 50% пикового потребления кислорода до максимального уровн</w:t>
      </w:r>
      <w:r>
        <w:rPr>
          <w:rFonts w:ascii="Times New Roman" w:eastAsia="Times New Roman" w:hAnsi="Times New Roman" w:cs="Times New Roman"/>
          <w:i/>
          <w:sz w:val="24"/>
        </w:rPr>
        <w:t xml:space="preserve">я переносимости [184]. 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В общетерапевтической практике при отсутствии ресурсов для полноценной реабилитации следует рекомендовать ежедневные прогулки (например: 30 минут, 4 км – в зависимости от физического статуса), а также тренировки с помощью скандинавс</w:t>
      </w:r>
      <w:r>
        <w:rPr>
          <w:rFonts w:ascii="Times New Roman" w:eastAsia="Times New Roman" w:hAnsi="Times New Roman" w:cs="Times New Roman"/>
          <w:i/>
          <w:sz w:val="24"/>
        </w:rPr>
        <w:t xml:space="preserve">кой ходьбы. В ряде программ имеются тренировки верхней группы мышц, что улучшает их функцию и силу [185].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Эффект от индивидуальных занятий лечебной физкультурой (физической тренировки) имеет продленное действие.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Рекомендуется включать в программу реаби</w:t>
      </w:r>
      <w:r>
        <w:rPr>
          <w:rFonts w:ascii="Times New Roman" w:eastAsia="Times New Roman" w:hAnsi="Times New Roman" w:cs="Times New Roman"/>
          <w:sz w:val="24"/>
        </w:rPr>
        <w:t xml:space="preserve">литации в качестве тренировки дыхательной мускулатуры дренирующие дыхательные упражнения с помощью различных видов устройств (дыхательных тренажеров) [186]. </w:t>
      </w:r>
    </w:p>
    <w:p w:rsidR="003A0918" w:rsidRDefault="00D87DBB">
      <w:pPr>
        <w:pStyle w:val="Heading2"/>
        <w:ind w:left="1848" w:right="551"/>
      </w:pPr>
      <w:r>
        <w:t xml:space="preserve">Уровень убедительности рекомендаций </w:t>
      </w:r>
      <w:r>
        <w:t xml:space="preserve">A </w:t>
      </w:r>
      <w:r>
        <w:t>(уровень достоверности доказательств –</w:t>
      </w:r>
      <w:r>
        <w:t xml:space="preserve"> 2)</w:t>
      </w:r>
      <w:r>
        <w:rPr>
          <w:b w:val="0"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Трен</w:t>
      </w:r>
      <w:r>
        <w:rPr>
          <w:rFonts w:ascii="Times New Roman" w:eastAsia="Times New Roman" w:hAnsi="Times New Roman" w:cs="Times New Roman"/>
          <w:i/>
          <w:sz w:val="24"/>
        </w:rPr>
        <w:t xml:space="preserve">ировка респираторных мышц может давать положительный эффект, особенно в сочетании с общими тренировками.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В сочетании с легочной реабилитаций для пациентов ХОБЛ эффективной является климатотерапия.</w:t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Исследования показали, что климатические факторы повышают адаптационные возможности и улучшают показатели психофизиологического статуса, что обусловливает целесообразность их широкого использования в лечении и реабилитации больных ХОБЛ [187].  </w:t>
      </w:r>
    </w:p>
    <w:p w:rsidR="003A0918" w:rsidRDefault="00D87DBB">
      <w:pPr>
        <w:spacing w:after="7" w:line="355" w:lineRule="auto"/>
        <w:ind w:left="1133" w:right="560" w:firstLine="708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Комментарий</w:t>
      </w:r>
      <w:r>
        <w:rPr>
          <w:rFonts w:ascii="Times New Roman" w:eastAsia="Times New Roman" w:hAnsi="Times New Roman" w:cs="Times New Roman"/>
          <w:b/>
          <w:sz w:val="24"/>
        </w:rPr>
        <w:t>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Легочная реабилитации для пациентов ХОБЛ должна представлять непрерывно-цикловой процесс, направленный на коррекцию биомеханики дыхания, бронхиальной проходимости, профилактику утомления дыхательной мускулатуры, улучшение физической работоспособности, пе</w:t>
      </w:r>
      <w:r>
        <w:rPr>
          <w:rFonts w:ascii="Times New Roman" w:eastAsia="Times New Roman" w:hAnsi="Times New Roman" w:cs="Times New Roman"/>
          <w:i/>
          <w:sz w:val="24"/>
        </w:rPr>
        <w:t xml:space="preserve">реносимости физических нагрузок под контролем клинического и функционального состояния каждого пациента.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Кроме того, программа легочной реабилитации должна включать психологическую поддержку со стороны медицинских и немедицинских работников, проведение с </w:t>
      </w:r>
      <w:r>
        <w:rPr>
          <w:rFonts w:ascii="Times New Roman" w:eastAsia="Times New Roman" w:hAnsi="Times New Roman" w:cs="Times New Roman"/>
          <w:sz w:val="24"/>
        </w:rPr>
        <w:t>пациентами работы по изменению отношения к своей болезни, работу с имеющимися факторами риска.</w:t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3A0918" w:rsidRDefault="00D87DBB">
      <w:pPr>
        <w:pStyle w:val="Heading2"/>
        <w:spacing w:after="152"/>
        <w:ind w:left="1848" w:right="551"/>
      </w:pPr>
      <w:r>
        <w:t>Обучение пациентов</w:t>
      </w:r>
      <w:r>
        <w:t xml:space="preserve">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В программу легочной реабилитации при ХОБЛ рекомендуется включать обучение пациентов [188]. </w:t>
      </w:r>
    </w:p>
    <w:p w:rsidR="003A0918" w:rsidRDefault="00D87DBB">
      <w:pPr>
        <w:pStyle w:val="Heading2"/>
        <w:ind w:left="1848" w:right="551"/>
      </w:pPr>
      <w:r>
        <w:t xml:space="preserve">Уровень убедительности рекомендаций </w:t>
      </w:r>
      <w:r>
        <w:t xml:space="preserve">A </w:t>
      </w:r>
      <w:r>
        <w:t>(уровен</w:t>
      </w:r>
      <w:r>
        <w:t>ь достоверности доказательств –</w:t>
      </w:r>
      <w:r>
        <w:t xml:space="preserve"> 3)</w:t>
      </w:r>
      <w:r>
        <w:rPr>
          <w:b w:val="0"/>
        </w:rPr>
        <w:t xml:space="preserve"> </w:t>
      </w:r>
    </w:p>
    <w:p w:rsidR="003A0918" w:rsidRDefault="00D87DBB">
      <w:pPr>
        <w:spacing w:after="29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i/>
          <w:sz w:val="24"/>
        </w:rPr>
        <w:t xml:space="preserve"> Обучение пациентов является эффективным средством достижения конкретных целей, включая прекращение курения, понимание ряда вопросов, связанных с терминальными событиями и улучшения исходов обострений. Для по</w:t>
      </w:r>
      <w:r>
        <w:rPr>
          <w:rFonts w:ascii="Times New Roman" w:eastAsia="Times New Roman" w:hAnsi="Times New Roman" w:cs="Times New Roman"/>
          <w:i/>
          <w:sz w:val="24"/>
        </w:rPr>
        <w:t xml:space="preserve">жилых пациентов могут оказаться полезными многопрофильные образовательные программы. 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При обучении пациентов с ХОБЛ рекомендуется составлять индивидуальный письменный план действий для оказания самопомощи [189]. </w:t>
      </w:r>
    </w:p>
    <w:p w:rsidR="003A0918" w:rsidRDefault="00D87DBB">
      <w:pPr>
        <w:pStyle w:val="Heading2"/>
        <w:ind w:left="1848" w:right="551"/>
      </w:pPr>
      <w:r>
        <w:t>Уровень убедительности рекомендаций В</w:t>
      </w:r>
      <w:r>
        <w:t xml:space="preserve"> </w:t>
      </w:r>
      <w:r>
        <w:t>(у</w:t>
      </w:r>
      <w:r>
        <w:t>ровень достоверности доказательств –</w:t>
      </w:r>
      <w:r>
        <w:t xml:space="preserve"> 2)</w:t>
      </w:r>
      <w:r>
        <w:rPr>
          <w:b w:val="0"/>
        </w:rPr>
        <w:t xml:space="preserve">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Создание индивидуального письменного плана действий, направленного на оказание пациентом самопомощи, приводит к улучшению качества жизни и сокращает время выздоровления при обострении из-</w:t>
      </w:r>
      <w:r>
        <w:rPr>
          <w:rFonts w:ascii="Times New Roman" w:eastAsia="Times New Roman" w:hAnsi="Times New Roman" w:cs="Times New Roman"/>
          <w:i/>
          <w:sz w:val="24"/>
        </w:rPr>
        <w:t xml:space="preserve">за меньшей задержки начала лечения со стороны пациента. Обучение пациентов наряду с инструкциями по оказанию самопомощи и индивидуальным письменным планом действий могут улучшить исходы обострений [190].  </w:t>
      </w:r>
    </w:p>
    <w:p w:rsidR="003A0918" w:rsidRDefault="00D87DBB">
      <w:pPr>
        <w:pStyle w:val="Heading2"/>
        <w:ind w:left="1143" w:right="551"/>
      </w:pPr>
      <w:r>
        <w:t>Основные методы легочной реабилитации и их обоснов</w:t>
      </w:r>
      <w:r>
        <w:t>ание</w:t>
      </w:r>
      <w:r>
        <w:t xml:space="preserve"> </w:t>
      </w:r>
      <w:r>
        <w:t>(см. Приложение Г</w:t>
      </w:r>
      <w:r>
        <w:t xml:space="preserve">-6.)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В программе легочной реабилитации рекомендуется проактивное выявление синдрома старческой астении у пациентов пожилого и старческого возраста с ХОБЛ с целью выделения групп пациентов с высоким риском неблагоприятного прогноза жи</w:t>
      </w:r>
      <w:r>
        <w:rPr>
          <w:rFonts w:ascii="Times New Roman" w:eastAsia="Times New Roman" w:hAnsi="Times New Roman" w:cs="Times New Roman"/>
          <w:sz w:val="24"/>
        </w:rPr>
        <w:t>зни и тече-</w:t>
      </w:r>
    </w:p>
    <w:p w:rsidR="003A0918" w:rsidRDefault="00D87DBB">
      <w:pPr>
        <w:spacing w:after="115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ния заболевания и формирования индивидуального плана ведения (</w:t>
      </w:r>
      <w:r>
        <w:rPr>
          <w:rFonts w:ascii="Times New Roman" w:eastAsia="Times New Roman" w:hAnsi="Times New Roman" w:cs="Times New Roman"/>
          <w:b/>
          <w:sz w:val="24"/>
        </w:rPr>
        <w:t>см. Приложение Г-7).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204"/>
        <w:ind w:left="1841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166" w:line="249" w:lineRule="auto"/>
        <w:ind w:left="2096" w:right="22" w:hanging="10"/>
      </w:pPr>
      <w:r>
        <w:rPr>
          <w:rFonts w:ascii="Times New Roman" w:eastAsia="Times New Roman" w:hAnsi="Times New Roman" w:cs="Times New Roman"/>
          <w:b/>
          <w:sz w:val="32"/>
        </w:rPr>
        <w:t>5.</w:t>
      </w:r>
      <w:r>
        <w:rPr>
          <w:rFonts w:ascii="Arial" w:eastAsia="Arial" w:hAnsi="Arial" w:cs="Arial"/>
          <w:b/>
          <w:sz w:val="32"/>
        </w:rPr>
        <w:t xml:space="preserve"> </w:t>
      </w:r>
      <w:r>
        <w:rPr>
          <w:rFonts w:ascii="Times New Roman" w:eastAsia="Times New Roman" w:hAnsi="Times New Roman" w:cs="Times New Roman"/>
          <w:b/>
          <w:sz w:val="32"/>
        </w:rPr>
        <w:t>Профилактика и диспансерное наблюдение, медицин-</w:t>
      </w:r>
    </w:p>
    <w:p w:rsidR="003A0918" w:rsidRDefault="00D87DBB">
      <w:pPr>
        <w:spacing w:after="153"/>
        <w:ind w:right="713"/>
        <w:jc w:val="right"/>
      </w:pPr>
      <w:r>
        <w:rPr>
          <w:rFonts w:ascii="Times New Roman" w:eastAsia="Times New Roman" w:hAnsi="Times New Roman" w:cs="Times New Roman"/>
          <w:b/>
          <w:sz w:val="32"/>
        </w:rPr>
        <w:t>ские показания и противопоказания к применению ме-</w:t>
      </w:r>
    </w:p>
    <w:p w:rsidR="003A0918" w:rsidRDefault="00D87DBB">
      <w:pPr>
        <w:pStyle w:val="Heading1"/>
        <w:spacing w:after="360"/>
        <w:ind w:left="1653"/>
      </w:pPr>
      <w:r>
        <w:t>тодов</w:t>
      </w:r>
      <w:r>
        <w:t xml:space="preserve"> </w:t>
      </w:r>
      <w:r>
        <w:t>профилактики</w:t>
      </w:r>
      <w:r>
        <w:t xml:space="preserve"> </w:t>
      </w:r>
    </w:p>
    <w:p w:rsidR="003A0918" w:rsidRDefault="00D87DBB">
      <w:pPr>
        <w:spacing w:after="5" w:line="364" w:lineRule="auto"/>
        <w:ind w:left="1841" w:right="560" w:hanging="566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В качестве мероприятий по профилактике ХОБЛ рекомендуется выявление, сокращение и контроль факторов риска, таких как курение, вредные воздействия на рабочем месте, и загрязнение среды в помещении [191, 192].   </w:t>
      </w:r>
    </w:p>
    <w:p w:rsidR="003A0918" w:rsidRDefault="00D87DBB">
      <w:pPr>
        <w:spacing w:after="2" w:line="357" w:lineRule="auto"/>
        <w:ind w:left="1848" w:right="551" w:hanging="10"/>
      </w:pPr>
      <w:r>
        <w:rPr>
          <w:rFonts w:ascii="Times New Roman" w:eastAsia="Times New Roman" w:hAnsi="Times New Roman" w:cs="Times New Roman"/>
          <w:b/>
          <w:sz w:val="24"/>
        </w:rPr>
        <w:t>Для курения уровень убедительности рекомендац</w:t>
      </w:r>
      <w:r>
        <w:rPr>
          <w:rFonts w:ascii="Times New Roman" w:eastAsia="Times New Roman" w:hAnsi="Times New Roman" w:cs="Times New Roman"/>
          <w:b/>
          <w:sz w:val="24"/>
        </w:rPr>
        <w:t xml:space="preserve">ий С (уровень достоверности доказательств – 1). </w:t>
      </w:r>
    </w:p>
    <w:p w:rsidR="003A0918" w:rsidRDefault="00D87DBB">
      <w:pPr>
        <w:pStyle w:val="Heading2"/>
        <w:spacing w:after="30" w:line="356" w:lineRule="auto"/>
        <w:ind w:left="1848" w:right="551"/>
      </w:pPr>
      <w:r>
        <w:t>Для загрязнения</w:t>
      </w:r>
      <w:r>
        <w:t xml:space="preserve"> </w:t>
      </w:r>
      <w:r>
        <w:t>воздуха в помещении уровень убедительности рекомендаций С</w:t>
      </w:r>
      <w:r>
        <w:t xml:space="preserve"> </w:t>
      </w:r>
      <w:r>
        <w:t>(уровень достоверности доказательств –</w:t>
      </w:r>
      <w:r>
        <w:t xml:space="preserve"> 2) </w:t>
      </w:r>
    </w:p>
    <w:p w:rsidR="003A0918" w:rsidRDefault="00D87DBB">
      <w:pPr>
        <w:spacing w:after="5" w:line="364" w:lineRule="auto"/>
        <w:ind w:left="1826" w:right="560" w:hanging="708"/>
        <w:jc w:val="both"/>
      </w:pP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Всем пациентам с </w:t>
      </w:r>
      <w:r>
        <w:rPr>
          <w:rFonts w:ascii="Times New Roman" w:eastAsia="Times New Roman" w:hAnsi="Times New Roman" w:cs="Times New Roman"/>
          <w:sz w:val="24"/>
        </w:rPr>
        <w:t xml:space="preserve">ХОБЛ с целью уменьшения риска обострений рекомендуется ежегодная вакцинация против гриппа [123]. </w:t>
      </w:r>
    </w:p>
    <w:p w:rsidR="003A0918" w:rsidRDefault="00D87DBB">
      <w:pPr>
        <w:pStyle w:val="Heading2"/>
        <w:ind w:left="1848" w:right="551"/>
      </w:pPr>
      <w:r>
        <w:t>Уровень убедительности рекомендаций А (уровень достоверности доказательств –</w:t>
      </w:r>
      <w:r>
        <w:t xml:space="preserve"> 1)</w:t>
      </w:r>
      <w:r>
        <w:rPr>
          <w:b w:val="0"/>
        </w:rPr>
        <w:t xml:space="preserve"> </w:t>
      </w:r>
    </w:p>
    <w:p w:rsidR="003A0918" w:rsidRDefault="00D87DBB">
      <w:pPr>
        <w:spacing w:after="53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В общей популяции показано, что вакцинация лиц старше 65 лет про</w:t>
      </w:r>
      <w:r>
        <w:rPr>
          <w:rFonts w:ascii="Times New Roman" w:eastAsia="Times New Roman" w:hAnsi="Times New Roman" w:cs="Times New Roman"/>
          <w:i/>
          <w:sz w:val="24"/>
        </w:rPr>
        <w:t xml:space="preserve">тив гриппа снижает риск пневмонии, госпитализации и смерти на 50–68%. 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tabs>
          <w:tab w:val="center" w:pos="1188"/>
          <w:tab w:val="center" w:pos="6190"/>
        </w:tabs>
        <w:spacing w:after="74"/>
      </w:pPr>
      <w:r>
        <w:tab/>
      </w: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ab/>
      </w:r>
      <w:r>
        <w:rPr>
          <w:rFonts w:ascii="Times New Roman" w:eastAsia="Times New Roman" w:hAnsi="Times New Roman" w:cs="Times New Roman"/>
          <w:sz w:val="24"/>
        </w:rPr>
        <w:t xml:space="preserve">Пациентам с ХОБЛ рекомендуется вакцинация против пневмококковой инфекции </w:t>
      </w:r>
    </w:p>
    <w:p w:rsidR="003A0918" w:rsidRDefault="00D87DBB">
      <w:pPr>
        <w:spacing w:after="112"/>
        <w:ind w:left="1851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[1, 193]. </w:t>
      </w:r>
    </w:p>
    <w:p w:rsidR="003A0918" w:rsidRDefault="00D87DBB">
      <w:pPr>
        <w:pStyle w:val="Heading2"/>
        <w:ind w:left="1848" w:right="551"/>
      </w:pPr>
      <w:r>
        <w:t>Уровень убедительности рекомендаций С</w:t>
      </w:r>
      <w:r>
        <w:t xml:space="preserve"> </w:t>
      </w:r>
      <w:r>
        <w:t>(уровень достоверности доказательств –</w:t>
      </w:r>
      <w:r>
        <w:t xml:space="preserve"> 5)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В</w:t>
      </w:r>
      <w:r>
        <w:rPr>
          <w:rFonts w:ascii="Times New Roman" w:eastAsia="Times New Roman" w:hAnsi="Times New Roman" w:cs="Times New Roman"/>
          <w:i/>
          <w:sz w:val="24"/>
        </w:rPr>
        <w:t xml:space="preserve">акцинация против пневмококковой инфекции (ПИ) может снизить заболеваемость пневмококковой пневмонией у пациентов с ХОБЛ, </w:t>
      </w:r>
      <w:r>
        <w:rPr>
          <w:rFonts w:ascii="Times New Roman" w:eastAsia="Times New Roman" w:hAnsi="Times New Roman" w:cs="Times New Roman"/>
          <w:i/>
          <w:color w:val="212121"/>
          <w:sz w:val="24"/>
        </w:rPr>
        <w:t>хотя нет доказательств того, что вакцинация снижает риск подтвержденной пневмококковой пневмонии, которая встречается относительно редк</w:t>
      </w:r>
      <w:r>
        <w:rPr>
          <w:rFonts w:ascii="Times New Roman" w:eastAsia="Times New Roman" w:hAnsi="Times New Roman" w:cs="Times New Roman"/>
          <w:i/>
          <w:color w:val="212121"/>
          <w:sz w:val="24"/>
        </w:rPr>
        <w:t xml:space="preserve">о. </w:t>
      </w:r>
      <w:r>
        <w:rPr>
          <w:rFonts w:ascii="Times New Roman" w:eastAsia="Times New Roman" w:hAnsi="Times New Roman" w:cs="Times New Roman"/>
          <w:i/>
          <w:sz w:val="24"/>
        </w:rPr>
        <w:t>Эффективность вакцинация против пневмококковой инфекции в отношении влияния на другие исходы (риск обострений, общая смертность) требует дополнительного изучения [201]. Иммунизация против ПИ может проводиться в течение всего года. Если планируется орган</w:t>
      </w:r>
      <w:r>
        <w:rPr>
          <w:rFonts w:ascii="Times New Roman" w:eastAsia="Times New Roman" w:hAnsi="Times New Roman" w:cs="Times New Roman"/>
          <w:i/>
          <w:sz w:val="24"/>
        </w:rPr>
        <w:t xml:space="preserve">изация программы массовой вакцинации против гриппа, то удобно провести эту вакцинацию одновременно с иммунизацией против ПИ перед началом сезона острых респираторных заболеваний и гриппа, что соответствует рекомендациям ВОЗ. </w:t>
      </w:r>
      <w:r>
        <w:rPr>
          <w:rFonts w:ascii="Times New Roman" w:eastAsia="Times New Roman" w:hAnsi="Times New Roman" w:cs="Times New Roman"/>
          <w:b/>
          <w:i/>
          <w:sz w:val="24"/>
        </w:rPr>
        <w:t>Уровень убедительности рекоменд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аций C (уровень достоверности доказательств – 5. </w:t>
      </w:r>
    </w:p>
    <w:p w:rsidR="003A0918" w:rsidRDefault="00D87DBB">
      <w:pPr>
        <w:spacing w:after="5" w:line="364" w:lineRule="auto"/>
        <w:ind w:left="185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Клинические исследования бактериальных лизатов (ОМ-85 и PMDL) у пациентов с ХОБЛ демонстрируют снижение количества обострений заболевания, а также потребность в антибактериальной терапии [217-222]. </w:t>
      </w:r>
      <w:r>
        <w:rPr>
          <w:rFonts w:ascii="Times New Roman" w:eastAsia="Times New Roman" w:hAnsi="Times New Roman" w:cs="Times New Roman"/>
          <w:color w:val="212121"/>
          <w:sz w:val="24"/>
        </w:rPr>
        <w:t>Метаана</w:t>
      </w:r>
      <w:r>
        <w:rPr>
          <w:rFonts w:ascii="Times New Roman" w:eastAsia="Times New Roman" w:hAnsi="Times New Roman" w:cs="Times New Roman"/>
          <w:color w:val="212121"/>
          <w:sz w:val="24"/>
        </w:rPr>
        <w:t xml:space="preserve">лиз 12 исследований  эффективности и безопасности бактериальных лизатов, опубликованнный в 2022 году показал, что они </w:t>
      </w:r>
      <w:r>
        <w:rPr>
          <w:rFonts w:ascii="Times New Roman" w:eastAsia="Times New Roman" w:hAnsi="Times New Roman" w:cs="Times New Roman"/>
          <w:sz w:val="24"/>
        </w:rPr>
        <w:t>могут принести пользу пациентам с ХОБЛ, уменьшая обострения [ОР = 0,83]: 95% ДИ: 0,72–0,96, из них,</w:t>
      </w:r>
      <w:r>
        <w:rPr>
          <w:rFonts w:ascii="Times New Roman" w:eastAsia="Times New Roman" w:hAnsi="Times New Roman" w:cs="Times New Roman"/>
          <w:color w:val="282828"/>
          <w:sz w:val="24"/>
          <w:shd w:val="clear" w:color="auto" w:fill="F7F7F7"/>
        </w:rPr>
        <w:t xml:space="preserve"> </w:t>
      </w:r>
      <w:r>
        <w:rPr>
          <w:rFonts w:ascii="Times New Roman" w:eastAsia="Times New Roman" w:hAnsi="Times New Roman" w:cs="Times New Roman"/>
          <w:color w:val="282828"/>
          <w:sz w:val="24"/>
          <w:shd w:val="clear" w:color="auto" w:fill="F7F7F7"/>
        </w:rPr>
        <w:t>подгруппа химических бактериальных лизатов [OM-85]: ОР = 0,87, 95% ДИ 0,77–0,98; подгруппа механических</w:t>
      </w:r>
      <w:r>
        <w:rPr>
          <w:rFonts w:ascii="Times New Roman" w:eastAsia="Times New Roman" w:hAnsi="Times New Roman" w:cs="Times New Roman"/>
          <w:color w:val="282828"/>
          <w:sz w:val="24"/>
        </w:rPr>
        <w:t xml:space="preserve"> </w:t>
      </w:r>
      <w:r>
        <w:rPr>
          <w:rFonts w:ascii="Times New Roman" w:eastAsia="Times New Roman" w:hAnsi="Times New Roman" w:cs="Times New Roman"/>
          <w:color w:val="282828"/>
          <w:sz w:val="24"/>
          <w:shd w:val="clear" w:color="auto" w:fill="F7F7F7"/>
        </w:rPr>
        <w:t xml:space="preserve">бактериальных лизатов: ОР = 0,70, 95% ДИ 0,41–1,20, </w:t>
      </w:r>
      <w:r>
        <w:rPr>
          <w:rFonts w:ascii="Times New Roman" w:eastAsia="Times New Roman" w:hAnsi="Times New Roman" w:cs="Times New Roman"/>
          <w:sz w:val="24"/>
        </w:rPr>
        <w:t xml:space="preserve">облегчая симптомы [223]. </w:t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>Уровень убедительности рекомендаций C (уровень достоверности доказа-</w:t>
      </w:r>
    </w:p>
    <w:p w:rsidR="003A0918" w:rsidRDefault="00D87DBB">
      <w:pPr>
        <w:spacing w:after="125" w:line="249" w:lineRule="auto"/>
        <w:ind w:left="1848" w:right="551" w:hanging="10"/>
      </w:pPr>
      <w:r>
        <w:rPr>
          <w:rFonts w:ascii="Times New Roman" w:eastAsia="Times New Roman" w:hAnsi="Times New Roman" w:cs="Times New Roman"/>
          <w:b/>
          <w:sz w:val="24"/>
        </w:rPr>
        <w:t>тельс</w:t>
      </w:r>
      <w:r>
        <w:rPr>
          <w:rFonts w:ascii="Times New Roman" w:eastAsia="Times New Roman" w:hAnsi="Times New Roman" w:cs="Times New Roman"/>
          <w:b/>
          <w:sz w:val="24"/>
        </w:rPr>
        <w:t xml:space="preserve">тв – 5. </w:t>
      </w:r>
    </w:p>
    <w:p w:rsidR="003A0918" w:rsidRDefault="00D87DBB">
      <w:pPr>
        <w:spacing w:after="7" w:line="355" w:lineRule="auto"/>
        <w:ind w:left="1836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Комментрии</w:t>
      </w:r>
      <w:r>
        <w:rPr>
          <w:rFonts w:ascii="Times New Roman" w:eastAsia="Times New Roman" w:hAnsi="Times New Roman" w:cs="Times New Roman"/>
          <w:sz w:val="24"/>
        </w:rPr>
        <w:t xml:space="preserve">: </w:t>
      </w:r>
      <w:r>
        <w:rPr>
          <w:rFonts w:ascii="Times New Roman" w:eastAsia="Times New Roman" w:hAnsi="Times New Roman" w:cs="Times New Roman"/>
          <w:i/>
          <w:sz w:val="24"/>
        </w:rPr>
        <w:t>В настоящее время необходимы результаты дальнейших исследований, определяющих роль и место бактериальных лизатов в режимах терапии ХОБЛ</w:t>
      </w:r>
      <w:r>
        <w:rPr>
          <w:rFonts w:ascii="Times New Roman" w:eastAsia="Times New Roman" w:hAnsi="Times New Roman" w:cs="Times New Roman"/>
          <w:sz w:val="24"/>
        </w:rPr>
        <w:t xml:space="preserve">. </w:t>
      </w:r>
    </w:p>
    <w:p w:rsidR="003A0918" w:rsidRDefault="00D87DBB">
      <w:pPr>
        <w:pStyle w:val="Heading2"/>
        <w:spacing w:after="0" w:line="358" w:lineRule="auto"/>
        <w:ind w:left="1848" w:right="551"/>
      </w:pPr>
      <w:r>
        <w:t>Диспансерное наблюдение больных с</w:t>
      </w:r>
      <w:r>
        <w:t xml:space="preserve"> </w:t>
      </w:r>
      <w:r>
        <w:t>хронической обструктивной болезнью легких</w:t>
      </w:r>
      <w:r>
        <w:t xml:space="preserve"> </w:t>
      </w:r>
    </w:p>
    <w:p w:rsidR="003A0918" w:rsidRDefault="00D87DBB">
      <w:pPr>
        <w:spacing w:after="152" w:line="249" w:lineRule="auto"/>
        <w:ind w:left="1848" w:right="551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Диспансерное наблюдение пациентов, страдающих ХОБЛ, осуществляет: </w:t>
      </w:r>
    </w:p>
    <w:p w:rsidR="003A0918" w:rsidRDefault="00D87DBB">
      <w:pPr>
        <w:numPr>
          <w:ilvl w:val="0"/>
          <w:numId w:val="27"/>
        </w:numPr>
        <w:spacing w:after="29" w:line="272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врач-терапевт ((врач-терапевт-участковый, врач-терапевт участковый цехового врачебного участка, врач общей практики(семейный врач); </w:t>
      </w:r>
    </w:p>
    <w:p w:rsidR="003A0918" w:rsidRDefault="00D87DBB">
      <w:pPr>
        <w:numPr>
          <w:ilvl w:val="0"/>
          <w:numId w:val="27"/>
        </w:numPr>
        <w:spacing w:after="5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врач-пульмонолог; </w:t>
      </w:r>
    </w:p>
    <w:p w:rsidR="003A0918" w:rsidRDefault="00D87DBB">
      <w:pPr>
        <w:numPr>
          <w:ilvl w:val="0"/>
          <w:numId w:val="27"/>
        </w:numPr>
        <w:spacing w:after="5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врач (фельдшер) отделения (кабинета) </w:t>
      </w:r>
      <w:r>
        <w:rPr>
          <w:rFonts w:ascii="Times New Roman" w:eastAsia="Times New Roman" w:hAnsi="Times New Roman" w:cs="Times New Roman"/>
          <w:sz w:val="24"/>
        </w:rPr>
        <w:t xml:space="preserve">медицинской профилактики; </w:t>
      </w:r>
    </w:p>
    <w:p w:rsidR="003A0918" w:rsidRDefault="00D87DBB">
      <w:pPr>
        <w:numPr>
          <w:ilvl w:val="0"/>
          <w:numId w:val="27"/>
        </w:numPr>
        <w:spacing w:after="5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врач (фельдшер) центра здоровья; </w:t>
      </w:r>
    </w:p>
    <w:p w:rsidR="003A0918" w:rsidRDefault="00D87DBB">
      <w:pPr>
        <w:numPr>
          <w:ilvl w:val="0"/>
          <w:numId w:val="27"/>
        </w:numPr>
        <w:spacing w:after="39" w:line="235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фельдшер фельдшерско-акушерского пункта (фельдшерского здравпункта) в случае возложения на него руководителем медицинской организации отдельных функция лечащего врача/ </w:t>
      </w:r>
    </w:p>
    <w:p w:rsidR="003A0918" w:rsidRDefault="00D87DBB">
      <w:pPr>
        <w:spacing w:after="19"/>
        <w:ind w:left="149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 w:line="356" w:lineRule="auto"/>
        <w:ind w:left="1133" w:right="9919"/>
      </w:pPr>
      <w:r>
        <w:rPr>
          <w:rFonts w:ascii="Times New Roman" w:eastAsia="Times New Roman" w:hAnsi="Times New Roman" w:cs="Times New Roman"/>
          <w:b/>
          <w:sz w:val="24"/>
        </w:rPr>
        <w:t xml:space="preserve">  </w:t>
      </w:r>
    </w:p>
    <w:p w:rsidR="003A0918" w:rsidRDefault="00D87DBB">
      <w:pPr>
        <w:spacing w:after="5"/>
        <w:ind w:left="1128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Таблица 11.</w:t>
      </w:r>
      <w:r>
        <w:rPr>
          <w:rFonts w:ascii="Times New Roman" w:eastAsia="Times New Roman" w:hAnsi="Times New Roman" w:cs="Times New Roman"/>
          <w:sz w:val="24"/>
        </w:rPr>
        <w:t xml:space="preserve"> Диспансер</w:t>
      </w:r>
      <w:r>
        <w:rPr>
          <w:rFonts w:ascii="Times New Roman" w:eastAsia="Times New Roman" w:hAnsi="Times New Roman" w:cs="Times New Roman"/>
          <w:sz w:val="24"/>
        </w:rPr>
        <w:t xml:space="preserve">ное наблюдение пациентов, страдающих ХОБЛ [231] </w:t>
      </w:r>
    </w:p>
    <w:tbl>
      <w:tblPr>
        <w:tblStyle w:val="TableGrid"/>
        <w:tblW w:w="8932" w:type="dxa"/>
        <w:tblInd w:w="1275" w:type="dxa"/>
        <w:tblCellMar>
          <w:top w:w="62" w:type="dxa"/>
          <w:left w:w="106" w:type="dxa"/>
          <w:bottom w:w="0" w:type="dxa"/>
          <w:right w:w="50" w:type="dxa"/>
        </w:tblCellMar>
        <w:tblLook w:val="04A0" w:firstRow="1" w:lastRow="0" w:firstColumn="1" w:lastColumn="0" w:noHBand="0" w:noVBand="1"/>
      </w:tblPr>
      <w:tblGrid>
        <w:gridCol w:w="1927"/>
        <w:gridCol w:w="1767"/>
        <w:gridCol w:w="1978"/>
        <w:gridCol w:w="3260"/>
      </w:tblGrid>
      <w:tr w:rsidR="003A0918">
        <w:trPr>
          <w:trHeight w:val="838"/>
        </w:trPr>
        <w:tc>
          <w:tcPr>
            <w:tcW w:w="1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Нозологическая форма </w:t>
            </w:r>
          </w:p>
        </w:tc>
        <w:tc>
          <w:tcPr>
            <w:tcW w:w="1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Частота наблюдений специалистами </w:t>
            </w:r>
          </w:p>
        </w:tc>
        <w:tc>
          <w:tcPr>
            <w:tcW w:w="1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Осмотр врачами других специальностей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Перечень диагностических исследований </w:t>
            </w:r>
          </w:p>
        </w:tc>
      </w:tr>
      <w:tr w:rsidR="003A0918">
        <w:trPr>
          <w:trHeight w:val="4426"/>
        </w:trPr>
        <w:tc>
          <w:tcPr>
            <w:tcW w:w="1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ХОБЛ с бронхиальной обструкцией 1-2 степени тяжести </w:t>
            </w:r>
          </w:p>
        </w:tc>
        <w:tc>
          <w:tcPr>
            <w:tcW w:w="1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Терапевт 1 раз </w:t>
            </w:r>
          </w:p>
          <w:p w:rsidR="003A0918" w:rsidRDefault="00D87DBB">
            <w:pPr>
              <w:spacing w:after="0" w:line="238" w:lineRule="auto"/>
              <w:ind w:left="1" w:right="9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 6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месяцев или пульмонолог 1 раз в </w:t>
            </w:r>
          </w:p>
          <w:p w:rsidR="003A0918" w:rsidRDefault="00D87DBB">
            <w:pPr>
              <w:spacing w:after="0"/>
              <w:ind w:left="1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6 месяцев </w:t>
            </w:r>
          </w:p>
        </w:tc>
        <w:tc>
          <w:tcPr>
            <w:tcW w:w="1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Оториноларинголог, стоматолог, психотерапевт, фтизиатр (по показаниям)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11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Антропометрия, крупнокадровая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флюорография, ЭКГ, клинический анализ крови, общий анализ мокроты с исследованием на микобактерии туберкулеза, посев мокроты на флору и чувствительность к антибиотикам, спирометрия с исследованием обратимости бронхиальной обструкции, пульсоксиметрия, тест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 6-минутной ходьбой, исследование концентрации окиси углерода и оксид азота в выдыхаемом воздухе </w:t>
            </w:r>
          </w:p>
        </w:tc>
      </w:tr>
      <w:tr w:rsidR="003A0918">
        <w:trPr>
          <w:trHeight w:val="4978"/>
        </w:trPr>
        <w:tc>
          <w:tcPr>
            <w:tcW w:w="1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ХОБЛ с бронхиальной обструкцией 3-4 степени тяжести. Эмфизема лёгких. Дыхательная недостаточность 1-2 степени </w:t>
            </w:r>
          </w:p>
        </w:tc>
        <w:tc>
          <w:tcPr>
            <w:tcW w:w="1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 w:line="238" w:lineRule="auto"/>
              <w:ind w:left="1" w:right="13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Терапевта 1 раз в б месяцев, </w:t>
            </w:r>
          </w:p>
          <w:p w:rsidR="003A0918" w:rsidRDefault="00D87DBB">
            <w:pPr>
              <w:spacing w:after="0"/>
              <w:ind w:left="1" w:right="4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Пульмонолог 1 раз в 6 месяцев </w:t>
            </w:r>
          </w:p>
        </w:tc>
        <w:tc>
          <w:tcPr>
            <w:tcW w:w="1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Оториноларинголог, стоматолог, торакальный хирург (по показаниям)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Антропометрия, клинический анализ крови, спирометрия с исследованием обратимости бронхиальной обструкции, компьютерная томография, общий анализ мокроты, биохи</w:t>
            </w:r>
            <w:r>
              <w:rPr>
                <w:rFonts w:ascii="Times New Roman" w:eastAsia="Times New Roman" w:hAnsi="Times New Roman" w:cs="Times New Roman"/>
                <w:sz w:val="24"/>
              </w:rPr>
              <w:t>мическое исследование крови (общий белок и фракции, глюкоза крови, креатинин, печеночные пробы, содержание кадия, кальция, натрия, холестерина, МНО, протромбиновый индекс), исследование вентиляционной функции лёгких, тест с 6-минутной ходьбой, ЭКГ, пульсок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симетрия </w:t>
            </w:r>
          </w:p>
        </w:tc>
      </w:tr>
    </w:tbl>
    <w:p w:rsidR="003A0918" w:rsidRDefault="00D87DBB">
      <w:pPr>
        <w:spacing w:after="115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112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153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 w:line="356" w:lineRule="auto"/>
        <w:ind w:left="1143" w:right="119" w:hanging="10"/>
      </w:pPr>
      <w:r>
        <w:rPr>
          <w:rFonts w:ascii="Times New Roman" w:eastAsia="Times New Roman" w:hAnsi="Times New Roman" w:cs="Times New Roman"/>
          <w:b/>
          <w:sz w:val="28"/>
        </w:rPr>
        <w:t xml:space="preserve">Алгоритм ведения пациента с установленным диагнозом ХОБЛ представлен в приложении Б1. </w:t>
      </w:r>
    </w:p>
    <w:p w:rsidR="003A0918" w:rsidRDefault="00D87DBB">
      <w:pPr>
        <w:spacing w:after="0"/>
        <w:ind w:left="1841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pStyle w:val="Heading1"/>
        <w:spacing w:after="92"/>
        <w:ind w:left="870" w:right="299"/>
      </w:pPr>
      <w:r>
        <w:t>6. Организация оказания медицинской помощи</w:t>
      </w:r>
      <w: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Диагностику и ведение пациентов с ХОБЛ осуществляют: врач-</w:t>
      </w:r>
      <w:r>
        <w:rPr>
          <w:rFonts w:ascii="Times New Roman" w:eastAsia="Times New Roman" w:hAnsi="Times New Roman" w:cs="Times New Roman"/>
          <w:sz w:val="24"/>
        </w:rPr>
        <w:t xml:space="preserve">терапевт или врач общей практики (семейный врач) [194], врач-пульмонолог. При необходимости, осуществляется консультация, проводится лечение врачами других специальностей.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Врач первичного звена производит комплексную оценку симптомов, данных истории забол</w:t>
      </w:r>
      <w:r>
        <w:rPr>
          <w:rFonts w:ascii="Times New Roman" w:eastAsia="Times New Roman" w:hAnsi="Times New Roman" w:cs="Times New Roman"/>
          <w:sz w:val="24"/>
        </w:rPr>
        <w:t>евания, истории жизни пациента. Также производится оценка факторов риска ХОБЛ (вредные привычки, профессиональный путь пациента, условия жизни). Начальное обследование пациента осуществляется врачом первичного звена: изучение тяжести жалоб пациента с испол</w:t>
      </w:r>
      <w:r>
        <w:rPr>
          <w:rFonts w:ascii="Times New Roman" w:eastAsia="Times New Roman" w:hAnsi="Times New Roman" w:cs="Times New Roman"/>
          <w:sz w:val="24"/>
        </w:rPr>
        <w:t>ьзованием шкал mMRC, CAT, исследование функции внешнего дыхания с бронхолитической пробой, рентгенографическое обследование грудной клетки [195]. Врач-терапевт, врач общей практики (семейный врач) диагностирует ХОБЛ, назначает терапию ДДБД и симптоматическ</w:t>
      </w:r>
      <w:r>
        <w:rPr>
          <w:rFonts w:ascii="Times New Roman" w:eastAsia="Times New Roman" w:hAnsi="Times New Roman" w:cs="Times New Roman"/>
          <w:sz w:val="24"/>
        </w:rPr>
        <w:t xml:space="preserve">ую терапию КДБА или КДБА/КДАХ [196]. </w:t>
      </w:r>
    </w:p>
    <w:p w:rsidR="003A0918" w:rsidRDefault="00D87DBB">
      <w:pPr>
        <w:spacing w:after="5" w:line="364" w:lineRule="auto"/>
        <w:ind w:left="1118" w:right="560" w:firstLine="449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Врач-пульмонолог формулирует диагноз в соответствии </w:t>
      </w:r>
      <w:r>
        <w:rPr>
          <w:rFonts w:ascii="Times New Roman" w:eastAsia="Times New Roman" w:hAnsi="Times New Roman" w:cs="Times New Roman"/>
          <w:sz w:val="24"/>
        </w:rPr>
        <w:t>с актуальной версией клинических рекомендаций, проводит дообследование пациента при наличии показаний, определяет необходимую схему лечения больного ХОБЛ и респираторной реабилитации, включая нутритивную и респираторную поддержку. Контроль эффективности пр</w:t>
      </w:r>
      <w:r>
        <w:rPr>
          <w:rFonts w:ascii="Times New Roman" w:eastAsia="Times New Roman" w:hAnsi="Times New Roman" w:cs="Times New Roman"/>
          <w:sz w:val="24"/>
        </w:rPr>
        <w:t xml:space="preserve">едписанного плана лечения производится через 1,3,12 месяцев в первый год, далее ежегодно [197]. Важным аспектом работы врача-пульмонолога кабинета врача пульмонолога медицинской организации является проведение школ для больных ХОБЛ [198]. </w:t>
      </w:r>
    </w:p>
    <w:p w:rsidR="003A0918" w:rsidRDefault="00D87DBB">
      <w:pPr>
        <w:spacing w:after="123"/>
        <w:ind w:left="1592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Показаниями для </w:t>
      </w:r>
      <w:r>
        <w:rPr>
          <w:rFonts w:ascii="Times New Roman" w:eastAsia="Times New Roman" w:hAnsi="Times New Roman" w:cs="Times New Roman"/>
          <w:sz w:val="24"/>
        </w:rPr>
        <w:t xml:space="preserve">консультации врача-пульмонолога являются [199]: </w:t>
      </w:r>
    </w:p>
    <w:p w:rsidR="003A0918" w:rsidRDefault="00D87DBB">
      <w:pPr>
        <w:numPr>
          <w:ilvl w:val="0"/>
          <w:numId w:val="28"/>
        </w:numPr>
        <w:spacing w:after="121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Уточнение диагноза ХОБЛ,  </w:t>
      </w:r>
    </w:p>
    <w:p w:rsidR="003A0918" w:rsidRDefault="00D87DBB">
      <w:pPr>
        <w:numPr>
          <w:ilvl w:val="0"/>
          <w:numId w:val="28"/>
        </w:numPr>
        <w:spacing w:after="123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Дифференциальная диагностика, </w:t>
      </w:r>
    </w:p>
    <w:p w:rsidR="003A0918" w:rsidRDefault="00D87DBB">
      <w:pPr>
        <w:numPr>
          <w:ilvl w:val="0"/>
          <w:numId w:val="28"/>
        </w:numPr>
        <w:spacing w:after="5" w:line="364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Подбор алгоритма ведения пациента, включая фармакологические и нефармакологические методы лечения больных ХОБЛ, </w:t>
      </w:r>
    </w:p>
    <w:p w:rsidR="003A0918" w:rsidRDefault="00D87DBB">
      <w:pPr>
        <w:numPr>
          <w:ilvl w:val="0"/>
          <w:numId w:val="28"/>
        </w:numPr>
        <w:spacing w:after="5" w:line="364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Смена терапевтической стратегии при </w:t>
      </w:r>
      <w:r>
        <w:rPr>
          <w:rFonts w:ascii="Times New Roman" w:eastAsia="Times New Roman" w:hAnsi="Times New Roman" w:cs="Times New Roman"/>
          <w:sz w:val="24"/>
        </w:rPr>
        <w:t xml:space="preserve">отсутствии эффекта от назначенной ранее терапии (в том числе и при низком комплайнсе тем или иным средствам доставки лекарственных веществ). </w:t>
      </w:r>
    </w:p>
    <w:p w:rsidR="003A0918" w:rsidRDefault="00D87DBB">
      <w:pPr>
        <w:spacing w:after="121"/>
        <w:ind w:left="1863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Показания для госпитализации в дневной стационар медицинской организации: </w:t>
      </w:r>
    </w:p>
    <w:p w:rsidR="003A0918" w:rsidRDefault="00D87DBB">
      <w:pPr>
        <w:numPr>
          <w:ilvl w:val="0"/>
          <w:numId w:val="29"/>
        </w:numPr>
        <w:spacing w:after="5" w:line="364" w:lineRule="auto"/>
        <w:ind w:right="560" w:hanging="425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Нарастание тяжести симптомов более чем </w:t>
      </w:r>
      <w:r>
        <w:rPr>
          <w:rFonts w:ascii="Times New Roman" w:eastAsia="Times New Roman" w:hAnsi="Times New Roman" w:cs="Times New Roman"/>
          <w:sz w:val="24"/>
        </w:rPr>
        <w:t xml:space="preserve">трое суток (усиление одышки, усиление экспекторации мокроты, усиление гнойности мокроты) [200], </w:t>
      </w:r>
    </w:p>
    <w:p w:rsidR="003A0918" w:rsidRDefault="00D87DBB">
      <w:pPr>
        <w:numPr>
          <w:ilvl w:val="0"/>
          <w:numId w:val="29"/>
        </w:numPr>
        <w:spacing w:after="123"/>
        <w:ind w:right="560" w:hanging="425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Соответствие обострения критериям легкого или среднетяжелого обострения, </w:t>
      </w:r>
    </w:p>
    <w:p w:rsidR="003A0918" w:rsidRDefault="00D87DBB">
      <w:pPr>
        <w:numPr>
          <w:ilvl w:val="0"/>
          <w:numId w:val="29"/>
        </w:numPr>
        <w:spacing w:after="5" w:line="364" w:lineRule="auto"/>
        <w:ind w:right="560" w:hanging="425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Неэффективность начальной амбулаторной терапии обострения в течение трех суток, </w:t>
      </w:r>
    </w:p>
    <w:p w:rsidR="003A0918" w:rsidRDefault="00D87DBB">
      <w:pPr>
        <w:numPr>
          <w:ilvl w:val="0"/>
          <w:numId w:val="29"/>
        </w:numPr>
        <w:spacing w:after="115"/>
        <w:ind w:right="560" w:hanging="425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Обострение хронических сопутствующих заболеваний без нарушения функции жизненно важных органов второй степени и выше.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Плановые госпитализации в круглосуточный стационар больных ХОБЛ не предусмотрены.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Показания для неотложной госпитализации в круглосуточн</w:t>
      </w:r>
      <w:r>
        <w:rPr>
          <w:rFonts w:ascii="Times New Roman" w:eastAsia="Times New Roman" w:hAnsi="Times New Roman" w:cs="Times New Roman"/>
          <w:sz w:val="24"/>
        </w:rPr>
        <w:t xml:space="preserve">ый стационар медицинской организации: </w:t>
      </w:r>
    </w:p>
    <w:p w:rsidR="003A0918" w:rsidRDefault="00D87DBB">
      <w:pPr>
        <w:numPr>
          <w:ilvl w:val="0"/>
          <w:numId w:val="30"/>
        </w:numPr>
        <w:spacing w:after="5" w:line="364" w:lineRule="auto"/>
        <w:ind w:right="560" w:hanging="425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Значительное нарастание тяжести симптомов (внезапно появившаяся тяжелая одышка), </w:t>
      </w:r>
    </w:p>
    <w:p w:rsidR="003A0918" w:rsidRDefault="00D87DBB">
      <w:pPr>
        <w:numPr>
          <w:ilvl w:val="0"/>
          <w:numId w:val="30"/>
        </w:numPr>
        <w:spacing w:after="121"/>
        <w:ind w:right="560" w:hanging="425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Появление новых симптомов (цианоз, периферические отеки), </w:t>
      </w:r>
    </w:p>
    <w:p w:rsidR="003A0918" w:rsidRDefault="00D87DBB">
      <w:pPr>
        <w:numPr>
          <w:ilvl w:val="0"/>
          <w:numId w:val="30"/>
        </w:numPr>
        <w:spacing w:after="123"/>
        <w:ind w:right="560" w:hanging="425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Неэффективность начальной терапии обострения в течение 3 суток, </w:t>
      </w:r>
    </w:p>
    <w:p w:rsidR="003A0918" w:rsidRDefault="00D87DBB">
      <w:pPr>
        <w:numPr>
          <w:ilvl w:val="0"/>
          <w:numId w:val="30"/>
        </w:numPr>
        <w:spacing w:after="121"/>
        <w:ind w:right="560" w:hanging="425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Обострение </w:t>
      </w:r>
      <w:r>
        <w:rPr>
          <w:rFonts w:ascii="Times New Roman" w:eastAsia="Times New Roman" w:hAnsi="Times New Roman" w:cs="Times New Roman"/>
          <w:sz w:val="24"/>
        </w:rPr>
        <w:t xml:space="preserve">ХОБЛ у больных тяжелого и крайне тяжелого течения, </w:t>
      </w:r>
    </w:p>
    <w:p w:rsidR="003A0918" w:rsidRDefault="00D87DBB">
      <w:pPr>
        <w:numPr>
          <w:ilvl w:val="0"/>
          <w:numId w:val="30"/>
        </w:numPr>
        <w:spacing w:after="5" w:line="364" w:lineRule="auto"/>
        <w:ind w:right="560" w:hanging="425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Возникновение острых или обострение хронических сопутствующих заболеваний, </w:t>
      </w:r>
    </w:p>
    <w:p w:rsidR="003A0918" w:rsidRDefault="00D87DBB">
      <w:pPr>
        <w:numPr>
          <w:ilvl w:val="0"/>
          <w:numId w:val="30"/>
        </w:numPr>
        <w:spacing w:after="115"/>
        <w:ind w:right="560" w:hanging="425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Обострение ХОБЛ у больных старческого возраста. </w:t>
      </w:r>
    </w:p>
    <w:p w:rsidR="003A0918" w:rsidRDefault="00D87DBB">
      <w:pPr>
        <w:spacing w:after="121"/>
        <w:ind w:left="185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Показания к выписке пациента из медицинской организации: </w:t>
      </w:r>
    </w:p>
    <w:p w:rsidR="003A0918" w:rsidRDefault="00D87DBB">
      <w:pPr>
        <w:numPr>
          <w:ilvl w:val="0"/>
          <w:numId w:val="31"/>
        </w:numPr>
        <w:spacing w:after="5" w:line="364" w:lineRule="auto"/>
        <w:ind w:right="560" w:hanging="425"/>
        <w:jc w:val="both"/>
      </w:pPr>
      <w:r>
        <w:rPr>
          <w:rFonts w:ascii="Times New Roman" w:eastAsia="Times New Roman" w:hAnsi="Times New Roman" w:cs="Times New Roman"/>
          <w:sz w:val="24"/>
        </w:rPr>
        <w:t>Пациент способен прин</w:t>
      </w:r>
      <w:r>
        <w:rPr>
          <w:rFonts w:ascii="Times New Roman" w:eastAsia="Times New Roman" w:hAnsi="Times New Roman" w:cs="Times New Roman"/>
          <w:sz w:val="24"/>
        </w:rPr>
        <w:t xml:space="preserve">имать длительнодействующие бронхолитики (селективные бета2-адреномиметики и/или антихолинергические средства) в комбинации с ингаляционными ГКС или без них, </w:t>
      </w:r>
    </w:p>
    <w:p w:rsidR="003A0918" w:rsidRDefault="00D87DBB">
      <w:pPr>
        <w:numPr>
          <w:ilvl w:val="0"/>
          <w:numId w:val="31"/>
        </w:numPr>
        <w:spacing w:after="5" w:line="364" w:lineRule="auto"/>
        <w:ind w:right="560" w:hanging="425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Прием короткодействующих ингаляционных β2-агонистов (селективных бета2адреномиметиков)  </w:t>
      </w:r>
      <w:r>
        <w:rPr>
          <w:rFonts w:ascii="Times New Roman" w:eastAsia="Times New Roman" w:hAnsi="Times New Roman" w:cs="Times New Roman"/>
          <w:sz w:val="24"/>
        </w:rPr>
        <w:t xml:space="preserve">требуется не чаще чем каждые 4 часа, </w:t>
      </w:r>
    </w:p>
    <w:p w:rsidR="003A0918" w:rsidRDefault="00D87DBB">
      <w:pPr>
        <w:numPr>
          <w:ilvl w:val="0"/>
          <w:numId w:val="31"/>
        </w:numPr>
        <w:spacing w:after="5" w:line="364" w:lineRule="auto"/>
        <w:ind w:right="560" w:hanging="425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Пациент способен (если ранее он находился на амбулаторном ведении) самостоятельно передвигаться по комнате, </w:t>
      </w:r>
    </w:p>
    <w:p w:rsidR="003A0918" w:rsidRDefault="00D87DBB">
      <w:pPr>
        <w:numPr>
          <w:ilvl w:val="0"/>
          <w:numId w:val="31"/>
        </w:numPr>
        <w:spacing w:after="5" w:line="364" w:lineRule="auto"/>
        <w:ind w:right="560" w:hanging="425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Пациент способен принимать пищу и может спать без частых пробуждений изза одышки, </w:t>
      </w:r>
    </w:p>
    <w:p w:rsidR="003A0918" w:rsidRDefault="00D87DBB">
      <w:pPr>
        <w:numPr>
          <w:ilvl w:val="0"/>
          <w:numId w:val="31"/>
        </w:numPr>
        <w:spacing w:after="121"/>
        <w:ind w:right="560" w:hanging="425"/>
        <w:jc w:val="both"/>
      </w:pPr>
      <w:r>
        <w:rPr>
          <w:rFonts w:ascii="Times New Roman" w:eastAsia="Times New Roman" w:hAnsi="Times New Roman" w:cs="Times New Roman"/>
          <w:sz w:val="24"/>
        </w:rPr>
        <w:t>Клиническая стабильность с</w:t>
      </w:r>
      <w:r>
        <w:rPr>
          <w:rFonts w:ascii="Times New Roman" w:eastAsia="Times New Roman" w:hAnsi="Times New Roman" w:cs="Times New Roman"/>
          <w:sz w:val="24"/>
        </w:rPr>
        <w:t xml:space="preserve">остояния в течение 12-24 часов, </w:t>
      </w:r>
    </w:p>
    <w:p w:rsidR="003A0918" w:rsidRDefault="00D87DBB">
      <w:pPr>
        <w:numPr>
          <w:ilvl w:val="0"/>
          <w:numId w:val="31"/>
        </w:numPr>
        <w:spacing w:after="5" w:line="364" w:lineRule="auto"/>
        <w:ind w:right="560" w:hanging="425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Стабильные значения показателей кислотно-основного состояния и газов артериальной крови в течение 12-24 часов, </w:t>
      </w:r>
    </w:p>
    <w:p w:rsidR="003A0918" w:rsidRDefault="00D87DBB">
      <w:pPr>
        <w:numPr>
          <w:ilvl w:val="0"/>
          <w:numId w:val="31"/>
        </w:numPr>
        <w:spacing w:after="307" w:line="364" w:lineRule="auto"/>
        <w:ind w:right="560" w:hanging="425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Пациент или лицо, оказывающее помощь на дому, полностью понимает правильную схему приема препаратов. </w:t>
      </w:r>
    </w:p>
    <w:p w:rsidR="003A0918" w:rsidRDefault="00D87DBB">
      <w:pPr>
        <w:spacing w:after="92" w:line="249" w:lineRule="auto"/>
        <w:ind w:left="1827" w:right="22" w:hanging="10"/>
      </w:pPr>
      <w:r>
        <w:rPr>
          <w:rFonts w:ascii="Times New Roman" w:eastAsia="Times New Roman" w:hAnsi="Times New Roman" w:cs="Times New Roman"/>
          <w:b/>
          <w:sz w:val="32"/>
        </w:rPr>
        <w:t>7. Дополн</w:t>
      </w:r>
      <w:r>
        <w:rPr>
          <w:rFonts w:ascii="Times New Roman" w:eastAsia="Times New Roman" w:hAnsi="Times New Roman" w:cs="Times New Roman"/>
          <w:b/>
          <w:sz w:val="32"/>
        </w:rPr>
        <w:t xml:space="preserve">ительная информация (в том числе факторы,          влияющие на исход заболевания или состояния) </w:t>
      </w:r>
    </w:p>
    <w:p w:rsidR="003A0918" w:rsidRDefault="00D87DBB">
      <w:pPr>
        <w:spacing w:after="112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Дополнительная информация отсутствует. 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pStyle w:val="Heading1"/>
        <w:spacing w:after="92"/>
        <w:ind w:left="1143" w:right="22"/>
        <w:jc w:val="left"/>
      </w:pPr>
      <w:r>
        <w:t>Критерии оценки качества медицинской помощи</w:t>
      </w:r>
      <w:r>
        <w:t xml:space="preserve"> </w:t>
      </w:r>
    </w:p>
    <w:p w:rsidR="003A0918" w:rsidRDefault="00D87DBB">
      <w:pPr>
        <w:spacing w:after="0"/>
        <w:ind w:left="1241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tbl>
      <w:tblPr>
        <w:tblStyle w:val="TableGrid"/>
        <w:tblW w:w="9074" w:type="dxa"/>
        <w:tblInd w:w="1265" w:type="dxa"/>
        <w:tblCellMar>
          <w:top w:w="62" w:type="dxa"/>
          <w:left w:w="113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533"/>
        <w:gridCol w:w="4919"/>
        <w:gridCol w:w="1743"/>
        <w:gridCol w:w="1879"/>
      </w:tblGrid>
      <w:tr w:rsidR="003A0918">
        <w:trPr>
          <w:trHeight w:val="905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left="6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№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4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6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Критерии качества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Уровень достоверности доказательств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Уровень убедительности рекомендаций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3A0918">
        <w:trPr>
          <w:trHeight w:val="612"/>
        </w:trPr>
        <w:tc>
          <w:tcPr>
            <w:tcW w:w="54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постановки диагноза </w:t>
            </w:r>
          </w:p>
        </w:tc>
        <w:tc>
          <w:tcPr>
            <w:tcW w:w="174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3A0918" w:rsidRDefault="003A0918"/>
        </w:tc>
        <w:tc>
          <w:tcPr>
            <w:tcW w:w="187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3A0918" w:rsidRDefault="003A0918"/>
        </w:tc>
      </w:tr>
      <w:tr w:rsidR="003A0918">
        <w:trPr>
          <w:trHeight w:val="480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3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  <w:tc>
          <w:tcPr>
            <w:tcW w:w="4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 общий физикальный осмотр 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left="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3A0918">
        <w:trPr>
          <w:trHeight w:val="677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3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 </w:t>
            </w:r>
          </w:p>
        </w:tc>
        <w:tc>
          <w:tcPr>
            <w:tcW w:w="4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Выполнена оценка ананеза  курящего человека (пачек-лет) 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 </w:t>
            </w:r>
          </w:p>
        </w:tc>
      </w:tr>
      <w:tr w:rsidR="003A0918">
        <w:trPr>
          <w:trHeight w:val="680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3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 </w:t>
            </w:r>
          </w:p>
        </w:tc>
        <w:tc>
          <w:tcPr>
            <w:tcW w:w="4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Выполнена оценка симптомов по шкале mMRC или CAT 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 </w:t>
            </w:r>
          </w:p>
        </w:tc>
      </w:tr>
      <w:tr w:rsidR="003A0918">
        <w:trPr>
          <w:trHeight w:val="677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3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4 </w:t>
            </w:r>
          </w:p>
        </w:tc>
        <w:tc>
          <w:tcPr>
            <w:tcW w:w="4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8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Выполнена оценка частоты  обострений 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 </w:t>
            </w:r>
          </w:p>
        </w:tc>
      </w:tr>
      <w:tr w:rsidR="003A0918">
        <w:trPr>
          <w:trHeight w:val="307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3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5 </w:t>
            </w:r>
          </w:p>
        </w:tc>
        <w:tc>
          <w:tcPr>
            <w:tcW w:w="4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Выполнена пульсоксиметрия  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 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 </w:t>
            </w:r>
          </w:p>
        </w:tc>
      </w:tr>
      <w:tr w:rsidR="003A0918">
        <w:trPr>
          <w:trHeight w:val="1498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3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6 </w:t>
            </w:r>
          </w:p>
        </w:tc>
        <w:tc>
          <w:tcPr>
            <w:tcW w:w="4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Выполнено исследование неспровоцированных дыхательных объемов и потоков (спирометрия) с бронходилатационным тестом в случае выявления признаков бронхиальной обструкции (ОФВ1/ФЖЕЛ&lt;0,7) 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 </w:t>
            </w:r>
          </w:p>
        </w:tc>
      </w:tr>
      <w:tr w:rsidR="003A0918">
        <w:trPr>
          <w:trHeight w:val="607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3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7 </w:t>
            </w:r>
          </w:p>
        </w:tc>
        <w:tc>
          <w:tcPr>
            <w:tcW w:w="4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Выполнена рентгенография органов грудной клетки в прямой проекции 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 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 </w:t>
            </w:r>
          </w:p>
        </w:tc>
      </w:tr>
      <w:tr w:rsidR="003A0918">
        <w:trPr>
          <w:trHeight w:val="605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3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8 </w:t>
            </w:r>
          </w:p>
        </w:tc>
        <w:tc>
          <w:tcPr>
            <w:tcW w:w="4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 общий (клинический) анализ крови с подсчетом лейкоцитарной формулы 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 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 </w:t>
            </w:r>
          </w:p>
        </w:tc>
      </w:tr>
      <w:tr w:rsidR="003A0918">
        <w:trPr>
          <w:trHeight w:val="480"/>
        </w:trPr>
        <w:tc>
          <w:tcPr>
            <w:tcW w:w="54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Лечение стабильной ХОБЛ </w:t>
            </w:r>
          </w:p>
        </w:tc>
        <w:tc>
          <w:tcPr>
            <w:tcW w:w="174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3A0918" w:rsidRDefault="003A0918"/>
        </w:tc>
        <w:tc>
          <w:tcPr>
            <w:tcW w:w="187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3A0918" w:rsidRDefault="003A0918"/>
        </w:tc>
      </w:tr>
      <w:tr w:rsidR="003A0918">
        <w:trPr>
          <w:trHeight w:val="1202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3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  <w:tc>
          <w:tcPr>
            <w:tcW w:w="4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Назначен короткодействующий бронходилататор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(препараты для лечения обструктивных заболеваний дыхательных путей) для использования по потребности 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 </w:t>
            </w:r>
          </w:p>
        </w:tc>
      </w:tr>
      <w:tr w:rsidR="003A0918">
        <w:trPr>
          <w:trHeight w:val="478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3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 </w:t>
            </w:r>
          </w:p>
        </w:tc>
        <w:tc>
          <w:tcPr>
            <w:tcW w:w="4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Даны рекомендации по отказу от курения 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 </w:t>
            </w:r>
          </w:p>
        </w:tc>
      </w:tr>
      <w:tr w:rsidR="003A0918">
        <w:trPr>
          <w:trHeight w:val="710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3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 </w:t>
            </w:r>
          </w:p>
        </w:tc>
        <w:tc>
          <w:tcPr>
            <w:tcW w:w="4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Проведено обучение пациента правильному использованию ингаляторов 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 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 </w:t>
            </w:r>
          </w:p>
        </w:tc>
      </w:tr>
      <w:tr w:rsidR="003A0918">
        <w:trPr>
          <w:trHeight w:val="941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3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4 </w:t>
            </w:r>
          </w:p>
        </w:tc>
        <w:tc>
          <w:tcPr>
            <w:tcW w:w="4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Назначен терапия, соответствующая клиническим рекомендациям   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 </w:t>
            </w:r>
          </w:p>
        </w:tc>
      </w:tr>
      <w:tr w:rsidR="003A0918">
        <w:trPr>
          <w:trHeight w:val="607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3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5 </w:t>
            </w:r>
          </w:p>
        </w:tc>
        <w:tc>
          <w:tcPr>
            <w:tcW w:w="4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 SрO2&lt;88% даны рекомендации по назначению ДКТ 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 </w:t>
            </w:r>
          </w:p>
        </w:tc>
      </w:tr>
      <w:tr w:rsidR="003A0918">
        <w:trPr>
          <w:trHeight w:val="605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3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6 </w:t>
            </w:r>
          </w:p>
        </w:tc>
        <w:tc>
          <w:tcPr>
            <w:tcW w:w="4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Рекомендована вакцинация против гриппа и пневмококковой инфекции 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 </w:t>
            </w:r>
          </w:p>
        </w:tc>
      </w:tr>
    </w:tbl>
    <w:p w:rsidR="003A0918" w:rsidRDefault="00D87DBB">
      <w:pPr>
        <w:spacing w:after="93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/>
        <w:ind w:left="1378"/>
      </w:pPr>
      <w:r>
        <w:rPr>
          <w:rFonts w:ascii="Times New Roman" w:eastAsia="Times New Roman" w:hAnsi="Times New Roman" w:cs="Times New Roman"/>
          <w:b/>
          <w:sz w:val="24"/>
        </w:rPr>
        <w:t xml:space="preserve">Лечение обострения ХОБЛ </w:t>
      </w:r>
    </w:p>
    <w:tbl>
      <w:tblPr>
        <w:tblStyle w:val="TableGrid"/>
        <w:tblW w:w="9074" w:type="dxa"/>
        <w:tblInd w:w="1265" w:type="dxa"/>
        <w:tblCellMar>
          <w:top w:w="62" w:type="dxa"/>
          <w:left w:w="113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708"/>
        <w:gridCol w:w="4743"/>
        <w:gridCol w:w="1743"/>
        <w:gridCol w:w="1879"/>
      </w:tblGrid>
      <w:tr w:rsidR="003A0918">
        <w:trPr>
          <w:trHeight w:val="713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3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  <w:tc>
          <w:tcPr>
            <w:tcW w:w="4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 осмотр врача-пульмонолога или врача-терапевта  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left="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3A0918">
        <w:trPr>
          <w:trHeight w:val="710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3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 </w:t>
            </w:r>
          </w:p>
        </w:tc>
        <w:tc>
          <w:tcPr>
            <w:tcW w:w="4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Выполнена пульсоксиметрия  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 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 </w:t>
            </w:r>
          </w:p>
        </w:tc>
      </w:tr>
      <w:tr w:rsidR="003A0918">
        <w:trPr>
          <w:trHeight w:val="710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3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 </w:t>
            </w:r>
          </w:p>
        </w:tc>
        <w:tc>
          <w:tcPr>
            <w:tcW w:w="4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 общий (клинический) анализ крови развернутый 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 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 </w:t>
            </w:r>
          </w:p>
        </w:tc>
      </w:tr>
      <w:tr w:rsidR="003A0918">
        <w:trPr>
          <w:trHeight w:val="607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3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4 </w:t>
            </w:r>
          </w:p>
        </w:tc>
        <w:tc>
          <w:tcPr>
            <w:tcW w:w="4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Выполнено исследование уровня Среактивного белка в крови 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 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 </w:t>
            </w:r>
          </w:p>
        </w:tc>
      </w:tr>
      <w:tr w:rsidR="003A0918">
        <w:trPr>
          <w:trHeight w:val="605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3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5 </w:t>
            </w:r>
          </w:p>
        </w:tc>
        <w:tc>
          <w:tcPr>
            <w:tcW w:w="4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Выполнена рентгенография органов грудной клетки  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 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 </w:t>
            </w:r>
          </w:p>
        </w:tc>
      </w:tr>
      <w:tr w:rsidR="003A0918">
        <w:trPr>
          <w:trHeight w:val="2079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3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6 </w:t>
            </w:r>
          </w:p>
        </w:tc>
        <w:tc>
          <w:tcPr>
            <w:tcW w:w="4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43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Проведена терапия лекарственными препаратами группы короткодействующие бронходилататоры (препараты для лечения обструктивных заболеваний дыхательных путей)  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16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16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 </w:t>
            </w:r>
          </w:p>
        </w:tc>
      </w:tr>
      <w:tr w:rsidR="003A0918">
        <w:trPr>
          <w:trHeight w:val="1668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53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7 </w:t>
            </w:r>
          </w:p>
        </w:tc>
        <w:tc>
          <w:tcPr>
            <w:tcW w:w="4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43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Проведена терапия антибактериальными лекарственными препаратами (при появлении гнойной мокроты и/или при уровне Среактивного белка более 40 мг/л)  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16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 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right="16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 </w:t>
            </w:r>
          </w:p>
        </w:tc>
      </w:tr>
    </w:tbl>
    <w:p w:rsidR="003A0918" w:rsidRDefault="00D87DBB">
      <w:pPr>
        <w:spacing w:after="187"/>
        <w:ind w:left="1133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pStyle w:val="Heading1"/>
        <w:spacing w:after="100"/>
        <w:ind w:left="870" w:right="298"/>
      </w:pPr>
      <w:r>
        <w:t>Список</w:t>
      </w:r>
      <w:r>
        <w:t xml:space="preserve"> </w:t>
      </w:r>
      <w:r>
        <w:t>литературы</w:t>
      </w:r>
      <w:r>
        <w:t xml:space="preserve"> </w:t>
      </w:r>
    </w:p>
    <w:p w:rsidR="003A0918" w:rsidRDefault="00D87DBB">
      <w:pPr>
        <w:numPr>
          <w:ilvl w:val="0"/>
          <w:numId w:val="3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Global Initiative for Chronic Obstructive Lung Disease. Global Strategy for the Diagnosis, Management, and Prevention of Chronic Obstructive Pulmonary Disease. 2023 https://goldcopd.org/ </w:t>
      </w:r>
    </w:p>
    <w:p w:rsidR="003A0918" w:rsidRDefault="00D87DBB">
      <w:pPr>
        <w:numPr>
          <w:ilvl w:val="0"/>
          <w:numId w:val="3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Eisner M.D., Anthonisen N., Coultas D. et al. An official American T</w:t>
      </w:r>
      <w:r>
        <w:rPr>
          <w:rFonts w:ascii="Times New Roman" w:eastAsia="Times New Roman" w:hAnsi="Times New Roman" w:cs="Times New Roman"/>
          <w:sz w:val="24"/>
        </w:rPr>
        <w:t xml:space="preserve">horacic Society public policy statement: novel risk factors and the global burden of chronic obstructive pulmonary disease. Am J Respir Crit Care Med 2010;182:693–718.  </w:t>
      </w:r>
    </w:p>
    <w:p w:rsidR="003A0918" w:rsidRDefault="00D87DBB">
      <w:pPr>
        <w:numPr>
          <w:ilvl w:val="0"/>
          <w:numId w:val="3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Lamprecht B., McBurnie M.A., Vollmer W.M., et al., BOLD Collaborative Research Group: </w:t>
      </w:r>
      <w:r>
        <w:rPr>
          <w:rFonts w:ascii="Times New Roman" w:eastAsia="Times New Roman" w:hAnsi="Times New Roman" w:cs="Times New Roman"/>
          <w:sz w:val="24"/>
        </w:rPr>
        <w:t xml:space="preserve">COPD in never smokers: results form the population-based burden of obstructive lung disease study. Chest 2011;139:752–763. </w:t>
      </w:r>
    </w:p>
    <w:p w:rsidR="003A0918" w:rsidRDefault="00D87DBB">
      <w:pPr>
        <w:numPr>
          <w:ilvl w:val="0"/>
          <w:numId w:val="3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Mehta A.J., Miedinger D., Keidel D. et al., The SAPALDIA Team. Occupational exposure to dusts, gases, and fumes and incidence of chr</w:t>
      </w:r>
      <w:r>
        <w:rPr>
          <w:rFonts w:ascii="Times New Roman" w:eastAsia="Times New Roman" w:hAnsi="Times New Roman" w:cs="Times New Roman"/>
          <w:sz w:val="24"/>
        </w:rPr>
        <w:t xml:space="preserve">onic obstructive pulmonary disease in the Swiss Cohort Study on Air Pollution and Lung and Heart Diseases in Adults. Am J Respir Crit Care Med 2012;185:1292– 1300.  </w:t>
      </w:r>
    </w:p>
    <w:p w:rsidR="003A0918" w:rsidRDefault="00D87DBB">
      <w:pPr>
        <w:numPr>
          <w:ilvl w:val="0"/>
          <w:numId w:val="3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Silva G.E., Sherrill D.L., Guerra S. et al. Asthma as a risk factor for COPD in a longitud</w:t>
      </w:r>
      <w:r>
        <w:rPr>
          <w:rFonts w:ascii="Times New Roman" w:eastAsia="Times New Roman" w:hAnsi="Times New Roman" w:cs="Times New Roman"/>
          <w:sz w:val="24"/>
        </w:rPr>
        <w:t xml:space="preserve">inal study. Chest 2004;126:59–65.  </w:t>
      </w:r>
    </w:p>
    <w:p w:rsidR="003A0918" w:rsidRDefault="00D87DBB">
      <w:pPr>
        <w:numPr>
          <w:ilvl w:val="0"/>
          <w:numId w:val="3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Brutsche M.H., Downs S.H., Schindler C. et al.: Bronchial hyperresponsiveness and the development of asthma and COPD in asymptomatic individuals: SAPALDIA cohort study. Thorax 2006;61:671–677.  </w:t>
      </w:r>
    </w:p>
    <w:p w:rsidR="003A0918" w:rsidRDefault="00D87DBB">
      <w:pPr>
        <w:numPr>
          <w:ilvl w:val="0"/>
          <w:numId w:val="3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de Marco R., Accordini S.</w:t>
      </w:r>
      <w:r>
        <w:rPr>
          <w:rFonts w:ascii="Times New Roman" w:eastAsia="Times New Roman" w:hAnsi="Times New Roman" w:cs="Times New Roman"/>
          <w:sz w:val="24"/>
        </w:rPr>
        <w:t xml:space="preserve">, Marcon A. et al. European Community Respiratory Health Survey (ECRHS): Risk factors for chronic obstructive pulmonary disease in a European cohort of young adults. Am J Respir Crit Care Med 2011;183:891–897. </w:t>
      </w:r>
    </w:p>
    <w:p w:rsidR="003A0918" w:rsidRDefault="00D87DBB">
      <w:pPr>
        <w:numPr>
          <w:ilvl w:val="0"/>
          <w:numId w:val="3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de Marco R., Accordini S., Cerveri I. et al.:</w:t>
      </w:r>
      <w:r>
        <w:rPr>
          <w:rFonts w:ascii="Times New Roman" w:eastAsia="Times New Roman" w:hAnsi="Times New Roman" w:cs="Times New Roman"/>
          <w:sz w:val="24"/>
        </w:rPr>
        <w:t xml:space="preserve"> Incidence of chronic obstructive pulmonary disease in a cohort of young adults according to the presence of chronic cough and phlegm. Am J Respir Crit Care Med 2007;175:32–39.  </w:t>
      </w:r>
    </w:p>
    <w:p w:rsidR="003A0918" w:rsidRDefault="00D87DBB">
      <w:pPr>
        <w:numPr>
          <w:ilvl w:val="0"/>
          <w:numId w:val="3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Bridevaux P.O., Gerbase M.W., Probst-Hensch N.M. et al.: Long-term decline in</w:t>
      </w:r>
      <w:r>
        <w:rPr>
          <w:rFonts w:ascii="Times New Roman" w:eastAsia="Times New Roman" w:hAnsi="Times New Roman" w:cs="Times New Roman"/>
          <w:sz w:val="24"/>
        </w:rPr>
        <w:t xml:space="preserve"> lung function, utilisation of care and quality of life in modified GOLD stage 1 COPD. Thorax 2008;63:768– 774.  </w:t>
      </w:r>
    </w:p>
    <w:p w:rsidR="003A0918" w:rsidRDefault="00D87DBB">
      <w:pPr>
        <w:numPr>
          <w:ilvl w:val="0"/>
          <w:numId w:val="3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Stoller J.K.: Clinical features and natural history of severe alpha-1-antitrypsin deficiency. Chest 1997;111:123S–128S.  </w:t>
      </w:r>
    </w:p>
    <w:p w:rsidR="003A0918" w:rsidRDefault="00D87DBB">
      <w:pPr>
        <w:numPr>
          <w:ilvl w:val="0"/>
          <w:numId w:val="3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Stoller J.K., Abouss</w:t>
      </w:r>
      <w:r>
        <w:rPr>
          <w:rFonts w:ascii="Times New Roman" w:eastAsia="Times New Roman" w:hAnsi="Times New Roman" w:cs="Times New Roman"/>
          <w:sz w:val="24"/>
        </w:rPr>
        <w:t xml:space="preserve">ouan L.S.: A review of alpha-1-antitrypsin deficiency. Am J Respir Crit Care Med 2012;185:246–259.  </w:t>
      </w:r>
    </w:p>
    <w:p w:rsidR="003A0918" w:rsidRDefault="00D87DBB">
      <w:pPr>
        <w:numPr>
          <w:ilvl w:val="0"/>
          <w:numId w:val="3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Smolonska J., Wijmenga C., Postma D.S., Boezen H.M.: Meta-analyses on suspected chronic obstructive pulmonary disease genes: a summary of 20 years’ researc</w:t>
      </w:r>
      <w:r>
        <w:rPr>
          <w:rFonts w:ascii="Times New Roman" w:eastAsia="Times New Roman" w:hAnsi="Times New Roman" w:cs="Times New Roman"/>
          <w:sz w:val="24"/>
        </w:rPr>
        <w:t xml:space="preserve">h. Am J Respir Crit Care Med 2009;180:618–631.  </w:t>
      </w:r>
    </w:p>
    <w:p w:rsidR="003A0918" w:rsidRDefault="00D87DBB">
      <w:pPr>
        <w:numPr>
          <w:ilvl w:val="0"/>
          <w:numId w:val="32"/>
        </w:numPr>
        <w:spacing w:after="28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Chuchalin A.G., Khaltaev N., Antonov N.S. et al. Chronic respiratory diseases and risk factors in 12 regions of the Russian Federation. Int J COPD 2014;12:963-74. </w:t>
      </w:r>
    </w:p>
    <w:p w:rsidR="003A0918" w:rsidRDefault="00D87DBB">
      <w:pPr>
        <w:numPr>
          <w:ilvl w:val="0"/>
          <w:numId w:val="3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World </w:t>
      </w:r>
      <w:r>
        <w:rPr>
          <w:rFonts w:ascii="Times New Roman" w:eastAsia="Times New Roman" w:hAnsi="Times New Roman" w:cs="Times New Roman"/>
          <w:sz w:val="24"/>
        </w:rPr>
        <w:tab/>
        <w:t xml:space="preserve">Health </w:t>
      </w:r>
      <w:r>
        <w:rPr>
          <w:rFonts w:ascii="Times New Roman" w:eastAsia="Times New Roman" w:hAnsi="Times New Roman" w:cs="Times New Roman"/>
          <w:sz w:val="24"/>
        </w:rPr>
        <w:tab/>
        <w:t xml:space="preserve">Organization. </w:t>
      </w:r>
      <w:r>
        <w:rPr>
          <w:rFonts w:ascii="Times New Roman" w:eastAsia="Times New Roman" w:hAnsi="Times New Roman" w:cs="Times New Roman"/>
          <w:sz w:val="24"/>
        </w:rPr>
        <w:tab/>
        <w:t>Evidence-</w:t>
      </w:r>
      <w:r>
        <w:rPr>
          <w:rFonts w:ascii="Times New Roman" w:eastAsia="Times New Roman" w:hAnsi="Times New Roman" w:cs="Times New Roman"/>
          <w:sz w:val="24"/>
        </w:rPr>
        <w:t xml:space="preserve">informed </w:t>
      </w:r>
      <w:r>
        <w:rPr>
          <w:rFonts w:ascii="Times New Roman" w:eastAsia="Times New Roman" w:hAnsi="Times New Roman" w:cs="Times New Roman"/>
          <w:sz w:val="24"/>
        </w:rPr>
        <w:tab/>
        <w:t xml:space="preserve">policy-making. </w:t>
      </w:r>
      <w:r>
        <w:rPr>
          <w:rFonts w:ascii="Times New Roman" w:eastAsia="Times New Roman" w:hAnsi="Times New Roman" w:cs="Times New Roman"/>
          <w:sz w:val="24"/>
        </w:rPr>
        <w:tab/>
        <w:t xml:space="preserve">2016. http://www.who.int/evidence  </w:t>
      </w:r>
    </w:p>
    <w:p w:rsidR="003A0918" w:rsidRDefault="00D87DBB">
      <w:pPr>
        <w:numPr>
          <w:ilvl w:val="0"/>
          <w:numId w:val="3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Celli В., Fabbri L, Aaron S. et al. An Updated Definition and Severity Classification of Chronic Obstructive Pulmonary Disease Exacerbations. Am J Respir Crit Care Med 2021; 204(11):1251-1258. </w:t>
      </w:r>
    </w:p>
    <w:p w:rsidR="003A0918" w:rsidRDefault="00D87DBB">
      <w:pPr>
        <w:numPr>
          <w:ilvl w:val="0"/>
          <w:numId w:val="3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Celli B., MacNee W., ATS/ERS Task Force: Standards for the diagnosis and treatment of patients with COPD: a summary of the ATS/ ERS position paper. Eur Respir J 2004;23:932– 946. </w:t>
      </w:r>
    </w:p>
    <w:p w:rsidR="003A0918" w:rsidRDefault="00D87DBB">
      <w:pPr>
        <w:numPr>
          <w:ilvl w:val="0"/>
          <w:numId w:val="3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Bestall J.C., Paul E.A., Garrod R et al: Usefulness of the Medical Research </w:t>
      </w:r>
      <w:r>
        <w:rPr>
          <w:rFonts w:ascii="Times New Roman" w:eastAsia="Times New Roman" w:hAnsi="Times New Roman" w:cs="Times New Roman"/>
          <w:sz w:val="24"/>
        </w:rPr>
        <w:t xml:space="preserve">Council (MRC) dyspnoea scale as a measure of disability in patients with chronic obstructive pulmonary disease. Thorax 1999;54:581–586.  </w:t>
      </w:r>
    </w:p>
    <w:p w:rsidR="003A0918" w:rsidRDefault="00D87DBB">
      <w:pPr>
        <w:numPr>
          <w:ilvl w:val="0"/>
          <w:numId w:val="3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Jones P.W., Harding G., Berry P. et al.: Development and first validation of the COPD Assessment Test. Eur Respir J 20</w:t>
      </w:r>
      <w:r>
        <w:rPr>
          <w:rFonts w:ascii="Times New Roman" w:eastAsia="Times New Roman" w:hAnsi="Times New Roman" w:cs="Times New Roman"/>
          <w:sz w:val="24"/>
        </w:rPr>
        <w:t xml:space="preserve">09;34:648–654.  </w:t>
      </w:r>
    </w:p>
    <w:p w:rsidR="003A0918" w:rsidRDefault="00D87DBB">
      <w:pPr>
        <w:numPr>
          <w:ilvl w:val="0"/>
          <w:numId w:val="3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Hurst J.R., Vestbo J., Anzueto A. et al.: Susceptibility to exacerbation in chronic obstructive pulmonary disease. N Engl J Med 2010;363:1128–1138.  </w:t>
      </w:r>
    </w:p>
    <w:p w:rsidR="003A0918" w:rsidRDefault="00D87DBB">
      <w:pPr>
        <w:numPr>
          <w:ilvl w:val="0"/>
          <w:numId w:val="3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Barnes P.J., Celli B.R.: Systemic manifestations and comorbidities of COPD. Eur Respir J </w:t>
      </w:r>
      <w:r>
        <w:rPr>
          <w:rFonts w:ascii="Times New Roman" w:eastAsia="Times New Roman" w:hAnsi="Times New Roman" w:cs="Times New Roman"/>
          <w:sz w:val="24"/>
        </w:rPr>
        <w:t xml:space="preserve">2009;33:1165–1185.  </w:t>
      </w:r>
    </w:p>
    <w:p w:rsidR="003A0918" w:rsidRDefault="00D87DBB">
      <w:pPr>
        <w:numPr>
          <w:ilvl w:val="0"/>
          <w:numId w:val="32"/>
        </w:numPr>
        <w:spacing w:after="26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Hill K., Goldstein R.S., Guyatt G.H. et al. Prevalence and underdiagnosis of chronic obstructive pulmonary diseaseamong patients at risk im primary care. CMAJ 2010;182(7):673-678 22. Güder G, Brenner S, Angermann CE, et al. "GOLD or lo</w:t>
      </w:r>
      <w:r>
        <w:rPr>
          <w:rFonts w:ascii="Times New Roman" w:eastAsia="Times New Roman" w:hAnsi="Times New Roman" w:cs="Times New Roman"/>
          <w:sz w:val="24"/>
        </w:rPr>
        <w:t xml:space="preserve">wer limit of normal definition? A comparison with expert-based diagnosis of chronic obstructive pulmonary disease in a prospective cohort-study". Respir Res. 2012;13(1):13. Published 2012 Feb 6. doi:10.1186/1465-9921-1313 </w:t>
      </w:r>
    </w:p>
    <w:p w:rsidR="003A0918" w:rsidRDefault="00D87DBB">
      <w:pPr>
        <w:numPr>
          <w:ilvl w:val="0"/>
          <w:numId w:val="33"/>
        </w:numPr>
        <w:spacing w:after="121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Bhatt S.P., Balte P.P., Schwartz </w:t>
      </w:r>
      <w:r>
        <w:rPr>
          <w:rFonts w:ascii="Times New Roman" w:eastAsia="Times New Roman" w:hAnsi="Times New Roman" w:cs="Times New Roman"/>
          <w:sz w:val="24"/>
        </w:rPr>
        <w:t xml:space="preserve">J.E. et al. Discriminative Accuracy of FEV1:FVC </w:t>
      </w:r>
    </w:p>
    <w:p w:rsidR="003A0918" w:rsidRDefault="00D87DBB">
      <w:pPr>
        <w:spacing w:after="4" w:line="360" w:lineRule="auto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Thresholds for COPD-Related Hospitalization and Mortality. JAMA. 2019 Jun 25;321(24):24382447. doi: 10.1001/jama.2019.7233. PMID: 31237643; PMCID: PMC6593636. </w:t>
      </w:r>
    </w:p>
    <w:p w:rsidR="003A0918" w:rsidRDefault="00D87DBB">
      <w:pPr>
        <w:numPr>
          <w:ilvl w:val="0"/>
          <w:numId w:val="33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Tashkin D.P., Celli B., Decramer M. et al. Bron</w:t>
      </w:r>
      <w:r>
        <w:rPr>
          <w:rFonts w:ascii="Times New Roman" w:eastAsia="Times New Roman" w:hAnsi="Times New Roman" w:cs="Times New Roman"/>
          <w:sz w:val="24"/>
        </w:rPr>
        <w:t xml:space="preserve">chodilator responsiveness in patients with COPD. Eur Respir J 2008;31:742–750.  </w:t>
      </w:r>
    </w:p>
    <w:p w:rsidR="003A0918" w:rsidRDefault="00D87DBB">
      <w:pPr>
        <w:numPr>
          <w:ilvl w:val="0"/>
          <w:numId w:val="33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Quanjer P.H., Tammeling G.J., Cotes J.E. et al. Lung volumes and forced ventilatory flows. Report Working Party Standardization of Lung Function Tests, European 80 Community f</w:t>
      </w:r>
      <w:r>
        <w:rPr>
          <w:rFonts w:ascii="Times New Roman" w:eastAsia="Times New Roman" w:hAnsi="Times New Roman" w:cs="Times New Roman"/>
          <w:sz w:val="24"/>
        </w:rPr>
        <w:t xml:space="preserve">or Steel and Coal. Official Statement of the European Respiratory Society // Eur Respir J. 1993, 6: suppl. 16, 5-40.   </w:t>
      </w:r>
    </w:p>
    <w:p w:rsidR="003A0918" w:rsidRDefault="00D87DBB">
      <w:pPr>
        <w:numPr>
          <w:ilvl w:val="0"/>
          <w:numId w:val="33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Wanger J., Clausen J.L., Coates A. et al. Standardisation of the measurement of lung volumes. Eur Respir J 2005;26:511-522. </w:t>
      </w:r>
    </w:p>
    <w:p w:rsidR="003A0918" w:rsidRDefault="00D87DBB">
      <w:pPr>
        <w:numPr>
          <w:ilvl w:val="0"/>
          <w:numId w:val="33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Amalakanti </w:t>
      </w:r>
      <w:r>
        <w:rPr>
          <w:rFonts w:ascii="Times New Roman" w:eastAsia="Times New Roman" w:hAnsi="Times New Roman" w:cs="Times New Roman"/>
          <w:sz w:val="24"/>
        </w:rPr>
        <w:t xml:space="preserve">S., Pentakota M.R. Pulse Oximetry Overestimates Oxygen Saturtion in COPD. Respir Care 2016;61(4):423-7. </w:t>
      </w:r>
    </w:p>
    <w:p w:rsidR="003A0918" w:rsidRDefault="00D87DBB">
      <w:pPr>
        <w:numPr>
          <w:ilvl w:val="0"/>
          <w:numId w:val="33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Casanova C., Cote C.G., Marin J.M. et al. Test 6-min walking distance: long-term follow up in patients with COPD. Eur Respir J 2007;29(3):535-40. </w:t>
      </w:r>
    </w:p>
    <w:p w:rsidR="003A0918" w:rsidRDefault="00D87DBB">
      <w:pPr>
        <w:numPr>
          <w:ilvl w:val="0"/>
          <w:numId w:val="33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Oga T., Nishimura K., Tsukino M. et al. Analysis of the factors related to mortality in chronic obstructive pulmonary disease: role of exercise capacity and health status // Am J Respir Crit Care Med 2003;167(4):544-9. </w:t>
      </w:r>
    </w:p>
    <w:p w:rsidR="003A0918" w:rsidRDefault="00D87DBB">
      <w:pPr>
        <w:numPr>
          <w:ilvl w:val="0"/>
          <w:numId w:val="33"/>
        </w:numPr>
        <w:spacing w:after="28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Kelly A.M., McAlpine R., Kyle E. How</w:t>
      </w:r>
      <w:r>
        <w:rPr>
          <w:rFonts w:ascii="Times New Roman" w:eastAsia="Times New Roman" w:hAnsi="Times New Roman" w:cs="Times New Roman"/>
          <w:sz w:val="24"/>
        </w:rPr>
        <w:t xml:space="preserve"> accurate are pulse oximeters in patients with acute exacerbationsof chronic obstructive airways disease? Respir Med 2001;95 (5):336-40. </w:t>
      </w:r>
    </w:p>
    <w:p w:rsidR="003A0918" w:rsidRDefault="00D87DBB">
      <w:pPr>
        <w:numPr>
          <w:ilvl w:val="0"/>
          <w:numId w:val="33"/>
        </w:numPr>
        <w:spacing w:after="27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Stoller J.K., Brantly M. The challenge of detecting alpha-1 antitrypsin deficiency // COPD 2013;10(S1):24-34.  </w:t>
      </w:r>
    </w:p>
    <w:p w:rsidR="003A0918" w:rsidRDefault="00D87DBB">
      <w:pPr>
        <w:numPr>
          <w:ilvl w:val="0"/>
          <w:numId w:val="33"/>
        </w:numPr>
        <w:spacing w:after="119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Flenley D.C., Sleep in chronic obstructive lung disease // Clinics in Chest Medicine 1985 </w:t>
      </w:r>
    </w:p>
    <w:p w:rsidR="003A0918" w:rsidRDefault="00D87DBB">
      <w:pPr>
        <w:spacing w:after="4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V. 4 S. 6. P. 651-661 </w:t>
      </w:r>
    </w:p>
    <w:p w:rsidR="003A0918" w:rsidRDefault="00D87DBB">
      <w:pPr>
        <w:numPr>
          <w:ilvl w:val="0"/>
          <w:numId w:val="34"/>
        </w:numPr>
        <w:spacing w:after="5" w:line="364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Буниатян М.С., Зелвеян П.А., Ощепкова Е.В. Возможности мониторной пульсоксиметрии для скрининговой диагностики синдрома апноэ/гипопноэ во сне.</w:t>
      </w:r>
      <w:r>
        <w:rPr>
          <w:rFonts w:ascii="Times New Roman" w:eastAsia="Times New Roman" w:hAnsi="Times New Roman" w:cs="Times New Roman"/>
          <w:sz w:val="24"/>
        </w:rPr>
        <w:t xml:space="preserve"> Тер. архив 2002. Т.74№ 11. С. 90-94. </w:t>
      </w:r>
    </w:p>
    <w:p w:rsidR="003A0918" w:rsidRDefault="00D87DBB">
      <w:pPr>
        <w:numPr>
          <w:ilvl w:val="0"/>
          <w:numId w:val="34"/>
        </w:numPr>
        <w:spacing w:after="26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Celli B., Cote C., Marin J. et al.: The body mass index, airflow obstruction, dyspnea, and exercise capacity index in chronic obstructive pulmonary disease. N Engl J Med 2004;350:1005– 1012.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Global Strategy for Asthm</w:t>
      </w:r>
      <w:r>
        <w:rPr>
          <w:rFonts w:ascii="Times New Roman" w:eastAsia="Times New Roman" w:hAnsi="Times New Roman" w:cs="Times New Roman"/>
          <w:sz w:val="24"/>
        </w:rPr>
        <w:t xml:space="preserve">a Management and Prevention. Revised 2017 // www.ginasthma.com. </w:t>
      </w:r>
    </w:p>
    <w:p w:rsidR="003A0918" w:rsidRDefault="00D87DBB">
      <w:pPr>
        <w:numPr>
          <w:ilvl w:val="0"/>
          <w:numId w:val="34"/>
        </w:numPr>
        <w:spacing w:after="26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Albert P., Agusti A., Edwards L. et al. Bronchodilator responsiveness as a phenotypic characteristic of established chronic obstructive pulmonary disease. Thorax 2012;67:701–8.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Woolcock A.J. Corticosteroid-resistant asthma. Definitions. Am J Respir Crit Care Med 1996;154:S45–8.  </w:t>
      </w:r>
    </w:p>
    <w:p w:rsidR="003A0918" w:rsidRDefault="00D87DBB">
      <w:pPr>
        <w:numPr>
          <w:ilvl w:val="0"/>
          <w:numId w:val="34"/>
        </w:numPr>
        <w:spacing w:after="28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Pelkonen M., Notkola I.L., Tukiainen H. et al.: Smoking cessation, decline in pulmonary function and total mortality: a 30-year follow-up study among th</w:t>
      </w:r>
      <w:r>
        <w:rPr>
          <w:rFonts w:ascii="Times New Roman" w:eastAsia="Times New Roman" w:hAnsi="Times New Roman" w:cs="Times New Roman"/>
          <w:sz w:val="24"/>
        </w:rPr>
        <w:t xml:space="preserve">e Finnish cohorts of the Seven Countries Study. Thorax 2001;56:703– 707.  </w:t>
      </w:r>
    </w:p>
    <w:p w:rsidR="003A0918" w:rsidRDefault="00D87DBB">
      <w:pPr>
        <w:numPr>
          <w:ilvl w:val="0"/>
          <w:numId w:val="34"/>
        </w:numPr>
        <w:spacing w:after="148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Chandler M.A., Rennard S.I.: Smoking cessation. Chest 2010; 137: 428–435.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Henningfield J.E.: Nicotine medications for smoking cessation. N Engl J Med 1995;333:1196–1203.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Jorenby</w:t>
      </w:r>
      <w:r>
        <w:rPr>
          <w:rFonts w:ascii="Times New Roman" w:eastAsia="Times New Roman" w:hAnsi="Times New Roman" w:cs="Times New Roman"/>
          <w:sz w:val="24"/>
        </w:rPr>
        <w:t xml:space="preserve"> D.E., Leischow S.J., Nides M.A et al.: A controlled trial of sustained- release bupropion, a nicotine patch, or both for smoking cessation. N Engl J Med 1999;340:685–691.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Silagy C., Mant D., Fowler G., Lodge M.: Metaanalysis on efficacy of nicotine repl</w:t>
      </w:r>
      <w:r>
        <w:rPr>
          <w:rFonts w:ascii="Times New Roman" w:eastAsia="Times New Roman" w:hAnsi="Times New Roman" w:cs="Times New Roman"/>
          <w:sz w:val="24"/>
        </w:rPr>
        <w:t xml:space="preserve">acement therapies in smoking cessation. Lancet 1994;343:139–142.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Tashkin D., Kanner R., Bailey W. et al.: Smoking cessation in patients with chronic obstructive pulmonary disease: a double-blind, placebo-controlled, randomised trial. Lancet 2001;357:1571</w:t>
      </w:r>
      <w:r>
        <w:rPr>
          <w:rFonts w:ascii="Times New Roman" w:eastAsia="Times New Roman" w:hAnsi="Times New Roman" w:cs="Times New Roman"/>
          <w:sz w:val="24"/>
        </w:rPr>
        <w:t xml:space="preserve">–1575.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Strassmann R., Bausch B., Spaar A. et al.: Smoking cessation interventions in COPD: a network metaanalysis of randomised trials. Eur Respir J 2009;34:634–640.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Faessel H., Ravva P., Williams K.: Pharmacokinetics, safety, and tolerability of varen</w:t>
      </w:r>
      <w:r>
        <w:rPr>
          <w:rFonts w:ascii="Times New Roman" w:eastAsia="Times New Roman" w:hAnsi="Times New Roman" w:cs="Times New Roman"/>
          <w:sz w:val="24"/>
        </w:rPr>
        <w:t xml:space="preserve">icline in healthy adolescent smokers: a multicenter, randomized, double-blind, placebocontrolled, parallel-group study. Clin Ther 2009;31:177–189.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Anthonisen N.R., Connett J.E., Kiley J.P. et al.: Effects of smoking intervention and the use of an inhaled</w:t>
      </w:r>
      <w:r>
        <w:rPr>
          <w:rFonts w:ascii="Times New Roman" w:eastAsia="Times New Roman" w:hAnsi="Times New Roman" w:cs="Times New Roman"/>
          <w:sz w:val="24"/>
        </w:rPr>
        <w:t xml:space="preserve"> anticholinergic bronchodilator on the rate of decline of FEV 1 . The Lung Health Study. JAMA 1994;272:1497–1505.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Decramer M., Celli B., Kesten S. et al.  Effect of tiotropium on outcomes in patients with moderate chronic obstructive pulmonary disease (UP</w:t>
      </w:r>
      <w:r>
        <w:rPr>
          <w:rFonts w:ascii="Times New Roman" w:eastAsia="Times New Roman" w:hAnsi="Times New Roman" w:cs="Times New Roman"/>
          <w:sz w:val="24"/>
        </w:rPr>
        <w:t xml:space="preserve">LIFT): a prespecified subgroup analysis of a randomised controlled trial. Lancet 2009;374:1171–8.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Vogelmeier C, Hederer B, Glaab T. et al. Tiotropium versus salmeterol for the prevention of exacerbations of COPD. N Engl J Med. 2011;364:1093–103.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Decramer</w:t>
      </w:r>
      <w:r>
        <w:rPr>
          <w:rFonts w:ascii="Times New Roman" w:eastAsia="Times New Roman" w:hAnsi="Times New Roman" w:cs="Times New Roman"/>
          <w:sz w:val="24"/>
        </w:rPr>
        <w:t xml:space="preserve"> M.L., Chapman K.R., Dahl R. et al. Once-daily indacaterol versus tiotropium for patients with severe chronic obstructive pulmonary disease (INVIGORATE): a randomised, blinded, parallel-group study Lancet Respir. Med. 2013;1(7): 524-533.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Kerwin E, Hebert </w:t>
      </w:r>
      <w:r>
        <w:rPr>
          <w:rFonts w:ascii="Times New Roman" w:eastAsia="Times New Roman" w:hAnsi="Times New Roman" w:cs="Times New Roman"/>
          <w:sz w:val="24"/>
        </w:rPr>
        <w:t xml:space="preserve">J, Gallagher N, et al. Efficacy and safety of NVA237 versus placebo and tiotropium in patients with moderate-to-severe COPD over 52 weeks: The GLOW2 study. Eur Respir J. 2012; 40(5): 1106-1114.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Wedzicha JA, Decramer M, Ficker JH, et al. Analysis of chroni</w:t>
      </w:r>
      <w:r>
        <w:rPr>
          <w:rFonts w:ascii="Times New Roman" w:eastAsia="Times New Roman" w:hAnsi="Times New Roman" w:cs="Times New Roman"/>
          <w:sz w:val="24"/>
        </w:rPr>
        <w:t xml:space="preserve">c obstructive pulmonary disease exacerbations with the dual bronchodilator QVA149 compared with glycopyrronium and tiotropium (SPARK): a randomised, double-blind, parallel-group study. Lancet Respir Med. 2013;1(3):199–209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Bateman ED, Ferguson GT, Barnes N</w:t>
      </w:r>
      <w:r>
        <w:rPr>
          <w:rFonts w:ascii="Times New Roman" w:eastAsia="Times New Roman" w:hAnsi="Times New Roman" w:cs="Times New Roman"/>
          <w:sz w:val="24"/>
        </w:rPr>
        <w:t xml:space="preserve">. et al. Dual bronchodilation with QVA149 versus single bronchodilator therapy: the SHINE study. Eur Respir J. 2013;42(6):1484–94.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Wedzicha JA, Banerji D, Chapman KR. et al. Indacaterol–glycopyrronium versus salmeterol–fluticasone for COPD. N Engl J Med. </w:t>
      </w:r>
      <w:r>
        <w:rPr>
          <w:rFonts w:ascii="Times New Roman" w:eastAsia="Times New Roman" w:hAnsi="Times New Roman" w:cs="Times New Roman"/>
          <w:sz w:val="24"/>
        </w:rPr>
        <w:t xml:space="preserve">2016;374(23): 2222–2234.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Calverley PMA, Anzueto AR, Carter K, et al. Tiotropium and olodaterol in the prevention of chronic obstructive pulmonary disease exacerbations (DYNAGITO): a double-blind, randomised, parallel-group, active-controlled trial. Lancet</w:t>
      </w:r>
      <w:r>
        <w:rPr>
          <w:rFonts w:ascii="Times New Roman" w:eastAsia="Times New Roman" w:hAnsi="Times New Roman" w:cs="Times New Roman"/>
          <w:sz w:val="24"/>
        </w:rPr>
        <w:t xml:space="preserve"> Respir Med. 2018;6(5):337–44.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Wedzicha JA, Decramer M, Ficker JH, et al. Analysis of chronic obstructive pulmonary disease exacerbations with the dual bronchodilator QVA149 compared with glycopyrronium and tiotropium (SPARK): a randomised, double-blind, </w:t>
      </w:r>
      <w:r>
        <w:rPr>
          <w:rFonts w:ascii="Times New Roman" w:eastAsia="Times New Roman" w:hAnsi="Times New Roman" w:cs="Times New Roman"/>
          <w:sz w:val="24"/>
        </w:rPr>
        <w:t xml:space="preserve">parallel-group study. Lancet Respir Med. 2013;1(3):199–209. </w:t>
      </w:r>
    </w:p>
    <w:p w:rsidR="003A0918" w:rsidRDefault="00D87DBB">
      <w:pPr>
        <w:numPr>
          <w:ilvl w:val="0"/>
          <w:numId w:val="34"/>
        </w:numPr>
        <w:spacing w:after="0" w:line="357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color w:val="222222"/>
          <w:sz w:val="24"/>
        </w:rPr>
        <w:t>Ferguson GT. Rabe KF. Martinez FJ. et al. Triple therapy with budesonide/glycopyrrolate/formoterol fumarate with co-suspension delivery technology versus dual therapies in chronic obstructive pul</w:t>
      </w:r>
      <w:r>
        <w:rPr>
          <w:rFonts w:ascii="Times New Roman" w:eastAsia="Times New Roman" w:hAnsi="Times New Roman" w:cs="Times New Roman"/>
          <w:color w:val="222222"/>
          <w:sz w:val="24"/>
        </w:rPr>
        <w:t>monary disease (KRONOS): a double-blind, parallelgroup, multicentre, phase 3 randomised controlled trial. The Lancet Resp. Med. 2018;6(10); 747758.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Lipson DA, Barnhart F, Brealey N. et al. Once-daily single-</w:t>
      </w:r>
      <w:r>
        <w:rPr>
          <w:rFonts w:ascii="Times New Roman" w:eastAsia="Times New Roman" w:hAnsi="Times New Roman" w:cs="Times New Roman"/>
          <w:sz w:val="24"/>
        </w:rPr>
        <w:t xml:space="preserve">inhaler triple versus dual therapy in patients with COPD. N Engl J Med. 2018;378:1671–80.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Martinez F., Rabe K., Ferguson G., et al. Reduced all-cause mortality in the ETHOS trial of budesonide/glycopyrrolate/formoterol for chronic obstructive pulmonary di</w:t>
      </w:r>
      <w:r>
        <w:rPr>
          <w:rFonts w:ascii="Times New Roman" w:eastAsia="Times New Roman" w:hAnsi="Times New Roman" w:cs="Times New Roman"/>
          <w:sz w:val="24"/>
        </w:rPr>
        <w:t xml:space="preserve">sease. A randomized, double-blind, multicenter, parallel-group study. Am J Respir Crit Care Med. 2020;203(5):553–564. doi: 10.1164/rccm.202006-2618OC.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Lipson DA, Criner G, Criner G. et al. Reduction in the risk of all-cause mortality with fluticasone furo</w:t>
      </w:r>
      <w:r>
        <w:rPr>
          <w:rFonts w:ascii="Times New Roman" w:eastAsia="Times New Roman" w:hAnsi="Times New Roman" w:cs="Times New Roman"/>
          <w:sz w:val="24"/>
        </w:rPr>
        <w:t xml:space="preserve">ate/umeclidinium/vilanterol compared to umeclidinium/vilanterol in IMPACT including previously missing or censored vital status data. Am J Respir Crit Care Med. 2019;199:A7344.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Vestbo J., Fabbri L., Papi A .et al. Inhaled corticosteroid containing combina</w:t>
      </w:r>
      <w:r>
        <w:rPr>
          <w:rFonts w:ascii="Times New Roman" w:eastAsia="Times New Roman" w:hAnsi="Times New Roman" w:cs="Times New Roman"/>
          <w:sz w:val="24"/>
        </w:rPr>
        <w:t xml:space="preserve">tions and mortality in COPD. Eur. Respir. J. 2018 52: 1801230; DOI: 10.1183/13993003.01230-2018.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Sestini P., Renzoni E., Robinson S. et al. Short-acting beta2-agonists for stablechronic obstructive pulmonary disease. Cochrane Database Syst Rev 2002;3:CD00</w:t>
      </w:r>
      <w:r>
        <w:rPr>
          <w:rFonts w:ascii="Times New Roman" w:eastAsia="Times New Roman" w:hAnsi="Times New Roman" w:cs="Times New Roman"/>
          <w:sz w:val="24"/>
        </w:rPr>
        <w:t xml:space="preserve">1495. </w:t>
      </w:r>
    </w:p>
    <w:p w:rsidR="003A0918" w:rsidRDefault="00D87DBB">
      <w:pPr>
        <w:numPr>
          <w:ilvl w:val="0"/>
          <w:numId w:val="34"/>
        </w:numPr>
        <w:spacing w:after="26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Chung V.C.H., Ma P.H.X., Hui D.S.C. et al. Indacaterol for chronic obstructive pulmonary disease: systematic review and meta-analysis. PLoS ONE 2013;8:e70784.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Cope S., Donohue J.F., Jansen J.P. et al. Comparative efficacy of long-acting bronchodil</w:t>
      </w:r>
      <w:r>
        <w:rPr>
          <w:rFonts w:ascii="Times New Roman" w:eastAsia="Times New Roman" w:hAnsi="Times New Roman" w:cs="Times New Roman"/>
          <w:sz w:val="24"/>
        </w:rPr>
        <w:t xml:space="preserve">ators for COPD – a network meta-analysis. Respir Res 2013;14:100.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Koch A., Pizzichini E., Hamilton A. et al. Lung function efficacy and symptomatic benefit of olodaterol once daily delivered via Respimat versus placebo and formoterol twice daily in patie</w:t>
      </w:r>
      <w:r>
        <w:rPr>
          <w:rFonts w:ascii="Times New Roman" w:eastAsia="Times New Roman" w:hAnsi="Times New Roman" w:cs="Times New Roman"/>
          <w:sz w:val="24"/>
        </w:rPr>
        <w:t xml:space="preserve">nts with GOLD 2-4 COPD: results from two replicate 48-week studies. Int J Chron Obstruct Pulmon Dis 2014;9:697–714.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Decramer M., Anzueto A., Kerwin E. et al. Efficacy and safety of umeclidinium plus vilanterol versus tiotropium, vilanterol, or umeclidini</w:t>
      </w:r>
      <w:r>
        <w:rPr>
          <w:rFonts w:ascii="Times New Roman" w:eastAsia="Times New Roman" w:hAnsi="Times New Roman" w:cs="Times New Roman"/>
          <w:sz w:val="24"/>
        </w:rPr>
        <w:t xml:space="preserve">um monotherapies over 24 weeks in patients with chronic obstructive pulmonary disease: results from two multicenter, blinded, randomized controlled trials. Lancet Respir Med 2014;2:472–86.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Vogelmeier C., Hederer B., Glaab T. et al. Tiotropium versus salme</w:t>
      </w:r>
      <w:r>
        <w:rPr>
          <w:rFonts w:ascii="Times New Roman" w:eastAsia="Times New Roman" w:hAnsi="Times New Roman" w:cs="Times New Roman"/>
          <w:sz w:val="24"/>
        </w:rPr>
        <w:t xml:space="preserve">terol for the prevention of exacerbations in COPD. N Engl J Med 2011;364:1093–103.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Decramer M.L., Chapman K.R., Dahl R. et al., INVIGORATE investigators. Once-daily indacaterol versus tiotropium for patients with severe chronic obstructive pulmonary dise</w:t>
      </w:r>
      <w:r>
        <w:rPr>
          <w:rFonts w:ascii="Times New Roman" w:eastAsia="Times New Roman" w:hAnsi="Times New Roman" w:cs="Times New Roman"/>
          <w:sz w:val="24"/>
        </w:rPr>
        <w:t xml:space="preserve">ase </w:t>
      </w:r>
    </w:p>
    <w:p w:rsidR="003A0918" w:rsidRDefault="00D87DBB">
      <w:pPr>
        <w:spacing w:after="4" w:line="360" w:lineRule="auto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(INVIGORATE): a randomised, blinded, parallel-group study // Lancet Respir Med. 2013;1(7):524-33.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Wilchesky M., Ernst P., Brophy J.M. et al. Bronchodilator use and the risk of arrhythmia in COPD: part 2: reassessment in the larger Quebec cohort. Che</w:t>
      </w:r>
      <w:r>
        <w:rPr>
          <w:rFonts w:ascii="Times New Roman" w:eastAsia="Times New Roman" w:hAnsi="Times New Roman" w:cs="Times New Roman"/>
          <w:sz w:val="24"/>
        </w:rPr>
        <w:t xml:space="preserve">st 2012;142:305–11.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Decramer M.L., Hanania N.A., Lotvall J.O. et al. The safety of long-acting b2-agonists in the treatment of stable chronic obstructive disease. Int J Chron Obstruct Pulmon Dis 2013;8:53–</w:t>
      </w:r>
    </w:p>
    <w:p w:rsidR="003A0918" w:rsidRDefault="00D87DBB">
      <w:pPr>
        <w:spacing w:after="115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64.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Kew K.M., Mavergames C., Walters J.A.E. Long</w:t>
      </w:r>
      <w:r>
        <w:rPr>
          <w:rFonts w:ascii="Times New Roman" w:eastAsia="Times New Roman" w:hAnsi="Times New Roman" w:cs="Times New Roman"/>
          <w:sz w:val="24"/>
        </w:rPr>
        <w:t xml:space="preserve">-acting beta2-agonists for chronic obstructive pulmonary disease. Cochrane Database Syst Rev 2013;Art. No.:CD010177.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Karner C., Chong J., Poole P. Tiotropium versus placebo for chronic obstructive pulmonary disease. Cochrane Database Syst Rev 2012;7:CD00</w:t>
      </w:r>
      <w:r>
        <w:rPr>
          <w:rFonts w:ascii="Times New Roman" w:eastAsia="Times New Roman" w:hAnsi="Times New Roman" w:cs="Times New Roman"/>
          <w:sz w:val="24"/>
        </w:rPr>
        <w:t xml:space="preserve">9285. </w:t>
      </w:r>
    </w:p>
    <w:p w:rsidR="003A0918" w:rsidRDefault="00D87DBB">
      <w:pPr>
        <w:numPr>
          <w:ilvl w:val="0"/>
          <w:numId w:val="34"/>
        </w:numPr>
        <w:spacing w:after="28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Tashkin D.P., Celli B., Senn S. et al. A 4-year trial of tiotropium in chronic obstructive pulmonary disease. N Engl J Med 2008;359:1543–54.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Wise R.A., Anzueto A., </w:t>
      </w:r>
      <w:r>
        <w:rPr>
          <w:rFonts w:ascii="Times New Roman" w:eastAsia="Times New Roman" w:hAnsi="Times New Roman" w:cs="Times New Roman"/>
          <w:sz w:val="24"/>
        </w:rPr>
        <w:t xml:space="preserve">Cotton D. et al. Tiotropium Respimat inhaler and the risk of death in COPD. N Engl J Med 2013;369:1491–501.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Sims M.W., Panettieri R.A. Jr. Profile of aclidinium bromide in the treatment of chronic obstructive pulmonary disease. Int J Chron Obstruct Pulmo</w:t>
      </w:r>
      <w:r>
        <w:rPr>
          <w:rFonts w:ascii="Times New Roman" w:eastAsia="Times New Roman" w:hAnsi="Times New Roman" w:cs="Times New Roman"/>
          <w:sz w:val="24"/>
        </w:rPr>
        <w:t xml:space="preserve">n Dis 2011;6:457–66.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Ulrik C.S. Once-daily glycopyrronium bromide, a long-acting muscarinic antagonist, for chronic obstructive pulmonary disease: a systematic review of clinical benefit. Int J Chron Obstruct Pulmon Dis 2012;7:673–678.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Jones P.W., Renn</w:t>
      </w:r>
      <w:r>
        <w:rPr>
          <w:rFonts w:ascii="Times New Roman" w:eastAsia="Times New Roman" w:hAnsi="Times New Roman" w:cs="Times New Roman"/>
          <w:sz w:val="24"/>
        </w:rPr>
        <w:t xml:space="preserve">ard S.I., Agusti A. et al. Efficacy and safety of once-daily aclidinium in chronic obstructive pulmonary disease. Respir Res 2011;12:55.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Kerwin E., Hebert J., Gallagher N. et al. Efficacy and safety of NVA237 versus placebo and tiotropium in patients wit</w:t>
      </w:r>
      <w:r>
        <w:rPr>
          <w:rFonts w:ascii="Times New Roman" w:eastAsia="Times New Roman" w:hAnsi="Times New Roman" w:cs="Times New Roman"/>
          <w:sz w:val="24"/>
        </w:rPr>
        <w:t xml:space="preserve">h COPD: the GLOW2 study. Eur Respir J 2012;40:1106–14.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Sharafkhaneh A., Majid H., Gross N.J. Safety and tolerability of inhalational anticholinergics in COPD. Drug Healthc Patient Saf 2013;5:49–55.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Appleton S., Jones T., Poole P. et al. Ipratropium brom</w:t>
      </w:r>
      <w:r>
        <w:rPr>
          <w:rFonts w:ascii="Times New Roman" w:eastAsia="Times New Roman" w:hAnsi="Times New Roman" w:cs="Times New Roman"/>
          <w:sz w:val="24"/>
        </w:rPr>
        <w:t xml:space="preserve">ide versus short acting beta-2 agonists for stable chronic obstructive pulmonary disease. Cochrane Database Syst Rev 2006;2:CD001387.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Appleton S., Jones T., Poole P. et al. Ipratropium bromide versus long-acting beta-2 agonists for stable chronic obstruc</w:t>
      </w:r>
      <w:r>
        <w:rPr>
          <w:rFonts w:ascii="Times New Roman" w:eastAsia="Times New Roman" w:hAnsi="Times New Roman" w:cs="Times New Roman"/>
          <w:sz w:val="24"/>
        </w:rPr>
        <w:t xml:space="preserve">tive pulmonary disease. Cochrane Database Syst Rev 2006;3:CD006101.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Karner C., Cates C.J. Long-acting beta2-agonist in addition to tiotropium versus either tiotropium or long-acting beta2-agonist alone for chronic obstructive pulmonary disease. </w:t>
      </w:r>
    </w:p>
    <w:p w:rsidR="003A0918" w:rsidRDefault="00D87DBB">
      <w:pPr>
        <w:spacing w:after="112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Cochrane</w:t>
      </w:r>
      <w:r>
        <w:rPr>
          <w:rFonts w:ascii="Times New Roman" w:eastAsia="Times New Roman" w:hAnsi="Times New Roman" w:cs="Times New Roman"/>
          <w:sz w:val="24"/>
        </w:rPr>
        <w:t xml:space="preserve"> Database Syst Rev 2012;4:CD008989. </w:t>
      </w:r>
    </w:p>
    <w:p w:rsidR="003A0918" w:rsidRDefault="00D87DBB">
      <w:pPr>
        <w:numPr>
          <w:ilvl w:val="0"/>
          <w:numId w:val="34"/>
        </w:numPr>
        <w:spacing w:after="11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Donohue J.F., Niewoehner D., Brooks J. et al. Safety and tolerability of once-daily umeclidinium/vilanterol 125/25 mcg and umeclidinium 125 mcg in patients with chronic obstructive pulmonary disease: results from a 52-w</w:t>
      </w:r>
      <w:r>
        <w:rPr>
          <w:rFonts w:ascii="Times New Roman" w:eastAsia="Times New Roman" w:hAnsi="Times New Roman" w:cs="Times New Roman"/>
          <w:sz w:val="24"/>
        </w:rPr>
        <w:t xml:space="preserve">eek, randomized, doubleblind, placebo-controlled study. </w:t>
      </w:r>
    </w:p>
    <w:p w:rsidR="003A0918" w:rsidRDefault="00D87DBB">
      <w:pPr>
        <w:spacing w:after="112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Respir Res 2014;15:78.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Decramer M., Anzueto A., Kerwin E. et al. Efficacy and safety of umeclidinium plus vilanterol versus tiotropium, vilanterol, or umeclidinium monotherapies over 24 weeks in pat</w:t>
      </w:r>
      <w:r>
        <w:rPr>
          <w:rFonts w:ascii="Times New Roman" w:eastAsia="Times New Roman" w:hAnsi="Times New Roman" w:cs="Times New Roman"/>
          <w:sz w:val="24"/>
        </w:rPr>
        <w:t xml:space="preserve">ients with chronic obstructive pulmonary disease: results from two multicenter, blinded, randomized controlled trials. Lancet Respir Med 2014;2:472–86.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Donohue J.F., Maleki-Yazdi M.R., Kilbride S. et al. Efficacy and safety of once-daily umeclidinium/vil</w:t>
      </w:r>
      <w:r>
        <w:rPr>
          <w:rFonts w:ascii="Times New Roman" w:eastAsia="Times New Roman" w:hAnsi="Times New Roman" w:cs="Times New Roman"/>
          <w:sz w:val="24"/>
        </w:rPr>
        <w:t xml:space="preserve">anterol 62.5/25 mcg in COPD. Respir Med 2013;107:1538–46.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Vincken W., Aumann J., Chen H. et al. Efficacy and safety of coadministration of oncedaily indacaterol and glycopyrronium versus indacaterol alone in COPD patients: the GLOW6 study. Int J Chron Ob</w:t>
      </w:r>
      <w:r>
        <w:rPr>
          <w:rFonts w:ascii="Times New Roman" w:eastAsia="Times New Roman" w:hAnsi="Times New Roman" w:cs="Times New Roman"/>
          <w:sz w:val="24"/>
        </w:rPr>
        <w:t xml:space="preserve">struct Pulmon Dis 2014;9:215–28.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Wedzicha J.A., Dahl R., Buhl R. et al. Pooled safety analysis of the fixed-dose combination of indacaterol and glycopyrronium (QVA149), its monocomponents, and tiotropium versus placebo in COPD patients. Respir Med 2014;1</w:t>
      </w:r>
      <w:r>
        <w:rPr>
          <w:rFonts w:ascii="Times New Roman" w:eastAsia="Times New Roman" w:hAnsi="Times New Roman" w:cs="Times New Roman"/>
          <w:sz w:val="24"/>
        </w:rPr>
        <w:t xml:space="preserve">08:1498–507.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Ulrik C.S. Clinical benefit of fixed-dose dual bronchodilation with glycopyrronium and indacaterol once daily in patients with chronic obstructive pulmonary disease: a systematic review. Int J Chron Obstruct Pulmon Dis 2014;9:331–338.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Buhl</w:t>
      </w:r>
      <w:r>
        <w:rPr>
          <w:rFonts w:ascii="Times New Roman" w:eastAsia="Times New Roman" w:hAnsi="Times New Roman" w:cs="Times New Roman"/>
          <w:sz w:val="24"/>
        </w:rPr>
        <w:t xml:space="preserve"> R., Maltais F., Abrahams R. et al. Tiotropium and olodaterol fixed-dose combination versus mono-components in COPD (GOLD 2–4) // Eur Respir J. 2015; 45: 969–979.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Singh D, Jones PW, Bateman ED. et al. Efficacy and safety of aclidinium bromide/formoterol f</w:t>
      </w:r>
      <w:r>
        <w:rPr>
          <w:rFonts w:ascii="Times New Roman" w:eastAsia="Times New Roman" w:hAnsi="Times New Roman" w:cs="Times New Roman"/>
          <w:sz w:val="24"/>
        </w:rPr>
        <w:t xml:space="preserve">umarate fixed-dose combinations compared with individual components and placebo in patients with COPD (ACLIFORM-COPD): a multicentre, randomised study. BMC Pulm Med. 2014 Nov 18;14:178.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Beeh K.M., Westerman J., Kirsten A.M. et al. The 24-h lung-</w:t>
      </w:r>
      <w:r>
        <w:rPr>
          <w:rFonts w:ascii="Times New Roman" w:eastAsia="Times New Roman" w:hAnsi="Times New Roman" w:cs="Times New Roman"/>
          <w:sz w:val="24"/>
        </w:rPr>
        <w:t xml:space="preserve">function profile of oncedaily tiotropium and olodaterol fixed-dose combination in chronic obstructive pulmonary disease. Pulm Pharmacol Ther. 2015; 32: 53-9.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Wedzicha J.A., Decramer M., Ficker J.H. et al. Analysis of chronic obstructive pulmonary disease </w:t>
      </w:r>
      <w:r>
        <w:rPr>
          <w:rFonts w:ascii="Times New Roman" w:eastAsia="Times New Roman" w:hAnsi="Times New Roman" w:cs="Times New Roman"/>
          <w:sz w:val="24"/>
        </w:rPr>
        <w:t xml:space="preserve">exacerbations with the dual bronchodilator QVA149 compared with glycopyrronium and tiotropium (SPARK): a randomized, double-blind, parallel-group study. Lancet Respir Med 2013;1:199–209.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Singh D., Agusti A., Martinez F.J. et al. Blood Eosinophils and Chr</w:t>
      </w:r>
      <w:r>
        <w:rPr>
          <w:rFonts w:ascii="Times New Roman" w:eastAsia="Times New Roman" w:hAnsi="Times New Roman" w:cs="Times New Roman"/>
          <w:sz w:val="24"/>
        </w:rPr>
        <w:t xml:space="preserve">onic Obstructive Pulmonary Disease: A Global Initiative for Chronic Obstructive Lung Disease Science Committee 2022 Review. Am.J. Respir. Crit. Care Med. 2022; 206(1); 17-24.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Papi A., Vestbo J., Fabbri L. et al. Extrafine inhaled triple therapy versus du</w:t>
      </w:r>
      <w:r>
        <w:rPr>
          <w:rFonts w:ascii="Times New Roman" w:eastAsia="Times New Roman" w:hAnsi="Times New Roman" w:cs="Times New Roman"/>
          <w:sz w:val="24"/>
        </w:rPr>
        <w:t xml:space="preserve">al bronchodilator therapy in chronic obstructive pulmonary disease (TRIBUTE): a double-blind, parallel group, randomised controlled trial. Lancet. 2018;391:1076-1084.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Chronic obstructive pulmonary disease in over 16s: diagnosis and management. NICE guidel</w:t>
      </w:r>
      <w:r>
        <w:rPr>
          <w:rFonts w:ascii="Times New Roman" w:eastAsia="Times New Roman" w:hAnsi="Times New Roman" w:cs="Times New Roman"/>
          <w:sz w:val="24"/>
        </w:rPr>
        <w:t xml:space="preserve">ine. https://www.nice.org.uk/guidance/ng115, доступ от 18.11.2019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Broekhuizen B.D., Sachs A.P., Moons K.G. et al. Wignands G.J. et al. Diagnostic value of oral prednisolone test for chronic obstructive pulmonary disorders. Ann Fam Med 2011;9:104– 109.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C</w:t>
      </w:r>
      <w:r>
        <w:rPr>
          <w:rFonts w:ascii="Times New Roman" w:eastAsia="Times New Roman" w:hAnsi="Times New Roman" w:cs="Times New Roman"/>
          <w:sz w:val="24"/>
        </w:rPr>
        <w:t xml:space="preserve">allahan C.M., Dittus R.S., Katz B.P. Oral corticosteroid therapy for patients with stable chronic obstructive pulmonary disease. A meta-analysis. Ann Intern Med 1991;114:216–2397. 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Yang I.A., Clarke M.S., Sim E.H.A., Fong K.M. Inhaled corticosteroids for </w:t>
      </w:r>
      <w:r>
        <w:rPr>
          <w:rFonts w:ascii="Times New Roman" w:eastAsia="Times New Roman" w:hAnsi="Times New Roman" w:cs="Times New Roman"/>
          <w:sz w:val="24"/>
        </w:rPr>
        <w:t xml:space="preserve">stable chronic obstructive pulmonary disease. Cochrane Database Syst Rev 2012;7:CD002991.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Suissa S., Kezouh A., Ernst P. Inhaled corticosteroids and the risks of diabetes onset and progression. Am J Med 2010; 123:1001–1006.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Izquierdo JL, Cosio B. The dos</w:t>
      </w:r>
      <w:r>
        <w:rPr>
          <w:rFonts w:ascii="Times New Roman" w:eastAsia="Times New Roman" w:hAnsi="Times New Roman" w:cs="Times New Roman"/>
          <w:sz w:val="24"/>
        </w:rPr>
        <w:t xml:space="preserve">e of inhaled corticosteroids in patients with COPD: when less is better. International Journal of COPD 2018:13 3539–3547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Calverley P.M.A., Anderson A.M.A., Ferguson G.T. et al. Salmeterol and fluticasone propionate and survival in chronic obstructive pulm</w:t>
      </w:r>
      <w:r>
        <w:rPr>
          <w:rFonts w:ascii="Times New Roman" w:eastAsia="Times New Roman" w:hAnsi="Times New Roman" w:cs="Times New Roman"/>
          <w:sz w:val="24"/>
        </w:rPr>
        <w:t xml:space="preserve">onary disease. N Engl J Med 2007;356:775– 789.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Sonnappa, S, Martin, R, Israel, E,  et al. Risk of pneumonia in obstructive lung disease. A real-life study comparing estra fine and particle inhaled corticosteroids. PloS ONE, 2017;12(6), е0178112. </w:t>
      </w:r>
    </w:p>
    <w:p w:rsidR="003A0918" w:rsidRDefault="00D87DBB">
      <w:pPr>
        <w:numPr>
          <w:ilvl w:val="0"/>
          <w:numId w:val="34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Rogliani</w:t>
      </w:r>
      <w:r>
        <w:rPr>
          <w:rFonts w:ascii="Times New Roman" w:eastAsia="Times New Roman" w:hAnsi="Times New Roman" w:cs="Times New Roman"/>
          <w:sz w:val="24"/>
        </w:rPr>
        <w:t xml:space="preserve"> P., Ora J., Cavalli F..et al. Comparing the Efficacy and Safety Profile of Triple Fixed-Dose Combinations in COPD: A Meta-Analysis and IBiS Score. J Clin Med. </w:t>
      </w:r>
    </w:p>
    <w:p w:rsidR="003A0918" w:rsidRDefault="00D87DBB">
      <w:pPr>
        <w:spacing w:after="4" w:line="360" w:lineRule="auto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2022;11(15):4491. doi: 10.3390/jcm11154491. PMID: 35956108; PMCID: PMC9369741. 103. Watz H., Te</w:t>
      </w:r>
      <w:r>
        <w:rPr>
          <w:rFonts w:ascii="Times New Roman" w:eastAsia="Times New Roman" w:hAnsi="Times New Roman" w:cs="Times New Roman"/>
          <w:sz w:val="24"/>
        </w:rPr>
        <w:t xml:space="preserve">tzlaff K., Wouters E.F. et al. Blood eosinophil count and exacerbations in severe chronic obstructive pulmonary disease after withdrawal of inhaled corticosteroids: a posthoc analysis of the WISDOM trial. Lancet Respir Med. 2016; 4(5): 390-8. </w:t>
      </w:r>
    </w:p>
    <w:p w:rsidR="003A0918" w:rsidRDefault="00D87DBB">
      <w:pPr>
        <w:numPr>
          <w:ilvl w:val="0"/>
          <w:numId w:val="35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Vestbo J., A</w:t>
      </w:r>
      <w:r>
        <w:rPr>
          <w:rFonts w:ascii="Times New Roman" w:eastAsia="Times New Roman" w:hAnsi="Times New Roman" w:cs="Times New Roman"/>
          <w:sz w:val="24"/>
        </w:rPr>
        <w:t>nderson J.A., Brook R.D. et al.; SUMMIT Investigators. Fluticasone furoate and vilanterol and survival in chronic obstructive pulmonary disease with heightened cardiovascular risk (SUMMIT): a double-blind randomised controlled trial. Lancet. 2016; 387 (100</w:t>
      </w:r>
      <w:r>
        <w:rPr>
          <w:rFonts w:ascii="Times New Roman" w:eastAsia="Times New Roman" w:hAnsi="Times New Roman" w:cs="Times New Roman"/>
          <w:sz w:val="24"/>
        </w:rPr>
        <w:t xml:space="preserve">30): </w:t>
      </w:r>
    </w:p>
    <w:p w:rsidR="003A0918" w:rsidRDefault="00D87DBB">
      <w:pPr>
        <w:spacing w:after="4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1817-26. </w:t>
      </w:r>
    </w:p>
    <w:p w:rsidR="003A0918" w:rsidRDefault="00D87DBB">
      <w:pPr>
        <w:numPr>
          <w:ilvl w:val="0"/>
          <w:numId w:val="35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Loke Y.K., Cavallazzi R., Singh S. Risk of fractures with inhaled corticosteroids in COPD: systematic review and meta-analysis of randomised controlled trials and observational studies. Thorax 2011; 66:699–708. </w:t>
      </w:r>
    </w:p>
    <w:p w:rsidR="003A0918" w:rsidRDefault="00D87DBB">
      <w:pPr>
        <w:numPr>
          <w:ilvl w:val="0"/>
          <w:numId w:val="35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Chong J., Poole P., Leung B.</w:t>
      </w:r>
      <w:r>
        <w:rPr>
          <w:rFonts w:ascii="Times New Roman" w:eastAsia="Times New Roman" w:hAnsi="Times New Roman" w:cs="Times New Roman"/>
          <w:sz w:val="24"/>
        </w:rPr>
        <w:t xml:space="preserve">, Black P.N. Phosphodiesterase 4 inhibitors for chronic obstructive pulmonary disease. Cochrane Database Syst Rev 2011;5:CD002309. </w:t>
      </w:r>
    </w:p>
    <w:p w:rsidR="003A0918" w:rsidRDefault="00D87DBB">
      <w:pPr>
        <w:numPr>
          <w:ilvl w:val="0"/>
          <w:numId w:val="35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Calverley P.M.A., Rabe K.F., Goehring U-M et al. Roflumilast in symptomatic chronic obstructive pulmonary disease: two rando</w:t>
      </w:r>
      <w:r>
        <w:rPr>
          <w:rFonts w:ascii="Times New Roman" w:eastAsia="Times New Roman" w:hAnsi="Times New Roman" w:cs="Times New Roman"/>
          <w:sz w:val="24"/>
        </w:rPr>
        <w:t xml:space="preserve">mised clinical trials. Lancet 2009; 374:685–94. 108. Walters J.A.E., Walters E.H., Wood-Baker R. Oral corticosteroids for stable chronic obstructive pulmonary disease. Cochrane Database Syst Rev 2005;3:CD005374. </w:t>
      </w:r>
    </w:p>
    <w:p w:rsidR="003A0918" w:rsidRDefault="00D87DBB">
      <w:pPr>
        <w:spacing w:after="28" w:line="360" w:lineRule="auto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109. </w:t>
      </w:r>
      <w:r>
        <w:rPr>
          <w:rFonts w:ascii="Times New Roman" w:eastAsia="Times New Roman" w:hAnsi="Times New Roman" w:cs="Times New Roman"/>
          <w:sz w:val="24"/>
        </w:rPr>
        <w:t xml:space="preserve">Schols A.M.W.J., Wesseling G., Kester A.D.M. et al. Dose dependent increased mortality risk in COPD patients treated with oral glucocorticoids. Eur Respir J 2001; 17:337–42.  110. Man W.D.-C., Kemp P., Moxham J., Polkey M.I. Skeletal muscle dysfunction in </w:t>
      </w:r>
      <w:r>
        <w:rPr>
          <w:rFonts w:ascii="Times New Roman" w:eastAsia="Times New Roman" w:hAnsi="Times New Roman" w:cs="Times New Roman"/>
          <w:sz w:val="24"/>
        </w:rPr>
        <w:t xml:space="preserve">COPD: clinical and laboratory observations. Clin Sci (Lond) 2009; 117:251–64. </w:t>
      </w:r>
    </w:p>
    <w:p w:rsidR="003A0918" w:rsidRDefault="00D87DBB">
      <w:pPr>
        <w:numPr>
          <w:ilvl w:val="0"/>
          <w:numId w:val="36"/>
        </w:numPr>
        <w:spacing w:after="119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Barnes P.J. Theophylline. Am J Respir Crit Care Med 2013; 188:901–906.  </w:t>
      </w:r>
    </w:p>
    <w:p w:rsidR="003A0918" w:rsidRDefault="00D87DBB">
      <w:pPr>
        <w:numPr>
          <w:ilvl w:val="0"/>
          <w:numId w:val="36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Zhou Y., Wang X., Zeng X. et al. Positive benefits of theophylline in a randomized, double-blind, parall</w:t>
      </w:r>
      <w:r>
        <w:rPr>
          <w:rFonts w:ascii="Times New Roman" w:eastAsia="Times New Roman" w:hAnsi="Times New Roman" w:cs="Times New Roman"/>
          <w:sz w:val="24"/>
        </w:rPr>
        <w:t xml:space="preserve">elgroup, placebo-controlled study of low-dose, slow-release theophylline in the treatment of COPD for 1 year. Respirology 2006; 11:603–10.   </w:t>
      </w:r>
    </w:p>
    <w:p w:rsidR="003A0918" w:rsidRDefault="00D87DBB">
      <w:pPr>
        <w:numPr>
          <w:ilvl w:val="0"/>
          <w:numId w:val="36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Ram F.S., Jones P., Jardim J. et al. Oral theophylline for chronic obstructive pulmonary disease. Cochrane Databas</w:t>
      </w:r>
      <w:r>
        <w:rPr>
          <w:rFonts w:ascii="Times New Roman" w:eastAsia="Times New Roman" w:hAnsi="Times New Roman" w:cs="Times New Roman"/>
          <w:sz w:val="24"/>
        </w:rPr>
        <w:t xml:space="preserve">e Syst Rev 2002;3:CD003902.  </w:t>
      </w:r>
    </w:p>
    <w:p w:rsidR="003A0918" w:rsidRDefault="00D87DBB">
      <w:pPr>
        <w:numPr>
          <w:ilvl w:val="0"/>
          <w:numId w:val="36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Rossi A., Kristufek P., Levine B.E. et al. Comparison of the efficacy, tolerability, and safety of formoterol dry powder and oral, slow-release theophylline in the treatment of COPD. Chest 2002; 121:1058–69. </w:t>
      </w:r>
    </w:p>
    <w:p w:rsidR="003A0918" w:rsidRDefault="00D87DBB">
      <w:pPr>
        <w:numPr>
          <w:ilvl w:val="0"/>
          <w:numId w:val="36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Donath E., Chaudh</w:t>
      </w:r>
      <w:r>
        <w:rPr>
          <w:rFonts w:ascii="Times New Roman" w:eastAsia="Times New Roman" w:hAnsi="Times New Roman" w:cs="Times New Roman"/>
          <w:sz w:val="24"/>
        </w:rPr>
        <w:t xml:space="preserve">ry A., Hernandez-Aya L.F., Lit L. A metaanalysis on the prophylactic use of macrolide antibiotics for the prevention of disease exacerbations in patients with chronic obstructive pulmonary disease. Respir Med 2013; 107:1385–92.  </w:t>
      </w:r>
    </w:p>
    <w:p w:rsidR="003A0918" w:rsidRDefault="00D87DBB">
      <w:pPr>
        <w:numPr>
          <w:ilvl w:val="0"/>
          <w:numId w:val="36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Albert R.K., Connett J., B</w:t>
      </w:r>
      <w:r>
        <w:rPr>
          <w:rFonts w:ascii="Times New Roman" w:eastAsia="Times New Roman" w:hAnsi="Times New Roman" w:cs="Times New Roman"/>
          <w:sz w:val="24"/>
        </w:rPr>
        <w:t xml:space="preserve">ailey W.C. et al. Azithromycin for prevention of exacerbations of COPD. N Engl J Med 2011; 365:689–98. </w:t>
      </w:r>
    </w:p>
    <w:p w:rsidR="003A0918" w:rsidRDefault="00D87DBB">
      <w:pPr>
        <w:numPr>
          <w:ilvl w:val="0"/>
          <w:numId w:val="36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Poole P., Black P.N., Cates CJ. Mucolytic agents for chronic bronchitis or chronic obstructive pulmonary disease. Cochrane Database Syst Rev 2012;8:CD00</w:t>
      </w:r>
      <w:r>
        <w:rPr>
          <w:rFonts w:ascii="Times New Roman" w:eastAsia="Times New Roman" w:hAnsi="Times New Roman" w:cs="Times New Roman"/>
          <w:sz w:val="24"/>
        </w:rPr>
        <w:t xml:space="preserve">1287. </w:t>
      </w:r>
    </w:p>
    <w:p w:rsidR="003A0918" w:rsidRDefault="00D87DBB">
      <w:pPr>
        <w:numPr>
          <w:ilvl w:val="0"/>
          <w:numId w:val="36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Cazzola M., Calzetta L., Page C. et al. Influence of N-acetylcysteine on chronic bronchitis or COPD exacerbations: a meta-analysis. Eur Respir Rev 2015; 24(137): 451-61. </w:t>
      </w:r>
    </w:p>
    <w:p w:rsidR="003A0918" w:rsidRDefault="00D87DBB">
      <w:pPr>
        <w:numPr>
          <w:ilvl w:val="0"/>
          <w:numId w:val="36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Al-</w:t>
      </w:r>
      <w:r>
        <w:rPr>
          <w:rFonts w:ascii="Times New Roman" w:eastAsia="Times New Roman" w:hAnsi="Times New Roman" w:cs="Times New Roman"/>
          <w:sz w:val="24"/>
        </w:rPr>
        <w:t>Showair R.A., Tarsin W.Y., Assi K.H. et al. Can all patients with COPD use the correct inhalation flow with all inhalers and does training help? Respir Med 2007; 101:2395-401. 120. Laube B.L., Janssens H.M., de Jongh F.H. et al. What the pulmonary speciali</w:t>
      </w:r>
      <w:r>
        <w:rPr>
          <w:rFonts w:ascii="Times New Roman" w:eastAsia="Times New Roman" w:hAnsi="Times New Roman" w:cs="Times New Roman"/>
          <w:sz w:val="24"/>
        </w:rPr>
        <w:t xml:space="preserve">st should know about the new inhalation therapies. Eur Respir J 2011; 37:1308–31.  </w:t>
      </w:r>
    </w:p>
    <w:p w:rsidR="003A0918" w:rsidRDefault="00D87DBB">
      <w:pPr>
        <w:numPr>
          <w:ilvl w:val="0"/>
          <w:numId w:val="37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Wieshammer S., Dreyhaupt J. Dry powder inhalers: which factors determine the frequency of handling errors? Respiration 2008; 75:18–25.  </w:t>
      </w:r>
    </w:p>
    <w:p w:rsidR="003A0918" w:rsidRDefault="00D87DBB">
      <w:pPr>
        <w:numPr>
          <w:ilvl w:val="0"/>
          <w:numId w:val="37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Chapman K.R., Voshaar T.H., Virchow</w:t>
      </w:r>
      <w:r>
        <w:rPr>
          <w:rFonts w:ascii="Times New Roman" w:eastAsia="Times New Roman" w:hAnsi="Times New Roman" w:cs="Times New Roman"/>
          <w:sz w:val="24"/>
        </w:rPr>
        <w:t xml:space="preserve"> J.C. Inhaler choice in primary practice. Eur Respir Rev 2005; 14: 117–22.  </w:t>
      </w:r>
    </w:p>
    <w:p w:rsidR="003A0918" w:rsidRDefault="00D87DBB">
      <w:pPr>
        <w:numPr>
          <w:ilvl w:val="0"/>
          <w:numId w:val="37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Poole P.J., Chacko E., Wood-Baker R.W., Cates C.J. Influenza vaccine for patients with chronic obstructive pulmonary disease. Cochrane Database Syst Rev 2006;1:CD002733.  124. Ses</w:t>
      </w:r>
      <w:r>
        <w:rPr>
          <w:rFonts w:ascii="Times New Roman" w:eastAsia="Times New Roman" w:hAnsi="Times New Roman" w:cs="Times New Roman"/>
          <w:sz w:val="24"/>
        </w:rPr>
        <w:t xml:space="preserve">tini P., Renzoni E., Robinson S. et al. Short-acting beta 2 agonists for stable chronic obstructive pulmonary disease. Cochrane database Syst Rev 2002; (4): CD001495 </w:t>
      </w:r>
    </w:p>
    <w:p w:rsidR="003A0918" w:rsidRDefault="00D87DBB">
      <w:pPr>
        <w:numPr>
          <w:ilvl w:val="0"/>
          <w:numId w:val="38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Van der Molen T., Cazzola M. Beyond lung function in COPD management: effectiveness of LA</w:t>
      </w:r>
      <w:r>
        <w:rPr>
          <w:rFonts w:ascii="Times New Roman" w:eastAsia="Times New Roman" w:hAnsi="Times New Roman" w:cs="Times New Roman"/>
          <w:sz w:val="24"/>
        </w:rPr>
        <w:t xml:space="preserve">BA/LAMA combination therapy on patient-centred outcomesю Primary Care Respir J 2012;21(1):101-108. </w:t>
      </w:r>
    </w:p>
    <w:p w:rsidR="003A0918" w:rsidRDefault="00D87DBB">
      <w:pPr>
        <w:numPr>
          <w:ilvl w:val="0"/>
          <w:numId w:val="38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Mahler D.A., Decramer M., D`Urzo A. et al. Dual bronchodilatation with QVA149 reduces patient reported dyspnea in COPD: the BLAZE study Eur Respir J 2014;43</w:t>
      </w:r>
      <w:r>
        <w:rPr>
          <w:rFonts w:ascii="Times New Roman" w:eastAsia="Times New Roman" w:hAnsi="Times New Roman" w:cs="Times New Roman"/>
          <w:sz w:val="24"/>
        </w:rPr>
        <w:t xml:space="preserve">(6):1599-1609. 127. Calzetta L, Ritondo BL, de Marco P. et al. Evaluating triple ICS/LABA/LAMA therapies for COPD patients: a network meta-analysis of ETHOS, KRONOS, IMPACT, and TRILOGY studies. Expert Rev Respir Med. 2021 Jan;15(1):143-152.  </w:t>
      </w:r>
    </w:p>
    <w:p w:rsidR="003A0918" w:rsidRDefault="00D87DBB">
      <w:pPr>
        <w:numPr>
          <w:ilvl w:val="0"/>
          <w:numId w:val="39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Yu A.P., Guérin A., Ponce de Leon D. et al. Therapy persistence and adherence in patients with chronic obstructive pulmonary disease: multiple versus single long-acting maintenance inhalers. J Med Econ. 2011; 14 (4): 486–496. </w:t>
      </w:r>
    </w:p>
    <w:p w:rsidR="003A0918" w:rsidRDefault="00D87DBB">
      <w:pPr>
        <w:numPr>
          <w:ilvl w:val="0"/>
          <w:numId w:val="39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Papi A. Vestbo J., Fabbri L. </w:t>
      </w:r>
      <w:r>
        <w:rPr>
          <w:rFonts w:ascii="Times New Roman" w:eastAsia="Times New Roman" w:hAnsi="Times New Roman" w:cs="Times New Roman"/>
          <w:sz w:val="24"/>
        </w:rPr>
        <w:t xml:space="preserve"> et al. Extrafine inhaled triple therapy versus dual bronchodilator therapy in chronic obstructive pulmonary disease (TRIBUTE): a double-blind, parallel group, randomised controlled trial.  Lancet. 2018; 391:1076-108/ </w:t>
      </w:r>
    </w:p>
    <w:p w:rsidR="003A0918" w:rsidRDefault="00D87DBB">
      <w:pPr>
        <w:numPr>
          <w:ilvl w:val="0"/>
          <w:numId w:val="39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Singh D. Papi A., Corradi M. et al. S</w:t>
      </w:r>
      <w:r>
        <w:rPr>
          <w:rFonts w:ascii="Times New Roman" w:eastAsia="Times New Roman" w:hAnsi="Times New Roman" w:cs="Times New Roman"/>
          <w:sz w:val="24"/>
        </w:rPr>
        <w:t>ingle inhaler triple therapy versus inhaled corticosteroid plus long-acting β2-agonist therapy for chronic obstructive pulmonary disease (TRILOGY): a double-blind, parallel group, randomised controlled trial. Lancet. 2016; 388:963-973. 131. White P., Thorn</w:t>
      </w:r>
      <w:r>
        <w:rPr>
          <w:rFonts w:ascii="Times New Roman" w:eastAsia="Times New Roman" w:hAnsi="Times New Roman" w:cs="Times New Roman"/>
          <w:sz w:val="24"/>
        </w:rPr>
        <w:t xml:space="preserve">toh H., Pinnock H. et al. Overtreatment of COPD with inhaled corticosteroids – implications for safety and costs: cross-sectional observational study. PLoS ONE 2013;8: e75221.  </w:t>
      </w:r>
    </w:p>
    <w:p w:rsidR="003A0918" w:rsidRDefault="00D87DBB">
      <w:pPr>
        <w:spacing w:after="4" w:line="360" w:lineRule="auto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132. Rossi A., Guerriero M., Corrado A.; OPTIMO/AIPO Study Group. Withdrawal o</w:t>
      </w:r>
      <w:r>
        <w:rPr>
          <w:rFonts w:ascii="Times New Roman" w:eastAsia="Times New Roman" w:hAnsi="Times New Roman" w:cs="Times New Roman"/>
          <w:sz w:val="24"/>
        </w:rPr>
        <w:t>f inhaled corticosteroids can be safe in COPD patients at low risk of exacerbation: a real-life study on the appropriateness of treatment in moderate COPD patients (OPTIMO). Respir Res. 2014; 15:77. 133. Magnussen H., Disse B., Rodriguez-Roisin R. et al. W</w:t>
      </w:r>
      <w:r>
        <w:rPr>
          <w:rFonts w:ascii="Times New Roman" w:eastAsia="Times New Roman" w:hAnsi="Times New Roman" w:cs="Times New Roman"/>
          <w:sz w:val="24"/>
        </w:rPr>
        <w:t xml:space="preserve">ithdrawal of inhaled glucocorticoids and exacerbations of COPD. N Engl J Med 2014; 371:1285–94. </w:t>
      </w:r>
    </w:p>
    <w:p w:rsidR="003A0918" w:rsidRDefault="00D87DBB">
      <w:pPr>
        <w:numPr>
          <w:ilvl w:val="0"/>
          <w:numId w:val="40"/>
        </w:numPr>
        <w:spacing w:after="121"/>
        <w:ind w:right="414" w:hanging="708"/>
      </w:pPr>
      <w:r>
        <w:rPr>
          <w:rFonts w:ascii="Times New Roman" w:eastAsia="Times New Roman" w:hAnsi="Times New Roman" w:cs="Times New Roman"/>
          <w:sz w:val="24"/>
        </w:rPr>
        <w:t xml:space="preserve">Chapman K.R., Hurst J.R., Frent S.M. et al. Long-term Triple Therapy De-escalation to </w:t>
      </w:r>
    </w:p>
    <w:p w:rsidR="003A0918" w:rsidRDefault="00D87DBB">
      <w:pPr>
        <w:spacing w:after="28" w:line="360" w:lineRule="auto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Indacaterol/Glycopyrronium in COPD Patients (SUNSET): a Randomized, Doub</w:t>
      </w:r>
      <w:r>
        <w:rPr>
          <w:rFonts w:ascii="Times New Roman" w:eastAsia="Times New Roman" w:hAnsi="Times New Roman" w:cs="Times New Roman"/>
          <w:sz w:val="24"/>
        </w:rPr>
        <w:t xml:space="preserve">le-Blind, TripleDummy Clinical Trial. Am J Respir Crit Care Med 2018; 198:329-339.  </w:t>
      </w:r>
    </w:p>
    <w:p w:rsidR="003A0918" w:rsidRDefault="00D87DBB">
      <w:pPr>
        <w:numPr>
          <w:ilvl w:val="0"/>
          <w:numId w:val="40"/>
        </w:numPr>
        <w:spacing w:after="2" w:line="361" w:lineRule="auto"/>
        <w:ind w:right="414" w:hanging="708"/>
      </w:pPr>
      <w:r>
        <w:rPr>
          <w:rFonts w:ascii="Times New Roman" w:eastAsia="Times New Roman" w:hAnsi="Times New Roman" w:cs="Times New Roman"/>
          <w:sz w:val="24"/>
        </w:rPr>
        <w:t>Авдеев С.Н., Айсанов З.Р., Архипов В.В., Белевский А.С., Лещенко И.В., Овчаренко С.И., Шмелев Е.И., Mиравитлс М. Отмена ингаляционных глюкокортикостероидов у пациентов с х</w:t>
      </w:r>
      <w:r>
        <w:rPr>
          <w:rFonts w:ascii="Times New Roman" w:eastAsia="Times New Roman" w:hAnsi="Times New Roman" w:cs="Times New Roman"/>
          <w:sz w:val="24"/>
        </w:rPr>
        <w:t xml:space="preserve">ронической обструктивной болезнью легких. Пульмонология. 2019;29(3):334-345. 136. </w:t>
      </w:r>
      <w:r>
        <w:rPr>
          <w:rFonts w:ascii="Times New Roman" w:eastAsia="Times New Roman" w:hAnsi="Times New Roman" w:cs="Times New Roman"/>
          <w:sz w:val="24"/>
        </w:rPr>
        <w:tab/>
        <w:t>Naunheim K.S., Wood D.E., Mohsenifar Z. et al. Long-term follow-up of patients receiving lung-volume reduction surgery versus medical therapy for severe emphysema by the Nat</w:t>
      </w:r>
      <w:r>
        <w:rPr>
          <w:rFonts w:ascii="Times New Roman" w:eastAsia="Times New Roman" w:hAnsi="Times New Roman" w:cs="Times New Roman"/>
          <w:sz w:val="24"/>
        </w:rPr>
        <w:t xml:space="preserve">ional Emphysema Treatment Trial Research Group. Ann Thorac Surg 2006; 82:431-443. </w:t>
      </w:r>
    </w:p>
    <w:p w:rsidR="003A0918" w:rsidRDefault="00D87DBB">
      <w:pPr>
        <w:numPr>
          <w:ilvl w:val="0"/>
          <w:numId w:val="41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Orens J.B., Estenne M., Arcasoy S. et al. International guidelines for the selection of lung transplant candidates: 2006 update – a consensus report from the Pulmonary Scien</w:t>
      </w:r>
      <w:r>
        <w:rPr>
          <w:rFonts w:ascii="Times New Roman" w:eastAsia="Times New Roman" w:hAnsi="Times New Roman" w:cs="Times New Roman"/>
          <w:sz w:val="24"/>
        </w:rPr>
        <w:t xml:space="preserve">tific Council of the International Society for Heart and Lung Transplantation. J Heart Lung Transplant 2006; 25:745-755. </w:t>
      </w:r>
    </w:p>
    <w:p w:rsidR="003A0918" w:rsidRDefault="00D87DBB">
      <w:pPr>
        <w:numPr>
          <w:ilvl w:val="0"/>
          <w:numId w:val="41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Stoller J.K., Panos R.J., Krachman S. et al. Oxygen therapy for patients with COPD: current evidence and the long-term oxygen treatmen</w:t>
      </w:r>
      <w:r>
        <w:rPr>
          <w:rFonts w:ascii="Times New Roman" w:eastAsia="Times New Roman" w:hAnsi="Times New Roman" w:cs="Times New Roman"/>
          <w:sz w:val="24"/>
        </w:rPr>
        <w:t xml:space="preserve">t trial. Chest 2010; 138:179-87. </w:t>
      </w:r>
    </w:p>
    <w:p w:rsidR="003A0918" w:rsidRDefault="00D87DBB">
      <w:pPr>
        <w:numPr>
          <w:ilvl w:val="0"/>
          <w:numId w:val="41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Sculley, J. A., Corbridge, S. J., Prieto-Centurion, et al. Home Oxygen Therapy for Patients With COPD: Time for a Reboot. Respiratory Care, 2019; 64(12): 1574–1585. </w:t>
      </w:r>
    </w:p>
    <w:p w:rsidR="003A0918" w:rsidRDefault="00D87DBB">
      <w:pPr>
        <w:numPr>
          <w:ilvl w:val="0"/>
          <w:numId w:val="41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Ergan, B., Nava, S.  Long-Term Oxygen Therapy in COPD Pa</w:t>
      </w:r>
      <w:r>
        <w:rPr>
          <w:rFonts w:ascii="Times New Roman" w:eastAsia="Times New Roman" w:hAnsi="Times New Roman" w:cs="Times New Roman"/>
          <w:sz w:val="24"/>
        </w:rPr>
        <w:t xml:space="preserve">tients Who Do Not Meet the Actual Recommendations. COPD: Journal of Chronic Obstructive Pulmonary Disease, 2017; 14(3):351–366. </w:t>
      </w:r>
    </w:p>
    <w:p w:rsidR="003A0918" w:rsidRDefault="00D87DBB">
      <w:pPr>
        <w:numPr>
          <w:ilvl w:val="0"/>
          <w:numId w:val="41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Jacobs, S. S., Krishnan, J. A., Lederer, D. J., et al. Home Oxygen Therapy for Adults with Chronic Lung Disease. An Official Am</w:t>
      </w:r>
      <w:r>
        <w:rPr>
          <w:rFonts w:ascii="Times New Roman" w:eastAsia="Times New Roman" w:hAnsi="Times New Roman" w:cs="Times New Roman"/>
          <w:sz w:val="24"/>
        </w:rPr>
        <w:t>erican Thoracic Society Clinical Practice Guideline. American Journal of Respiratory and Critical Care Medicine, 2020; 202(10), e121–e141 142. American Thoracic Society. Standards for the diagnosis and care of patients with chronic obstructive pulmonary di</w:t>
      </w:r>
      <w:r>
        <w:rPr>
          <w:rFonts w:ascii="Times New Roman" w:eastAsia="Times New Roman" w:hAnsi="Times New Roman" w:cs="Times New Roman"/>
          <w:sz w:val="24"/>
        </w:rPr>
        <w:t xml:space="preserve">sease. Am J Respir Crit Care Med 1995; 152: S77-S120 </w:t>
      </w:r>
    </w:p>
    <w:p w:rsidR="003A0918" w:rsidRDefault="00D87DBB">
      <w:pPr>
        <w:numPr>
          <w:ilvl w:val="0"/>
          <w:numId w:val="4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Murphy P.B., Rehal S., Arbane G. et al. Effect of home noninvasive ventilation with oxygen therapy vs oxygen therapy alone on hospital readmission or death after an acute COPD exacerbation: a randomised</w:t>
      </w:r>
      <w:r>
        <w:rPr>
          <w:rFonts w:ascii="Times New Roman" w:eastAsia="Times New Roman" w:hAnsi="Times New Roman" w:cs="Times New Roman"/>
          <w:sz w:val="24"/>
        </w:rPr>
        <w:t xml:space="preserve"> clinical trial. JAMA. 2017; 317:2177-86 </w:t>
      </w:r>
    </w:p>
    <w:p w:rsidR="003A0918" w:rsidRDefault="00D87DBB">
      <w:pPr>
        <w:numPr>
          <w:ilvl w:val="0"/>
          <w:numId w:val="4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Kohnlein T., Windish W., Kohler D. et al. Non-</w:t>
      </w:r>
      <w:r>
        <w:rPr>
          <w:rFonts w:ascii="Times New Roman" w:eastAsia="Times New Roman" w:hAnsi="Times New Roman" w:cs="Times New Roman"/>
          <w:sz w:val="24"/>
        </w:rPr>
        <w:t xml:space="preserve">invasive positive pressure ventilation for the treatment of severe stable chronic obstructive pulmonary disease: a prospective, multicenter, randomized controlled clinical trial. Lancet Respir Med 2014 Sep 2 (9): 698-705. </w:t>
      </w:r>
    </w:p>
    <w:p w:rsidR="003A0918" w:rsidRDefault="00D87DBB">
      <w:pPr>
        <w:numPr>
          <w:ilvl w:val="0"/>
          <w:numId w:val="4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Ergan, B., Oczkowski, S., Rochwer</w:t>
      </w:r>
      <w:r>
        <w:rPr>
          <w:rFonts w:ascii="Times New Roman" w:eastAsia="Times New Roman" w:hAnsi="Times New Roman" w:cs="Times New Roman"/>
          <w:sz w:val="24"/>
        </w:rPr>
        <w:t xml:space="preserve">g, B. et al. European Respiratory Society Guideline on Long-term Home Non-Invasive Ventilation for Management of Chronic Obstructive Pulmonary Disease. Eur Respir J. 2019;54(3):1901003. </w:t>
      </w:r>
    </w:p>
    <w:p w:rsidR="003A0918" w:rsidRDefault="00D87DBB">
      <w:pPr>
        <w:numPr>
          <w:ilvl w:val="0"/>
          <w:numId w:val="4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Duiverman, M. L., Vonk, J. M., Bladder, G., et al. Home initiation of</w:t>
      </w:r>
      <w:r>
        <w:rPr>
          <w:rFonts w:ascii="Times New Roman" w:eastAsia="Times New Roman" w:hAnsi="Times New Roman" w:cs="Times New Roman"/>
          <w:sz w:val="24"/>
        </w:rPr>
        <w:t xml:space="preserve"> chronic noninvasive ventilation in COPD patients with chronic hypercapnic respiratory failure: a randomised controlled trial. Thorax. 2020; 75(3):244-252. </w:t>
      </w:r>
    </w:p>
    <w:p w:rsidR="003A0918" w:rsidRDefault="00D87DBB">
      <w:pPr>
        <w:numPr>
          <w:ilvl w:val="0"/>
          <w:numId w:val="4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Murphy, P. B., &amp; Hart, N. (2018). Home Non-Invasive Ventilation for COPD: How, Who and When? Archiv</w:t>
      </w:r>
      <w:r>
        <w:rPr>
          <w:rFonts w:ascii="Times New Roman" w:eastAsia="Times New Roman" w:hAnsi="Times New Roman" w:cs="Times New Roman"/>
          <w:sz w:val="24"/>
        </w:rPr>
        <w:t xml:space="preserve">os de Bronconeumología, 2018; 54(3), 149–154. </w:t>
      </w:r>
    </w:p>
    <w:p w:rsidR="003A0918" w:rsidRDefault="00D87DBB">
      <w:pPr>
        <w:numPr>
          <w:ilvl w:val="0"/>
          <w:numId w:val="4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McEvoy R.D., Pierce R.J., Hillman D. et al. Nocturnal non-invasive nasal ventilation in stable hypercapnic COPD: a randomised controlled trial. Thorax 2009:64:561-566. </w:t>
      </w:r>
    </w:p>
    <w:p w:rsidR="003A0918" w:rsidRDefault="00D87DBB">
      <w:pPr>
        <w:numPr>
          <w:ilvl w:val="0"/>
          <w:numId w:val="4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National Clinical Guideline Centre (UK).</w:t>
      </w:r>
      <w:r>
        <w:rPr>
          <w:rFonts w:ascii="Times New Roman" w:eastAsia="Times New Roman" w:hAnsi="Times New Roman" w:cs="Times New Roman"/>
          <w:sz w:val="24"/>
        </w:rPr>
        <w:t xml:space="preserve"> Chronic Obstructive Pulmonary Disease: Management of Chronic Obstructive Pulmonary Disease in Adults in Primary and Secondary Care. London: Royal College of Physicians (UK); 2010 Jun. (NICE Clinical Guidelines, No. 101.) Available from: https://www.ncbi.n</w:t>
      </w:r>
      <w:r>
        <w:rPr>
          <w:rFonts w:ascii="Times New Roman" w:eastAsia="Times New Roman" w:hAnsi="Times New Roman" w:cs="Times New Roman"/>
          <w:sz w:val="24"/>
        </w:rPr>
        <w:t xml:space="preserve">lm.nih.gov/books/NBK65039. </w:t>
      </w:r>
    </w:p>
    <w:p w:rsidR="003A0918" w:rsidRDefault="00D87DBB">
      <w:pPr>
        <w:numPr>
          <w:ilvl w:val="0"/>
          <w:numId w:val="4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Higgings B.G., Powell R.M., Cooper S., Tattersfield A.E. Effect of salbutamol and ipratropium bromide on airway calibre and bronchial reactivity in asthma and chronic bronchitis. Eur Respir J 1991; 4:415–420.  </w:t>
      </w:r>
    </w:p>
    <w:p w:rsidR="003A0918" w:rsidRDefault="00D87DBB">
      <w:pPr>
        <w:numPr>
          <w:ilvl w:val="0"/>
          <w:numId w:val="4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O’Driscoll B.R., </w:t>
      </w:r>
      <w:r>
        <w:rPr>
          <w:rFonts w:ascii="Times New Roman" w:eastAsia="Times New Roman" w:hAnsi="Times New Roman" w:cs="Times New Roman"/>
          <w:sz w:val="24"/>
        </w:rPr>
        <w:t xml:space="preserve">Kay E.A., Taylor R.J. et al. A long-term prospective assessment of home nebulizer treatment. Respir Med 1992; 86:317–325.  </w:t>
      </w:r>
    </w:p>
    <w:p w:rsidR="003A0918" w:rsidRDefault="00D87DBB">
      <w:pPr>
        <w:numPr>
          <w:ilvl w:val="0"/>
          <w:numId w:val="4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Davies L., Angus R.M., Calverley P.M. Oral corticosteroids in patients admitted to hospital with exacerbations of chronic obstructiv</w:t>
      </w:r>
      <w:r>
        <w:rPr>
          <w:rFonts w:ascii="Times New Roman" w:eastAsia="Times New Roman" w:hAnsi="Times New Roman" w:cs="Times New Roman"/>
          <w:sz w:val="24"/>
        </w:rPr>
        <w:t xml:space="preserve">e pulmonary disease: a prospective randomized controlled trial. Lancet 1999;354(9177):456-460. </w:t>
      </w:r>
    </w:p>
    <w:p w:rsidR="003A0918" w:rsidRDefault="00D87DBB">
      <w:pPr>
        <w:numPr>
          <w:ilvl w:val="0"/>
          <w:numId w:val="4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Maltais F., Ostinelli J., Bourbeau J. et al. Comparison of nebulized budesonide and oral prednisolone with placebo in the treatment of acute exacerbation of chr</w:t>
      </w:r>
      <w:r>
        <w:rPr>
          <w:rFonts w:ascii="Times New Roman" w:eastAsia="Times New Roman" w:hAnsi="Times New Roman" w:cs="Times New Roman"/>
          <w:sz w:val="24"/>
        </w:rPr>
        <w:t>onic obstructive pulmonary disease: a randomized controlled trial. Am J Respir Crit Care Med 2002: 165(5):698-703 154. Bafadhel M., McKenna S., Terry S. et al. Blood eosinophils to direct corticosteroid treatment of exacerbations of chronic obstructive pul</w:t>
      </w:r>
      <w:r>
        <w:rPr>
          <w:rFonts w:ascii="Times New Roman" w:eastAsia="Times New Roman" w:hAnsi="Times New Roman" w:cs="Times New Roman"/>
          <w:sz w:val="24"/>
        </w:rPr>
        <w:t xml:space="preserve">monary disease: a randomized placebocontrolled trial. Am J Respir Crit Care Med 2012;186(1):48-55. </w:t>
      </w:r>
    </w:p>
    <w:p w:rsidR="003A0918" w:rsidRDefault="00D87DBB">
      <w:pPr>
        <w:numPr>
          <w:ilvl w:val="0"/>
          <w:numId w:val="43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Anthonisen N.R., Manfreda J., Warren C.P. et al. Antibiotic therapy in exacerbations of chronic obstructive pulmonary disease. Ann Intern Med 1987;106(2):19</w:t>
      </w:r>
      <w:r>
        <w:rPr>
          <w:rFonts w:ascii="Times New Roman" w:eastAsia="Times New Roman" w:hAnsi="Times New Roman" w:cs="Times New Roman"/>
          <w:sz w:val="24"/>
        </w:rPr>
        <w:t xml:space="preserve">6-204.    </w:t>
      </w:r>
    </w:p>
    <w:p w:rsidR="003A0918" w:rsidRDefault="00D87DBB">
      <w:pPr>
        <w:numPr>
          <w:ilvl w:val="0"/>
          <w:numId w:val="43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Miravitlles M., Kruesmann F., Haverstock D. et al. Sputum colour and bacteria in chronic bronchitis exacerbations: a pooled analysis. Eur Respir J 2012;39(6):1354-1360. </w:t>
      </w:r>
    </w:p>
    <w:p w:rsidR="003A0918" w:rsidRDefault="00D87DBB">
      <w:pPr>
        <w:numPr>
          <w:ilvl w:val="0"/>
          <w:numId w:val="43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Nouira S., Marghli S., Belghith M. et al. Once daily oral ofloxacin in chro</w:t>
      </w:r>
      <w:r>
        <w:rPr>
          <w:rFonts w:ascii="Times New Roman" w:eastAsia="Times New Roman" w:hAnsi="Times New Roman" w:cs="Times New Roman"/>
          <w:sz w:val="24"/>
        </w:rPr>
        <w:t xml:space="preserve">nic obstructive pulmonary disease exacerbation requiring mechanical ventilation: a randomised placebocontrolled trial. Lancet 2001;358(9298):2020-2025. </w:t>
      </w:r>
    </w:p>
    <w:p w:rsidR="003A0918" w:rsidRDefault="00D87DBB">
      <w:pPr>
        <w:numPr>
          <w:ilvl w:val="0"/>
          <w:numId w:val="43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Weis N., Almdal T. C-reactive protein – can it be used as a marker of infection in patients with exacer</w:t>
      </w:r>
      <w:r>
        <w:rPr>
          <w:rFonts w:ascii="Times New Roman" w:eastAsia="Times New Roman" w:hAnsi="Times New Roman" w:cs="Times New Roman"/>
          <w:sz w:val="24"/>
        </w:rPr>
        <w:t xml:space="preserve">bationof chronic obstructive pulmonary disease. Eur J Intern Med 2006; 17:88-91. 159. Dev D., Sankaran E.W.R., Cunnife J. et al. Value of C-reactive protein in exacerbation of chronic obstructive pulmonary disease. Respir Med 1998;9 2:664-667. </w:t>
      </w:r>
    </w:p>
    <w:p w:rsidR="003A0918" w:rsidRDefault="00D87DBB">
      <w:pPr>
        <w:numPr>
          <w:ilvl w:val="0"/>
          <w:numId w:val="44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Agustín Rui</w:t>
      </w:r>
      <w:r>
        <w:rPr>
          <w:rFonts w:ascii="Times New Roman" w:eastAsia="Times New Roman" w:hAnsi="Times New Roman" w:cs="Times New Roman"/>
          <w:sz w:val="24"/>
        </w:rPr>
        <w:t>z-González, Saez-Huerta E., Martinez-Alonso M., et al. A Simple Scoring System to Differentiate Bacterial from Viral Infections in Acute Exacerbations of COPD Requiring Hospitalization. International Journal of Chronic Obstructive Pulmonary Disease 2022:17</w:t>
      </w:r>
      <w:r>
        <w:rPr>
          <w:rFonts w:ascii="Times New Roman" w:eastAsia="Times New Roman" w:hAnsi="Times New Roman" w:cs="Times New Roman"/>
          <w:sz w:val="24"/>
        </w:rPr>
        <w:t xml:space="preserve"> 773–779/DOI https://doi.org/10.2147/COPD.S356950. </w:t>
      </w:r>
    </w:p>
    <w:p w:rsidR="003A0918" w:rsidRDefault="00D87DBB">
      <w:pPr>
        <w:numPr>
          <w:ilvl w:val="0"/>
          <w:numId w:val="44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Adams S., Luther M. Antibiotics are associated with lower relapse rates in outpatientswith acute exacerbations of chronic obstructive pulmonary disease. Chest 2000; 117:1345-52. </w:t>
      </w:r>
    </w:p>
    <w:p w:rsidR="003A0918" w:rsidRDefault="00D87DBB">
      <w:pPr>
        <w:numPr>
          <w:ilvl w:val="0"/>
          <w:numId w:val="44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Wise R. Treatment of Acut</w:t>
      </w:r>
      <w:r>
        <w:rPr>
          <w:rFonts w:ascii="Times New Roman" w:eastAsia="Times New Roman" w:hAnsi="Times New Roman" w:cs="Times New Roman"/>
          <w:sz w:val="24"/>
        </w:rPr>
        <w:t xml:space="preserve">e COPD Exacerbation .Last full review/revision Jun 2020. Доступно по ссылке:https://www.merckmanuals.com/professional/pulmonary-disorders/chronicobstructive-pulmonary-disease-and-related-disorders/treatment-of-acute-copd-exacerbation. 163. Miravitlles M., </w:t>
      </w:r>
      <w:r>
        <w:rPr>
          <w:rFonts w:ascii="Times New Roman" w:eastAsia="Times New Roman" w:hAnsi="Times New Roman" w:cs="Times New Roman"/>
          <w:sz w:val="24"/>
        </w:rPr>
        <w:t xml:space="preserve">Espinosa C., Fernandez-Laso E. et al. Relationship between bacterial flora in sputum and functional impairment in patients with acute exacerbations of COPD. Study Group of Bacterial Infection in COPD. Chest 1999;116(1):40-46. </w:t>
      </w:r>
    </w:p>
    <w:p w:rsidR="003A0918" w:rsidRDefault="00D87DBB">
      <w:pPr>
        <w:numPr>
          <w:ilvl w:val="0"/>
          <w:numId w:val="45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Soler N., Torres A., Ewig S. </w:t>
      </w:r>
      <w:r>
        <w:rPr>
          <w:rFonts w:ascii="Times New Roman" w:eastAsia="Times New Roman" w:hAnsi="Times New Roman" w:cs="Times New Roman"/>
          <w:sz w:val="24"/>
        </w:rPr>
        <w:t xml:space="preserve">et al. Bronchial microbial patterns in severe exacerbations of chronic obstructive pulmonary disease (COPD) requiring mechanical ventilation. Am J Respir Crit Care Med1998;157(5Pt1):1498-1505. </w:t>
      </w:r>
    </w:p>
    <w:p w:rsidR="003A0918" w:rsidRDefault="00D87DBB">
      <w:pPr>
        <w:numPr>
          <w:ilvl w:val="0"/>
          <w:numId w:val="45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Wilson R., Anzueto A., Miravitlles M., et al. Moxifloxacin ver</w:t>
      </w:r>
      <w:r>
        <w:rPr>
          <w:rFonts w:ascii="Times New Roman" w:eastAsia="Times New Roman" w:hAnsi="Times New Roman" w:cs="Times New Roman"/>
          <w:sz w:val="24"/>
        </w:rPr>
        <w:t xml:space="preserve">sus amoxicillin/clavulanic acid in outpatient acute exacerbations of COPD: MAESTRAL results.  Eur Respir J 2012; 40: 17–27. </w:t>
      </w:r>
    </w:p>
    <w:p w:rsidR="003A0918" w:rsidRDefault="00D87DBB">
      <w:pPr>
        <w:numPr>
          <w:ilvl w:val="0"/>
          <w:numId w:val="45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Austin M.A., Wills K.E., Blizzard L. et al. Effect of high flow oxygen on mortality in chronic obstructive pulmonary disease patients in prehospital setting: randomised controlled trial. </w:t>
      </w:r>
    </w:p>
    <w:p w:rsidR="003A0918" w:rsidRDefault="00D87DBB">
      <w:pPr>
        <w:spacing w:after="112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BMJ 2010;341:c 5462. </w:t>
      </w:r>
    </w:p>
    <w:p w:rsidR="003A0918" w:rsidRDefault="00D87DBB">
      <w:pPr>
        <w:numPr>
          <w:ilvl w:val="0"/>
          <w:numId w:val="45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Plant P.K., Owen J.L., Elliott M.W. Early use </w:t>
      </w:r>
      <w:r>
        <w:rPr>
          <w:rFonts w:ascii="Times New Roman" w:eastAsia="Times New Roman" w:hAnsi="Times New Roman" w:cs="Times New Roman"/>
          <w:sz w:val="24"/>
        </w:rPr>
        <w:t xml:space="preserve">of non-invasive ventilationfor acute exacerbations of chronic obstructive pulmonary disease on general respiratory wards: a multicentre randomised controlled trial. Lancet 2000;355(9219):1931-1935. </w:t>
      </w:r>
    </w:p>
    <w:p w:rsidR="003A0918" w:rsidRDefault="00D87DBB">
      <w:pPr>
        <w:numPr>
          <w:ilvl w:val="0"/>
          <w:numId w:val="45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Mehta S., Hill N.S. Noninvasive ventilation. Am J Respir </w:t>
      </w:r>
      <w:r>
        <w:rPr>
          <w:rFonts w:ascii="Times New Roman" w:eastAsia="Times New Roman" w:hAnsi="Times New Roman" w:cs="Times New Roman"/>
          <w:sz w:val="24"/>
        </w:rPr>
        <w:t xml:space="preserve">Crit Care Med 2001;163:540-577. 169. Antyn A., Guell R., Gymes J. et al. Predicting the result of noninvasive ventilation in severe acute exacerbations of patients with chronic airflow limitation. Chest 2000; 117 (3):828-833. </w:t>
      </w:r>
    </w:p>
    <w:p w:rsidR="003A0918" w:rsidRDefault="00D87DBB">
      <w:pPr>
        <w:numPr>
          <w:ilvl w:val="0"/>
          <w:numId w:val="46"/>
        </w:numPr>
        <w:spacing w:after="27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Авдеев С.Н., Чучалин А.Г. Неи</w:t>
      </w:r>
      <w:r>
        <w:rPr>
          <w:rFonts w:ascii="Times New Roman" w:eastAsia="Times New Roman" w:hAnsi="Times New Roman" w:cs="Times New Roman"/>
          <w:sz w:val="24"/>
        </w:rPr>
        <w:t xml:space="preserve">нвазивная вентиляция легких при острой дыхательной недостаточности у больных хронической обструктивной болезнью легких. Тер. архив 2000;3:59-65. </w:t>
      </w:r>
    </w:p>
    <w:p w:rsidR="003A0918" w:rsidRDefault="00D87DBB">
      <w:pPr>
        <w:numPr>
          <w:ilvl w:val="0"/>
          <w:numId w:val="46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Nava S., Hill N. Non-invasive ventilation in acute respiratory failure. Lancet 2009; 374:250-259. </w:t>
      </w:r>
    </w:p>
    <w:p w:rsidR="003A0918" w:rsidRDefault="00D87DBB">
      <w:pPr>
        <w:numPr>
          <w:ilvl w:val="0"/>
          <w:numId w:val="46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Conti G., A</w:t>
      </w:r>
      <w:r>
        <w:rPr>
          <w:rFonts w:ascii="Times New Roman" w:eastAsia="Times New Roman" w:hAnsi="Times New Roman" w:cs="Times New Roman"/>
          <w:sz w:val="24"/>
        </w:rPr>
        <w:t xml:space="preserve">ntonelli M., Navalesi P. et al. Noninvasive vs. conventional mechanical ventilationin patients with chronic obstructive pulmonary disease after failure of medical treatment in the ward: a randomised trial. Intensive Care Med 2002;28 (12):1701-1707. </w:t>
      </w:r>
    </w:p>
    <w:p w:rsidR="003A0918" w:rsidRDefault="00D87DBB">
      <w:pPr>
        <w:numPr>
          <w:ilvl w:val="0"/>
          <w:numId w:val="46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Gladwi</w:t>
      </w:r>
      <w:r>
        <w:rPr>
          <w:rFonts w:ascii="Times New Roman" w:eastAsia="Times New Roman" w:hAnsi="Times New Roman" w:cs="Times New Roman"/>
          <w:sz w:val="24"/>
        </w:rPr>
        <w:t xml:space="preserve">n M.T., Pierson D.J., Mechanical ventilation of the patient with severe chronic obstructive pulmonary disease. Intensive Care Med. 1998. V. 24. P. 898-910 </w:t>
      </w:r>
    </w:p>
    <w:p w:rsidR="003A0918" w:rsidRDefault="00D87DBB">
      <w:pPr>
        <w:numPr>
          <w:ilvl w:val="0"/>
          <w:numId w:val="46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Esteban A., Frutos F., Tobin M.J. et al. A comparison of four methods of weaning patients from mecha</w:t>
      </w:r>
      <w:r>
        <w:rPr>
          <w:rFonts w:ascii="Times New Roman" w:eastAsia="Times New Roman" w:hAnsi="Times New Roman" w:cs="Times New Roman"/>
          <w:sz w:val="24"/>
        </w:rPr>
        <w:t xml:space="preserve">nical ventilation. Spanish Lung Failure Collaborative Group. N Engl J Med 1995; 332:345-350.  </w:t>
      </w:r>
    </w:p>
    <w:p w:rsidR="003A0918" w:rsidRDefault="00D87DBB">
      <w:pPr>
        <w:numPr>
          <w:ilvl w:val="0"/>
          <w:numId w:val="46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Vargas F, Bui HN, Boyer A, et al: Intrapulmonary percussive ventilation in acute exacerbations of COPD patients with mild respiratory acidosis: A randomized cont</w:t>
      </w:r>
      <w:r>
        <w:rPr>
          <w:rFonts w:ascii="Times New Roman" w:eastAsia="Times New Roman" w:hAnsi="Times New Roman" w:cs="Times New Roman"/>
          <w:sz w:val="24"/>
        </w:rPr>
        <w:t xml:space="preserve">rolled trial. Crit Care 2005; 9:R382–R389 </w:t>
      </w:r>
    </w:p>
    <w:p w:rsidR="003A0918" w:rsidRDefault="00D87DBB">
      <w:pPr>
        <w:numPr>
          <w:ilvl w:val="0"/>
          <w:numId w:val="46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Nicolini, A., Grecchi, B., Ferrari-Bravo, M., Barlascini, C. (). Safety and effectiveness of the high-</w:t>
      </w:r>
      <w:r>
        <w:rPr>
          <w:rFonts w:ascii="Times New Roman" w:eastAsia="Times New Roman" w:hAnsi="Times New Roman" w:cs="Times New Roman"/>
          <w:sz w:val="24"/>
        </w:rPr>
        <w:t xml:space="preserve">frequency chest wall oscillation vs intrapulmonary percussive ventilation in patients with severe COPD. International Journal of Chronic Obstructive Pulmonary Disease, 2018; 13: </w:t>
      </w:r>
    </w:p>
    <w:p w:rsidR="003A0918" w:rsidRDefault="00D87DBB">
      <w:pPr>
        <w:spacing w:after="112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617–625 </w:t>
      </w:r>
    </w:p>
    <w:p w:rsidR="003A0918" w:rsidRDefault="00D87DBB">
      <w:pPr>
        <w:numPr>
          <w:ilvl w:val="0"/>
          <w:numId w:val="46"/>
        </w:numPr>
        <w:spacing w:after="26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Waschki B., Kirsten A., Holz O. et al. Physical activity is the stro</w:t>
      </w:r>
      <w:r>
        <w:rPr>
          <w:rFonts w:ascii="Times New Roman" w:eastAsia="Times New Roman" w:hAnsi="Times New Roman" w:cs="Times New Roman"/>
          <w:sz w:val="24"/>
        </w:rPr>
        <w:t>ngest predictor of allcause mortality in patients with COPD: a prospective cohort study. Chest 2011; 140:331–342. 178. Nici L., Donner C., Wouters E., et al. American Thoracic Society/European Respiratory Society statement on pulmonary rehabilitation. Am J</w:t>
      </w:r>
      <w:r>
        <w:rPr>
          <w:rFonts w:ascii="Times New Roman" w:eastAsia="Times New Roman" w:hAnsi="Times New Roman" w:cs="Times New Roman"/>
          <w:sz w:val="24"/>
        </w:rPr>
        <w:t xml:space="preserve"> Respir Crit Care Med 2006; 173:1390-413.  179. Ries A.L., Bauldoff G.S., Carlin B.W., et al. Pulmonary Rehabilitation: Joint ACCP/AACVPR Evidence-Based Clinical Practice Guidelines. Chest 2007; 131:4S-42S.  180. Puhan M.A., Gimeno-Santos E., Scharplatz M.</w:t>
      </w:r>
      <w:r>
        <w:rPr>
          <w:rFonts w:ascii="Times New Roman" w:eastAsia="Times New Roman" w:hAnsi="Times New Roman" w:cs="Times New Roman"/>
          <w:sz w:val="24"/>
        </w:rPr>
        <w:t xml:space="preserve">, et al. Pulmonary rehabilitation following exacerbations of chronic obstructive pulmonary disease. Cochrane Database Syst Rev 2011 Oct 5;(10):CD005305. </w:t>
      </w:r>
    </w:p>
    <w:p w:rsidR="003A0918" w:rsidRDefault="00D87DBB">
      <w:pPr>
        <w:numPr>
          <w:ilvl w:val="0"/>
          <w:numId w:val="47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Celli B.R. Pulmonary rehabilitation in patients with COPD. Am J Respir Crit Care Med 1995;152:861-864.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numPr>
          <w:ilvl w:val="0"/>
          <w:numId w:val="47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Troosters T., Casaburi R., Gosselink R., Decramer M. Pulmonary rehabilitation in chronic obstructive pulmonary disease. Am J Respir Crit Care Med 2005; 172:19-38.  </w:t>
      </w:r>
    </w:p>
    <w:p w:rsidR="003A0918" w:rsidRDefault="00D87DBB">
      <w:pPr>
        <w:numPr>
          <w:ilvl w:val="0"/>
          <w:numId w:val="47"/>
        </w:numPr>
        <w:spacing w:after="28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Puhan M.A., Busching G., Schunemann H.J. et al. Interval versus continuous high</w:t>
      </w:r>
      <w:r>
        <w:rPr>
          <w:rFonts w:ascii="Times New Roman" w:eastAsia="Times New Roman" w:hAnsi="Times New Roman" w:cs="Times New Roman"/>
          <w:sz w:val="24"/>
        </w:rPr>
        <w:t xml:space="preserve">intensity exercise in chronic obstructive pulmonary disease: a randomized trial. Ann Intern Med 2006;145:816-25.  </w:t>
      </w:r>
    </w:p>
    <w:p w:rsidR="003A0918" w:rsidRDefault="00D87DBB">
      <w:pPr>
        <w:numPr>
          <w:ilvl w:val="0"/>
          <w:numId w:val="47"/>
        </w:numPr>
        <w:spacing w:after="119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Mahler D.A.. Pulmonary rehabilitation. Chest 1998; 113:263S-8S. </w:t>
      </w:r>
    </w:p>
    <w:p w:rsidR="003A0918" w:rsidRDefault="00D87DBB">
      <w:pPr>
        <w:numPr>
          <w:ilvl w:val="0"/>
          <w:numId w:val="47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Belman M.J., Botnick W.C., Nathan S.D., Chon K.H. Ventilatory load character</w:t>
      </w:r>
      <w:r>
        <w:rPr>
          <w:rFonts w:ascii="Times New Roman" w:eastAsia="Times New Roman" w:hAnsi="Times New Roman" w:cs="Times New Roman"/>
          <w:sz w:val="24"/>
        </w:rPr>
        <w:t xml:space="preserve">istics during ventilatory muscle training. Am J Respir Crit Care Med 1994; 149:925-9. </w:t>
      </w:r>
    </w:p>
    <w:p w:rsidR="003A0918" w:rsidRDefault="00D87DBB">
      <w:pPr>
        <w:numPr>
          <w:ilvl w:val="0"/>
          <w:numId w:val="47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O’Brien K., Geddes E.L., Reid W.D. et al. Inspiratory muscle training compared with other rehabilitation interventions in chronic obstructive pulmonary disease: a system</w:t>
      </w:r>
      <w:r>
        <w:rPr>
          <w:rFonts w:ascii="Times New Roman" w:eastAsia="Times New Roman" w:hAnsi="Times New Roman" w:cs="Times New Roman"/>
          <w:sz w:val="24"/>
        </w:rPr>
        <w:t xml:space="preserve">atic review update. J Cardiopulm Rehabil Prev 2008;28:128-141. </w:t>
      </w:r>
    </w:p>
    <w:p w:rsidR="003A0918" w:rsidRDefault="00D87DBB">
      <w:pPr>
        <w:numPr>
          <w:ilvl w:val="0"/>
          <w:numId w:val="47"/>
        </w:numPr>
        <w:spacing w:after="5" w:line="364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Зарипова Т.Н., Сереброва М.А., Решетова Г.Г. Непрерывно-цикловая технология реабилитации больных хронической обструктивной болезнью легких на амбулаторном этапе. Вопросы курортологии, физиотер</w:t>
      </w:r>
      <w:r>
        <w:rPr>
          <w:rFonts w:ascii="Times New Roman" w:eastAsia="Times New Roman" w:hAnsi="Times New Roman" w:cs="Times New Roman"/>
          <w:sz w:val="24"/>
        </w:rPr>
        <w:t xml:space="preserve">апии и лечебной физической культуры. 2020;97(2): 12-19. https://doi.org/10.17116/kurort20209702112. </w:t>
      </w:r>
    </w:p>
    <w:p w:rsidR="003A0918" w:rsidRDefault="00D87DBB">
      <w:pPr>
        <w:numPr>
          <w:ilvl w:val="0"/>
          <w:numId w:val="47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Stewart M.A.: Effective ph Heffner J.E., Fahy B., Hilling L., Barbieri C.: Outcomes of advance directive education of pulmonary rehabilitation patients. Am</w:t>
      </w:r>
      <w:r>
        <w:rPr>
          <w:rFonts w:ascii="Times New Roman" w:eastAsia="Times New Roman" w:hAnsi="Times New Roman" w:cs="Times New Roman"/>
          <w:sz w:val="24"/>
        </w:rPr>
        <w:t xml:space="preserve"> J Respir Crit Care Med 1997; 155:1055–1059.  </w:t>
      </w:r>
    </w:p>
    <w:p w:rsidR="003A0918" w:rsidRDefault="00D87DBB">
      <w:pPr>
        <w:numPr>
          <w:ilvl w:val="0"/>
          <w:numId w:val="47"/>
        </w:numPr>
        <w:spacing w:after="4" w:line="360" w:lineRule="auto"/>
        <w:ind w:right="563" w:hanging="708"/>
        <w:jc w:val="both"/>
      </w:pPr>
      <w:r>
        <w:rPr>
          <w:rFonts w:ascii="Times New Roman" w:eastAsia="Times New Roman" w:hAnsi="Times New Roman" w:cs="Times New Roman"/>
          <w:sz w:val="24"/>
        </w:rPr>
        <w:t>Zwerink M., Brusse-Keizer M., van der Valk P.D. et al. Self management for patients with chronic obstructive pulmonary disease. Cochrane Database Syst Rev 2014; 3(3):CD002990  190. Bischoff E.W., Hamd D.H., Se</w:t>
      </w:r>
      <w:r>
        <w:rPr>
          <w:rFonts w:ascii="Times New Roman" w:eastAsia="Times New Roman" w:hAnsi="Times New Roman" w:cs="Times New Roman"/>
          <w:sz w:val="24"/>
        </w:rPr>
        <w:t xml:space="preserve">deno M. et al. Effects of written action plan adherence on COPD exacerbation recovery. Thorax 2011; 66:26–31.  </w:t>
      </w:r>
    </w:p>
    <w:p w:rsidR="003A0918" w:rsidRDefault="00D87DBB">
      <w:pPr>
        <w:numPr>
          <w:ilvl w:val="0"/>
          <w:numId w:val="48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Van Eerd E.A., van der Meer R.M., van Schayk O.C., Kotz D. Smoking cessation for people with chronic obstructive pulmonary disease. Cochrane Dat</w:t>
      </w:r>
      <w:r>
        <w:rPr>
          <w:rFonts w:ascii="Times New Roman" w:eastAsia="Times New Roman" w:hAnsi="Times New Roman" w:cs="Times New Roman"/>
          <w:sz w:val="24"/>
        </w:rPr>
        <w:t xml:space="preserve">abase Syst Rev 2016; (8):CD010744 </w:t>
      </w:r>
    </w:p>
    <w:p w:rsidR="003A0918" w:rsidRDefault="00D87DBB">
      <w:pPr>
        <w:numPr>
          <w:ilvl w:val="0"/>
          <w:numId w:val="48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Romieu I., Riojas-Rodriguez H., Marron-Mares A.T. et al. Improved biomass stove intervention in rural Mexico: impact on the respiratory health of women. Am J Respir Crit Care Med 2009; 180:649-656. </w:t>
      </w:r>
    </w:p>
    <w:p w:rsidR="003A0918" w:rsidRDefault="00D87DBB">
      <w:pPr>
        <w:numPr>
          <w:ilvl w:val="0"/>
          <w:numId w:val="48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Mathew T., Kaur A., Ro</w:t>
      </w:r>
      <w:r>
        <w:rPr>
          <w:rFonts w:ascii="Times New Roman" w:eastAsia="Times New Roman" w:hAnsi="Times New Roman" w:cs="Times New Roman"/>
          <w:sz w:val="24"/>
        </w:rPr>
        <w:t xml:space="preserve">ss J. et al. For patients with COPD, does pneumococcal vaccination reduce the incidence of pneumococcal pneumonia? Evidence-Based Practice 2018; 21(1): E15. </w:t>
      </w:r>
    </w:p>
    <w:p w:rsidR="003A0918" w:rsidRDefault="00D87DBB">
      <w:pPr>
        <w:numPr>
          <w:ilvl w:val="0"/>
          <w:numId w:val="48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Sandelowsky H, Natalishvili N, Krakau I. et al. COPD management by Swedish general practitioners -</w:t>
      </w:r>
      <w:r>
        <w:rPr>
          <w:rFonts w:ascii="Times New Roman" w:eastAsia="Times New Roman" w:hAnsi="Times New Roman" w:cs="Times New Roman"/>
          <w:sz w:val="24"/>
        </w:rPr>
        <w:t xml:space="preserve"> baseline results of the PRIMAIR study. Scand J Prim Health Care. 2018 Mar;36(1):5-13.  </w:t>
      </w:r>
    </w:p>
    <w:p w:rsidR="003A0918" w:rsidRDefault="00D87DBB">
      <w:pPr>
        <w:numPr>
          <w:ilvl w:val="0"/>
          <w:numId w:val="48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Jochmann A, Neubauer F, Miedinger D, Schafroth S, Tamm M, Leuppi JD. General practitioner's adherence to the COPD GOLD guidelines: baseline data of the Swiss COPD Coho</w:t>
      </w:r>
      <w:r>
        <w:rPr>
          <w:rFonts w:ascii="Times New Roman" w:eastAsia="Times New Roman" w:hAnsi="Times New Roman" w:cs="Times New Roman"/>
          <w:sz w:val="24"/>
        </w:rPr>
        <w:t xml:space="preserve">rt Study. Swiss Med Wkly. 2010. 9;140:10.4414/smw.2010.13053.  </w:t>
      </w:r>
    </w:p>
    <w:p w:rsidR="003A0918" w:rsidRDefault="00D87DBB">
      <w:pPr>
        <w:numPr>
          <w:ilvl w:val="0"/>
          <w:numId w:val="48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Ragaišienė, G., Kibarskytė, R., Gauronskaitė, R. et al. Diagnosing COPD in primary care: what has real life practice got to do with guidelines? Multidiscip Respir Med 2019; 14, 28  </w:t>
      </w:r>
    </w:p>
    <w:p w:rsidR="003A0918" w:rsidRDefault="00D87DBB">
      <w:pPr>
        <w:numPr>
          <w:ilvl w:val="0"/>
          <w:numId w:val="48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Matsunaga </w:t>
      </w:r>
      <w:r>
        <w:rPr>
          <w:rFonts w:ascii="Times New Roman" w:eastAsia="Times New Roman" w:hAnsi="Times New Roman" w:cs="Times New Roman"/>
          <w:sz w:val="24"/>
        </w:rPr>
        <w:t xml:space="preserve">K, Oishi K, Miravitlles M, Anzueto A. Time To Revise COPD Treatment Algorithm. Int J Chron Obstruct Pulmon Dis. 2019;14:2229-2234.  </w:t>
      </w:r>
    </w:p>
    <w:p w:rsidR="003A0918" w:rsidRDefault="00D87DBB">
      <w:pPr>
        <w:numPr>
          <w:ilvl w:val="0"/>
          <w:numId w:val="48"/>
        </w:numPr>
        <w:spacing w:after="5" w:line="364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Организация и проведение обучения больных хронической обструктивной болезнью легких. Метод. Рекомендации. А. С. Белевский. </w:t>
      </w:r>
      <w:r>
        <w:rPr>
          <w:rFonts w:ascii="Times New Roman" w:eastAsia="Times New Roman" w:hAnsi="Times New Roman" w:cs="Times New Roman"/>
          <w:sz w:val="24"/>
        </w:rPr>
        <w:t xml:space="preserve">Атмосфера, 2003 </w:t>
      </w:r>
    </w:p>
    <w:p w:rsidR="003A0918" w:rsidRDefault="00D87DBB">
      <w:pPr>
        <w:numPr>
          <w:ilvl w:val="0"/>
          <w:numId w:val="48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Schermer T, Smeenk F, van Weel C. Referral and consultation in asthma and COPD: an exploration of pulmonologists' views. Neth J Med. 2003;61(3):71-81. PMID: 12765227 200. </w:t>
      </w:r>
      <w:r>
        <w:rPr>
          <w:rFonts w:ascii="Times New Roman" w:eastAsia="Times New Roman" w:hAnsi="Times New Roman" w:cs="Times New Roman"/>
          <w:sz w:val="24"/>
        </w:rPr>
        <w:t xml:space="preserve">Oliveira AS, Munhá J, Bugalho A. et al. GI DPOC Grupo de Interesse na Doenca Pulmonar Obstrutiva Cronica. Identification and assessment of COPD exacerbations. Pulmonology. </w:t>
      </w:r>
    </w:p>
    <w:p w:rsidR="003A0918" w:rsidRDefault="00D87DBB">
      <w:pPr>
        <w:spacing w:after="112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2017; 24:S2173-5115(17)30165-3. </w:t>
      </w:r>
    </w:p>
    <w:p w:rsidR="003A0918" w:rsidRDefault="00D87DBB">
      <w:pPr>
        <w:numPr>
          <w:ilvl w:val="0"/>
          <w:numId w:val="49"/>
        </w:numPr>
        <w:spacing w:after="4" w:line="360" w:lineRule="auto"/>
        <w:ind w:right="56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Walters J. A. E. et al. Pneumococcal vaccines for </w:t>
      </w:r>
      <w:r>
        <w:rPr>
          <w:rFonts w:ascii="Times New Roman" w:eastAsia="Times New Roman" w:hAnsi="Times New Roman" w:cs="Times New Roman"/>
          <w:sz w:val="24"/>
        </w:rPr>
        <w:t xml:space="preserve">preventing pneumonia in chronic obstructive pulmonary disease. Cochrane Database of Systematic Reviews. 2017:1. </w:t>
      </w:r>
    </w:p>
    <w:p w:rsidR="003A0918" w:rsidRDefault="00D87DBB">
      <w:pPr>
        <w:numPr>
          <w:ilvl w:val="0"/>
          <w:numId w:val="49"/>
        </w:numPr>
        <w:spacing w:after="5" w:line="364" w:lineRule="auto"/>
        <w:ind w:right="561" w:hanging="10"/>
        <w:jc w:val="both"/>
      </w:pPr>
      <w:r>
        <w:rPr>
          <w:rFonts w:ascii="Times New Roman" w:eastAsia="Times New Roman" w:hAnsi="Times New Roman" w:cs="Times New Roman"/>
          <w:sz w:val="24"/>
        </w:rPr>
        <w:t>Авдеев С. Н. Длительная кислородотерапия при хронической дыхательной недостаточности. М.: ФГУ «НИИ Пульмонологии ФМБА» России, 2011. 22 с /Avde</w:t>
      </w:r>
      <w:r>
        <w:rPr>
          <w:rFonts w:ascii="Times New Roman" w:eastAsia="Times New Roman" w:hAnsi="Times New Roman" w:cs="Times New Roman"/>
          <w:sz w:val="24"/>
        </w:rPr>
        <w:t xml:space="preserve">ev SN. – 2011. 203. Авдеев С.Н. Неинвазивная вентиляция легких у пациентов с хронической обструктивной болезнью легких в стационаре и домашних условиях. Пульмонология. </w:t>
      </w:r>
    </w:p>
    <w:p w:rsidR="003A0918" w:rsidRDefault="00D87DBB">
      <w:pPr>
        <w:spacing w:after="115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2017;27(2):232-249. https://doi.org/10.18093/0869-0189-2017-27-2-232-249 </w:t>
      </w:r>
    </w:p>
    <w:p w:rsidR="003A0918" w:rsidRDefault="00D87DBB">
      <w:pPr>
        <w:numPr>
          <w:ilvl w:val="0"/>
          <w:numId w:val="50"/>
        </w:numPr>
        <w:spacing w:after="5" w:line="364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Авдеев С.Н. О</w:t>
      </w:r>
      <w:r>
        <w:rPr>
          <w:rFonts w:ascii="Times New Roman" w:eastAsia="Times New Roman" w:hAnsi="Times New Roman" w:cs="Times New Roman"/>
          <w:sz w:val="24"/>
        </w:rPr>
        <w:t xml:space="preserve">бострения хронической обструктивной болезни легких: выбор антибактериальной терапии. Пульмонология. 2014;(6):65-72. https://doi.org/10.18093/0869-01892014-0-6-65-72 </w:t>
      </w:r>
    </w:p>
    <w:p w:rsidR="003A0918" w:rsidRDefault="00D87DBB">
      <w:pPr>
        <w:numPr>
          <w:ilvl w:val="0"/>
          <w:numId w:val="50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Yoon HI, Lee CH, Kim DK, et al. Efficacy of levofloxacin versus cefuroxime in treating acu</w:t>
      </w:r>
      <w:r>
        <w:rPr>
          <w:rFonts w:ascii="Times New Roman" w:eastAsia="Times New Roman" w:hAnsi="Times New Roman" w:cs="Times New Roman"/>
          <w:sz w:val="24"/>
        </w:rPr>
        <w:t xml:space="preserve">te exacerbations of chronic obstructive pulmonary disease. Int J Chron Obstruct Pulmon Dis. 2013; 8:329-334. doi:10.2147/COPD.S41749 </w:t>
      </w:r>
    </w:p>
    <w:p w:rsidR="003A0918" w:rsidRDefault="00D87DBB">
      <w:pPr>
        <w:numPr>
          <w:ilvl w:val="0"/>
          <w:numId w:val="50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Авдеев С.Н., Гусева Н.А., Нуралиева Г.С. Эффективность метода высокочастотных колебаний грудной стенки при обострении хрон</w:t>
      </w:r>
      <w:r>
        <w:rPr>
          <w:rFonts w:ascii="Times New Roman" w:eastAsia="Times New Roman" w:hAnsi="Times New Roman" w:cs="Times New Roman"/>
          <w:sz w:val="24"/>
        </w:rPr>
        <w:t xml:space="preserve">ической обструктивной болезни легких. Пульмонология. 2016;26(4):466-472. https://doi.org/10.18093/0869-0189-2016-26-4-466-472 207. Zeng Z, Yang D, Huang X, Xiao Z. Effect of carbocisteine on patients with COPD: a systematic review and meta-analysis. Int J </w:t>
      </w:r>
      <w:r>
        <w:rPr>
          <w:rFonts w:ascii="Times New Roman" w:eastAsia="Times New Roman" w:hAnsi="Times New Roman" w:cs="Times New Roman"/>
          <w:sz w:val="24"/>
        </w:rPr>
        <w:t xml:space="preserve">Chron Obstruct Pulmon Dis. 2017; 12:2277-2283. Published 2017 Aug 2. doi:10.2147/COPD.S140603. </w:t>
      </w:r>
    </w:p>
    <w:p w:rsidR="003A0918" w:rsidRDefault="00D87DBB">
      <w:pPr>
        <w:numPr>
          <w:ilvl w:val="0"/>
          <w:numId w:val="51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color w:val="212121"/>
          <w:sz w:val="24"/>
        </w:rPr>
        <w:t xml:space="preserve">Cazzola M, Rogliani P, Laitano R, </w:t>
      </w:r>
      <w:r>
        <w:rPr>
          <w:rFonts w:ascii="Times New Roman" w:eastAsia="Times New Roman" w:hAnsi="Times New Roman" w:cs="Times New Roman"/>
          <w:sz w:val="24"/>
        </w:rPr>
        <w:t>et al. Beyond Dual Bronchodilation – Triple Therapy, When and Why. International Journal of Chronic Obstructive Pulmonary Dise</w:t>
      </w:r>
      <w:r>
        <w:rPr>
          <w:rFonts w:ascii="Times New Roman" w:eastAsia="Times New Roman" w:hAnsi="Times New Roman" w:cs="Times New Roman"/>
          <w:sz w:val="24"/>
        </w:rPr>
        <w:t xml:space="preserve">ase 2022:17 165– 180.  </w:t>
      </w:r>
    </w:p>
    <w:p w:rsidR="003A0918" w:rsidRDefault="00D87DBB">
      <w:pPr>
        <w:numPr>
          <w:ilvl w:val="0"/>
          <w:numId w:val="51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Dal Negro R, Wedzicha J, Iversen M, et al. Effect of erdosteine on the rate and duration of COPD exacerbations: the RESTORE study. Eur Respir J. 2017;12; 50(4). </w:t>
      </w:r>
    </w:p>
    <w:p w:rsidR="003A0918" w:rsidRDefault="00D87DBB">
      <w:pPr>
        <w:numPr>
          <w:ilvl w:val="0"/>
          <w:numId w:val="51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Seral C., Suárez L., Rubio-Calvo C. </w:t>
      </w:r>
      <w:r>
        <w:rPr>
          <w:rFonts w:ascii="Times New Roman" w:eastAsia="Times New Roman" w:hAnsi="Times New Roman" w:cs="Times New Roman"/>
          <w:sz w:val="24"/>
        </w:rPr>
        <w:t>In vitro activity of cefditoren and other antimicrobial agents against 288 Streptococcus</w:t>
      </w:r>
      <w:r>
        <w:rPr>
          <w:rFonts w:ascii="Times New Roman" w:eastAsia="Times New Roman" w:hAnsi="Times New Roman" w:cs="Times New Roman"/>
          <w:i/>
          <w:sz w:val="24"/>
        </w:rPr>
        <w:t xml:space="preserve"> pneumoniae</w:t>
      </w:r>
      <w:r>
        <w:rPr>
          <w:rFonts w:ascii="Times New Roman" w:eastAsia="Times New Roman" w:hAnsi="Times New Roman" w:cs="Times New Roman"/>
          <w:sz w:val="24"/>
        </w:rPr>
        <w:t xml:space="preserve"> and 220 </w:t>
      </w:r>
      <w:r>
        <w:rPr>
          <w:rFonts w:ascii="Times New Roman" w:eastAsia="Times New Roman" w:hAnsi="Times New Roman" w:cs="Times New Roman"/>
          <w:i/>
          <w:sz w:val="24"/>
        </w:rPr>
        <w:t xml:space="preserve">Haemophilus influenzae </w:t>
      </w:r>
      <w:r>
        <w:rPr>
          <w:rFonts w:ascii="Times New Roman" w:eastAsia="Times New Roman" w:hAnsi="Times New Roman" w:cs="Times New Roman"/>
          <w:sz w:val="24"/>
        </w:rPr>
        <w:t xml:space="preserve">clinical strains isolated in Zaragoza, Spain. Diagnostic Microbiology and Infectious Disease 2008, 62: 210-215. </w:t>
      </w:r>
      <w:hyperlink r:id="rId17">
        <w:r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https://doi.org/10.1016/j.diagmicrobio.2008.06.007</w:t>
        </w:r>
      </w:hyperlink>
      <w:hyperlink r:id="rId18">
        <w:r>
          <w:rPr>
            <w:rFonts w:ascii="Times New Roman" w:eastAsia="Times New Roman" w:hAnsi="Times New Roman" w:cs="Times New Roman"/>
            <w:sz w:val="24"/>
          </w:rPr>
          <w:t>.</w:t>
        </w:r>
      </w:hyperlink>
      <w:r>
        <w:rPr>
          <w:rFonts w:ascii="Times New Roman" w:eastAsia="Times New Roman" w:hAnsi="Times New Roman" w:cs="Times New Roman"/>
          <w:sz w:val="24"/>
        </w:rPr>
        <w:t xml:space="preserve">  </w:t>
      </w:r>
    </w:p>
    <w:p w:rsidR="003A0918" w:rsidRDefault="00D87DBB">
      <w:pPr>
        <w:spacing w:after="4" w:line="360" w:lineRule="auto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211.Blasi et al, Cefditoren versus levofloxacin in patients with exacerbations of chronic bronchitis: serum inflammatory biomarkers, clinical efficacy, and microbiological eradication. Therapeutics and Clinical Risk Management 2013; 9: 55–64. </w:t>
      </w:r>
    </w:p>
    <w:p w:rsidR="003A0918" w:rsidRDefault="00D87DBB">
      <w:pPr>
        <w:numPr>
          <w:ilvl w:val="0"/>
          <w:numId w:val="5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Miyazaki, Ta</w:t>
      </w:r>
      <w:r>
        <w:rPr>
          <w:rFonts w:ascii="Times New Roman" w:eastAsia="Times New Roman" w:hAnsi="Times New Roman" w:cs="Times New Roman"/>
          <w:sz w:val="24"/>
        </w:rPr>
        <w:t xml:space="preserve">iga et al. Efficacy and safety of cefditoren pivoxil for exacerbations of chronic obstructive pulmonary disease: A prospective multicenter interventional study. Journal of Infection and Chemotherapy 2019; Volume 25 (9), 702–707.  </w:t>
      </w:r>
    </w:p>
    <w:p w:rsidR="003A0918" w:rsidRDefault="00D87DBB">
      <w:pPr>
        <w:numPr>
          <w:ilvl w:val="0"/>
          <w:numId w:val="5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AlvarezSala J.L., et al. </w:t>
      </w:r>
      <w:r>
        <w:rPr>
          <w:rFonts w:ascii="Times New Roman" w:eastAsia="Times New Roman" w:hAnsi="Times New Roman" w:cs="Times New Roman"/>
          <w:sz w:val="24"/>
        </w:rPr>
        <w:t xml:space="preserve">Clinical and bacteriological efficacy in treatment of acute exacerbations of chronic bronchitis with cefditorenpivoxil versus cefuroximeaxetil. Antimicrob. Agents Chemother. 2006; 50(5): 1762-7.  </w:t>
      </w:r>
    </w:p>
    <w:p w:rsidR="003A0918" w:rsidRDefault="00D87DBB">
      <w:pPr>
        <w:numPr>
          <w:ilvl w:val="0"/>
          <w:numId w:val="5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Giménez M,  Aguilar L, José Granizo J. Revisiting cefditore</w:t>
      </w:r>
      <w:r>
        <w:rPr>
          <w:rFonts w:ascii="Times New Roman" w:eastAsia="Times New Roman" w:hAnsi="Times New Roman" w:cs="Times New Roman"/>
          <w:sz w:val="24"/>
        </w:rPr>
        <w:t xml:space="preserve">n for the treatment of community-acquired infections caused by human-adapted respiratory pathogens in adults/ </w:t>
      </w:r>
      <w:r>
        <w:rPr>
          <w:rFonts w:ascii="Times New Roman" w:eastAsia="Times New Roman" w:hAnsi="Times New Roman" w:cs="Times New Roman"/>
          <w:color w:val="111111"/>
          <w:sz w:val="24"/>
        </w:rPr>
        <w:t xml:space="preserve">Multidisciplinary Respiratory Medicine (2018) 13: 40 </w:t>
      </w:r>
      <w:hyperlink r:id="rId19">
        <w:r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https://doi.org/10.1186/s40248</w:t>
        </w:r>
      </w:hyperlink>
      <w:hyperlink r:id="rId20">
        <w:r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-</w:t>
        </w:r>
      </w:hyperlink>
      <w:hyperlink r:id="rId21">
        <w:r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018</w:t>
        </w:r>
      </w:hyperlink>
      <w:hyperlink r:id="rId22">
        <w:r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-</w:t>
        </w:r>
      </w:hyperlink>
      <w:hyperlink r:id="rId23">
        <w:r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0152</w:t>
        </w:r>
      </w:hyperlink>
      <w:hyperlink r:id="rId24">
        <w:r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-</w:t>
        </w:r>
      </w:hyperlink>
      <w:hyperlink r:id="rId25">
        <w:r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5</w:t>
        </w:r>
      </w:hyperlink>
      <w:hyperlink r:id="rId26">
        <w:r>
          <w:rPr>
            <w:rFonts w:ascii="Times New Roman" w:eastAsia="Times New Roman" w:hAnsi="Times New Roman" w:cs="Times New Roman"/>
            <w:color w:val="212121"/>
            <w:sz w:val="24"/>
          </w:rPr>
          <w:t>]</w:t>
        </w:r>
      </w:hyperlink>
      <w:r>
        <w:rPr>
          <w:rFonts w:ascii="Times New Roman" w:eastAsia="Times New Roman" w:hAnsi="Times New Roman" w:cs="Times New Roman"/>
          <w:color w:val="212121"/>
          <w:sz w:val="24"/>
        </w:rPr>
        <w:t xml:space="preserve">.  </w:t>
      </w:r>
    </w:p>
    <w:p w:rsidR="003A0918" w:rsidRDefault="00D87DBB">
      <w:pPr>
        <w:numPr>
          <w:ilvl w:val="0"/>
          <w:numId w:val="5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Llor C., Moragas A., Miravitlles M., Mesquita P., Cordoba G. Are short </w:t>
      </w:r>
      <w:r>
        <w:rPr>
          <w:rFonts w:ascii="Times New Roman" w:eastAsia="Times New Roman" w:hAnsi="Times New Roman" w:cs="Times New Roman"/>
          <w:sz w:val="24"/>
        </w:rPr>
        <w:t xml:space="preserve">courses of antibiotic therapy as effective as standard courses for COPD exacerbations? A systematic review and metaanalysis. Pulm Pharmacol Ther 2022; 72: 102111.  </w:t>
      </w:r>
    </w:p>
    <w:p w:rsidR="003A0918" w:rsidRDefault="00D87DBB">
      <w:pPr>
        <w:numPr>
          <w:ilvl w:val="0"/>
          <w:numId w:val="52"/>
        </w:numPr>
        <w:spacing w:after="5" w:line="364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Зайцев А.А., Оковитый С.В., Крюков Е.В. Кашель. Практическое пособие для врачей / Москва, 2</w:t>
      </w:r>
      <w:r>
        <w:rPr>
          <w:rFonts w:ascii="Times New Roman" w:eastAsia="Times New Roman" w:hAnsi="Times New Roman" w:cs="Times New Roman"/>
          <w:sz w:val="24"/>
        </w:rPr>
        <w:t xml:space="preserve">015. </w:t>
      </w:r>
    </w:p>
    <w:p w:rsidR="003A0918" w:rsidRDefault="00D87DBB">
      <w:pPr>
        <w:numPr>
          <w:ilvl w:val="0"/>
          <w:numId w:val="5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Li J. et al. Protective effect of a bacterial extract against acute exacerbation in patients with chronic bronchitis accompanied by chronic obstructive pulmonary disease. Chinese medical journal 2004; 117 (6): 828-834.  </w:t>
      </w:r>
    </w:p>
    <w:p w:rsidR="003A0918" w:rsidRDefault="00D87DBB">
      <w:pPr>
        <w:numPr>
          <w:ilvl w:val="0"/>
          <w:numId w:val="5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Soler M., Mütterlein R., Cozm</w:t>
      </w:r>
      <w:r>
        <w:rPr>
          <w:rFonts w:ascii="Times New Roman" w:eastAsia="Times New Roman" w:hAnsi="Times New Roman" w:cs="Times New Roman"/>
          <w:sz w:val="24"/>
        </w:rPr>
        <w:t xml:space="preserve">a G. Double-blind study of OM-85 in patients with chronic bronchitis or mild chronic obstructive pulmonary diseaseю Respiration 2007; 1: 26-32.  </w:t>
      </w:r>
    </w:p>
    <w:p w:rsidR="003A0918" w:rsidRDefault="00D87DBB">
      <w:pPr>
        <w:numPr>
          <w:ilvl w:val="0"/>
          <w:numId w:val="5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Tang H. et al. Efficacy and safety of OM-85 in patients with chronic bronchitis and/or chronic obstructive pul</w:t>
      </w:r>
      <w:r>
        <w:rPr>
          <w:rFonts w:ascii="Times New Roman" w:eastAsia="Times New Roman" w:hAnsi="Times New Roman" w:cs="Times New Roman"/>
          <w:sz w:val="24"/>
        </w:rPr>
        <w:t xml:space="preserve">monary diseaseю Lung 2015; 193: 513-519.  </w:t>
      </w:r>
    </w:p>
    <w:p w:rsidR="003A0918" w:rsidRDefault="00D87DBB">
      <w:pPr>
        <w:numPr>
          <w:ilvl w:val="0"/>
          <w:numId w:val="5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Braido F. Tarantini F, Ghiglione V., et al. Sub-lingual administration of a polyvalent mechanical bacterial lysate (PMBL) in patients with moderate, severe, or very severe chronic obstructive pulmonary disease (CO</w:t>
      </w:r>
      <w:r>
        <w:rPr>
          <w:rFonts w:ascii="Times New Roman" w:eastAsia="Times New Roman" w:hAnsi="Times New Roman" w:cs="Times New Roman"/>
          <w:sz w:val="24"/>
        </w:rPr>
        <w:t xml:space="preserve">PD) according to the GOLD spirometric classification: A multicentre, double-blind, randomised, controlled, phase IV study (AIACE study: Advanced Immunological Approach in COPD Exacerbation). Pulm Pharmacol Ther 2015; 33: 75-80.  </w:t>
      </w:r>
    </w:p>
    <w:p w:rsidR="003A0918" w:rsidRDefault="00D87DBB">
      <w:pPr>
        <w:numPr>
          <w:ilvl w:val="0"/>
          <w:numId w:val="52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Авдеев С.Н., Нуралиева Г.С</w:t>
      </w:r>
      <w:r>
        <w:rPr>
          <w:rFonts w:ascii="Times New Roman" w:eastAsia="Times New Roman" w:hAnsi="Times New Roman" w:cs="Times New Roman"/>
          <w:sz w:val="24"/>
        </w:rPr>
        <w:t>., Гайнитдинова В.В. и др. Клиническая эффективность механического бактериального лизата в профилактике инфекционных обострений хронической обструктивной болезни легких. Терапевтический архив. 2020; 92 (4): 57–63.  222. Cazzola M. A new bacterial lysate pr</w:t>
      </w:r>
      <w:r>
        <w:rPr>
          <w:rFonts w:ascii="Times New Roman" w:eastAsia="Times New Roman" w:hAnsi="Times New Roman" w:cs="Times New Roman"/>
          <w:sz w:val="24"/>
        </w:rPr>
        <w:t xml:space="preserve">otects by reducing infectious exacerbations in moderate to very severe COPD. A double-blind, randomized, placebo-controlled trial. Trends Med. 2006; 6 </w:t>
      </w:r>
    </w:p>
    <w:p w:rsidR="003A0918" w:rsidRDefault="00D87DBB">
      <w:pPr>
        <w:spacing w:after="115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(3):199-207. </w:t>
      </w:r>
    </w:p>
    <w:p w:rsidR="003A0918" w:rsidRDefault="00D87DBB">
      <w:pPr>
        <w:numPr>
          <w:ilvl w:val="0"/>
          <w:numId w:val="53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Huang Y., Pei Y., Qian Y. et al. A meta-analysis on the Efficacy and Safety of Bacterial L</w:t>
      </w:r>
      <w:r>
        <w:rPr>
          <w:rFonts w:ascii="Times New Roman" w:eastAsia="Times New Roman" w:hAnsi="Times New Roman" w:cs="Times New Roman"/>
          <w:sz w:val="24"/>
        </w:rPr>
        <w:t xml:space="preserve">ysates in Chronic Obstructive Pulmonary Disease. doi: 10.3389/fmed.2022.877124. </w:t>
      </w:r>
    </w:p>
    <w:p w:rsidR="003A0918" w:rsidRDefault="00D87DBB">
      <w:pPr>
        <w:numPr>
          <w:ilvl w:val="0"/>
          <w:numId w:val="53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Sin DD, Man SF. Chronic obstructive pulmonary disease as a risk factor for cardiovascular morbidity and mortality. Proc Am Thorac Soc 2005; 2: 8-11.  </w:t>
      </w:r>
    </w:p>
    <w:p w:rsidR="003A0918" w:rsidRDefault="00D87DBB">
      <w:pPr>
        <w:numPr>
          <w:ilvl w:val="0"/>
          <w:numId w:val="53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Kunisaki KM, Dransfield MT, Anderson JA, et al. Exacerbations of chronic obstructive pulmonary disease and cardiac events: a post hoc cohort analysis from the SUMMIT randomized clinical trial. Am J Respir Crit Care Med 2018;1 98: 51-57.   </w:t>
      </w:r>
    </w:p>
    <w:p w:rsidR="003A0918" w:rsidRDefault="00D87DBB">
      <w:pPr>
        <w:numPr>
          <w:ilvl w:val="0"/>
          <w:numId w:val="53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Anthonisen NR, C</w:t>
      </w:r>
      <w:r>
        <w:rPr>
          <w:rFonts w:ascii="Times New Roman" w:eastAsia="Times New Roman" w:hAnsi="Times New Roman" w:cs="Times New Roman"/>
          <w:sz w:val="24"/>
        </w:rPr>
        <w:t xml:space="preserve">onnett JE, Enright PL, Manfreda J; Lung Health Study Research Group. Hospitalizations and mor-tality in the Lung Health Study. Am J Respir Crit Care Med. 2002 Aug 1;166(3):333-9. doi: 10.1164/rccm.2110093. </w:t>
      </w:r>
    </w:p>
    <w:p w:rsidR="003A0918" w:rsidRDefault="00D87DBB">
      <w:pPr>
        <w:numPr>
          <w:ilvl w:val="0"/>
          <w:numId w:val="53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Bozkurt B, Coats AJS, Tsutsui H et al. Universal </w:t>
      </w:r>
      <w:r>
        <w:rPr>
          <w:rFonts w:ascii="Times New Roman" w:eastAsia="Times New Roman" w:hAnsi="Times New Roman" w:cs="Times New Roman"/>
          <w:sz w:val="24"/>
        </w:rPr>
        <w:t xml:space="preserve">definition and classification of heart failure. Eur J Heart Fail 2021; 23:352–380. </w:t>
      </w:r>
    </w:p>
    <w:p w:rsidR="003A0918" w:rsidRDefault="00D87DBB">
      <w:pPr>
        <w:numPr>
          <w:ilvl w:val="0"/>
          <w:numId w:val="53"/>
        </w:numPr>
        <w:spacing w:after="5" w:line="364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Малявин А.Г., Мартынов А.И., Адашева Т.В., Бабак С.Л.Диагностика и лечение пациентов с хронической обструктивной болезнью легких и хронической сердечной недостаточностью. К</w:t>
      </w:r>
      <w:r>
        <w:rPr>
          <w:rFonts w:ascii="Times New Roman" w:eastAsia="Times New Roman" w:hAnsi="Times New Roman" w:cs="Times New Roman"/>
          <w:sz w:val="24"/>
        </w:rPr>
        <w:t xml:space="preserve">линические рекомендации. Терапия 2019; 5(31) Приложение:59-100/ </w:t>
      </w:r>
    </w:p>
    <w:p w:rsidR="003A0918" w:rsidRDefault="00D87DBB">
      <w:pPr>
        <w:numPr>
          <w:ilvl w:val="0"/>
          <w:numId w:val="53"/>
        </w:numPr>
        <w:spacing w:after="4" w:line="360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Miravitlles M., Anzueto A. Antibiotics for acute and chronic respiratory infection in patients with chronic obstructive pulmonary disease. Am J Respir Crit Care Med. 2013; 188(9): 10521057. D</w:t>
      </w:r>
      <w:r>
        <w:rPr>
          <w:rFonts w:ascii="Times New Roman" w:eastAsia="Times New Roman" w:hAnsi="Times New Roman" w:cs="Times New Roman"/>
          <w:sz w:val="24"/>
        </w:rPr>
        <w:t xml:space="preserve">OI: 10.1164/rccm.201302-0289PP. </w:t>
      </w:r>
    </w:p>
    <w:p w:rsidR="003A0918" w:rsidRDefault="00D87DBB">
      <w:pPr>
        <w:numPr>
          <w:ilvl w:val="0"/>
          <w:numId w:val="53"/>
        </w:numPr>
        <w:spacing w:after="5" w:line="364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Авдеев С.Н., Лещенко И.В. Айсанов З.Р. Новая концепция и алгоритм ведения больных с хроничексой обструктивной болезнью легких. Пульмонология 2023; 5: 587-594. 231</w:t>
      </w:r>
      <w:r>
        <w:rPr>
          <w:rFonts w:ascii="Times New Roman" w:eastAsia="Times New Roman" w:hAnsi="Times New Roman" w:cs="Times New Roman"/>
          <w:sz w:val="24"/>
        </w:rPr>
        <w:t xml:space="preserve">. Приказ МЗ РФ от 15 марта 2022 г. № 165н «Об утверждении порядка проведения диспансерного наблюдения за взрослыми».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pStyle w:val="Heading1"/>
        <w:ind w:left="870" w:right="135"/>
      </w:pPr>
      <w:r>
        <w:t>Приложение</w:t>
      </w:r>
      <w:r>
        <w:t xml:space="preserve"> </w:t>
      </w:r>
      <w:r>
        <w:t>А</w:t>
      </w:r>
      <w:r>
        <w:t xml:space="preserve">1. </w:t>
      </w:r>
      <w:r>
        <w:t>Состав</w:t>
      </w:r>
      <w:r>
        <w:t xml:space="preserve"> </w:t>
      </w:r>
      <w:r>
        <w:t>рабочей</w:t>
      </w:r>
      <w:r>
        <w:t xml:space="preserve"> </w:t>
      </w:r>
      <w:r>
        <w:t>группы</w:t>
      </w:r>
      <w:r>
        <w:t xml:space="preserve"> </w:t>
      </w:r>
      <w:r>
        <w:t>по</w:t>
      </w:r>
      <w:r>
        <w:t xml:space="preserve"> </w:t>
      </w:r>
      <w:r>
        <w:t>разработке</w:t>
      </w:r>
      <w:r>
        <w:t xml:space="preserve"> </w:t>
      </w:r>
      <w:r>
        <w:t>и</w:t>
      </w:r>
      <w:r>
        <w:t xml:space="preserve">  </w:t>
      </w:r>
      <w:r>
        <w:t>пересмотру клинических рекомендаций</w:t>
      </w:r>
      <w: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tbl>
      <w:tblPr>
        <w:tblStyle w:val="TableGrid"/>
        <w:tblW w:w="9347" w:type="dxa"/>
        <w:tblInd w:w="1025" w:type="dxa"/>
        <w:tblCellMar>
          <w:top w:w="62" w:type="dxa"/>
          <w:left w:w="108" w:type="dxa"/>
          <w:bottom w:w="0" w:type="dxa"/>
          <w:right w:w="50" w:type="dxa"/>
        </w:tblCellMar>
        <w:tblLook w:val="04A0" w:firstRow="1" w:lastRow="0" w:firstColumn="1" w:lastColumn="0" w:noHBand="0" w:noVBand="1"/>
      </w:tblPr>
      <w:tblGrid>
        <w:gridCol w:w="3889"/>
        <w:gridCol w:w="5459"/>
      </w:tblGrid>
      <w:tr w:rsidR="003A0918">
        <w:trPr>
          <w:trHeight w:val="1942"/>
        </w:trPr>
        <w:tc>
          <w:tcPr>
            <w:tcW w:w="3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Авдеев Сергей Николаевич </w:t>
            </w:r>
          </w:p>
        </w:tc>
        <w:tc>
          <w:tcPr>
            <w:tcW w:w="5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</w:rPr>
              <w:t xml:space="preserve">Директор клиники 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</w:rPr>
              <w:t>пульмонологии и респираторной медицины, заведующий кафедрой пульмонологии лечебного факультета ФГАОУ ВО Первый МГМУ им. И.М. Сеченова Минздрава России (Сеченовский Университет)</w:t>
            </w:r>
            <w:r>
              <w:rPr>
                <w:rFonts w:ascii="Times New Roman" w:eastAsia="Times New Roman" w:hAnsi="Times New Roman" w:cs="Times New Roman"/>
                <w:sz w:val="24"/>
              </w:rPr>
              <w:t>, главный внештатный специалист терапевт-пульмонолог Минздрава РФ, академик РАН,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профессор, д.м.н.  </w:t>
            </w:r>
          </w:p>
        </w:tc>
      </w:tr>
      <w:tr w:rsidR="003A0918">
        <w:trPr>
          <w:trHeight w:val="838"/>
        </w:trPr>
        <w:tc>
          <w:tcPr>
            <w:tcW w:w="3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Айсанов Заурбек Рамазанович </w:t>
            </w:r>
          </w:p>
        </w:tc>
        <w:tc>
          <w:tcPr>
            <w:tcW w:w="5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Профессор кафедры пульмонологии ФУВ </w:t>
            </w:r>
            <w:r>
              <w:rPr>
                <w:rFonts w:ascii="Times New Roman" w:eastAsia="Times New Roman" w:hAnsi="Times New Roman" w:cs="Times New Roman"/>
                <w:color w:val="1A1A1A"/>
                <w:sz w:val="24"/>
              </w:rPr>
              <w:t>ФГАОУ ВО РНИМУ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им Н.И.Пирогова Минздрава России, профессор, д.м.н. </w:t>
            </w:r>
          </w:p>
        </w:tc>
      </w:tr>
      <w:tr w:rsidR="003A0918">
        <w:trPr>
          <w:trHeight w:val="908"/>
        </w:trPr>
        <w:tc>
          <w:tcPr>
            <w:tcW w:w="3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Ардашева Татьяна Владимировна </w:t>
            </w:r>
          </w:p>
        </w:tc>
        <w:tc>
          <w:tcPr>
            <w:tcW w:w="5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10" w:line="243" w:lineRule="auto"/>
            </w:pPr>
            <w:r>
              <w:rPr>
                <w:rFonts w:ascii="Times New Roman" w:eastAsia="Times New Roman" w:hAnsi="Times New Roman" w:cs="Times New Roman"/>
                <w:color w:val="1A1A1A"/>
                <w:sz w:val="24"/>
              </w:rPr>
              <w:t xml:space="preserve">Профессор кафедры терапии и профилактической медицины ФГБОУ ВО </w:t>
            </w:r>
            <w:r>
              <w:rPr>
                <w:rFonts w:ascii="Times New Roman" w:eastAsia="Times New Roman" w:hAnsi="Times New Roman" w:cs="Times New Roman"/>
                <w:sz w:val="27"/>
              </w:rPr>
              <w:t xml:space="preserve">МГМСУ им.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7"/>
              </w:rPr>
              <w:t>А.И.Евдокимова</w:t>
            </w:r>
            <w:r>
              <w:rPr>
                <w:rFonts w:ascii="Times New Roman" w:eastAsia="Times New Roman" w:hAnsi="Times New Roman" w:cs="Times New Roman"/>
                <w:color w:val="1A1A1A"/>
                <w:sz w:val="24"/>
              </w:rPr>
              <w:t xml:space="preserve">, член президиума РНМОТ </w:t>
            </w:r>
          </w:p>
        </w:tc>
      </w:tr>
      <w:tr w:rsidR="003A0918">
        <w:trPr>
          <w:trHeight w:val="1942"/>
        </w:trPr>
        <w:tc>
          <w:tcPr>
            <w:tcW w:w="3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Белевский Андрей Станиславович </w:t>
            </w:r>
          </w:p>
        </w:tc>
        <w:tc>
          <w:tcPr>
            <w:tcW w:w="5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Заведующий кафедрой пульмонологии ФУВ </w:t>
            </w:r>
            <w:r>
              <w:rPr>
                <w:rFonts w:ascii="Times New Roman" w:eastAsia="Times New Roman" w:hAnsi="Times New Roman" w:cs="Times New Roman"/>
                <w:color w:val="1A1A1A"/>
                <w:sz w:val="24"/>
              </w:rPr>
              <w:t>ФГАОУ ВО РНИМУ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им Н.И.Пирогова Минздрава России, главный внештатный специалист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пульмонолог Департамента здравоохранения Москвы, президент Российского респираторного общества, профессор, д.м.н., заслуженный врач РФ </w:t>
            </w:r>
          </w:p>
        </w:tc>
      </w:tr>
      <w:tr w:rsidR="003A0918">
        <w:trPr>
          <w:trHeight w:val="2494"/>
        </w:trPr>
        <w:tc>
          <w:tcPr>
            <w:tcW w:w="3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Демко Ирина Владимировна </w:t>
            </w:r>
          </w:p>
        </w:tc>
        <w:tc>
          <w:tcPr>
            <w:tcW w:w="5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Заведующая кафедрой внутренних болезней № 2 </w:t>
            </w:r>
          </w:p>
          <w:p w:rsidR="003A0918" w:rsidRDefault="00D87DBB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ФГБОУ ВО "КрасГМУ им. проф. В.Ф. ВойноЯсенецкого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Минздрава Росссии, главный внештатный специалист-пульмонолог и главный внештатный специалист-аллерголог Минздрава РФ по Сибирскому Федеральному округу, главный внештатный специалист пульмонолог и аллерголог МЗ Красноярского края, профессор, д.м.н., заслуж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енный врач РФ </w:t>
            </w:r>
          </w:p>
        </w:tc>
      </w:tr>
      <w:tr w:rsidR="003A0918">
        <w:trPr>
          <w:trHeight w:val="838"/>
        </w:trPr>
        <w:tc>
          <w:tcPr>
            <w:tcW w:w="3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Зайцев Андрей Алексееевич </w:t>
            </w:r>
          </w:p>
        </w:tc>
        <w:tc>
          <w:tcPr>
            <w:tcW w:w="5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Главный пульмонолог Минобороны РФ, главный пульмонолог ГВКГ имени Н.Н. Бурденко, профессор, д.м.н., заслуженный врач РФ </w:t>
            </w:r>
          </w:p>
        </w:tc>
      </w:tr>
      <w:tr w:rsidR="003A0918">
        <w:trPr>
          <w:trHeight w:val="1669"/>
        </w:trPr>
        <w:tc>
          <w:tcPr>
            <w:tcW w:w="3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Игнатова Галина Львовна </w:t>
            </w:r>
          </w:p>
        </w:tc>
        <w:tc>
          <w:tcPr>
            <w:tcW w:w="5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Заведующая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кафедрой терапии института дополнительного профессионального образования ФГБОУ ВО ЮУГМУ Минздрава России, главный внештатный специалист пульмонолог Минздрава РФ по Уральскому Федеральному округу, профессор, д.м.н. </w:t>
            </w:r>
          </w:p>
        </w:tc>
      </w:tr>
      <w:tr w:rsidR="003A0918">
        <w:trPr>
          <w:trHeight w:val="1666"/>
        </w:trPr>
        <w:tc>
          <w:tcPr>
            <w:tcW w:w="3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Лещенко Игорь Викторович </w:t>
            </w:r>
          </w:p>
        </w:tc>
        <w:tc>
          <w:tcPr>
            <w:tcW w:w="5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Профессор кафедры фтизиатрии и пульмонологии ФГБОУ ВО УГМУ Минздрава России, главный научный сотрудник Уральского НИИ фтизиопульмонологии – филиал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</w:rPr>
              <w:t xml:space="preserve"> ФГБУ «НМИЦ ФПИ» Минздрава России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, профессор, д.м.н., заслуженный врач РФ </w:t>
            </w:r>
          </w:p>
        </w:tc>
      </w:tr>
      <w:tr w:rsidR="003A0918">
        <w:trPr>
          <w:trHeight w:val="871"/>
        </w:trPr>
        <w:tc>
          <w:tcPr>
            <w:tcW w:w="3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Малявин Андрей Георгиевич </w:t>
            </w:r>
          </w:p>
        </w:tc>
        <w:tc>
          <w:tcPr>
            <w:tcW w:w="5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Професс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ор кафедры фтизиатрии и пульмонологии </w:t>
            </w:r>
            <w:r>
              <w:rPr>
                <w:rFonts w:ascii="Times New Roman" w:eastAsia="Times New Roman" w:hAnsi="Times New Roman" w:cs="Times New Roman"/>
                <w:color w:val="1A1A1A"/>
                <w:sz w:val="24"/>
              </w:rPr>
              <w:t xml:space="preserve">ФГБОУ ВО </w:t>
            </w:r>
            <w:r>
              <w:rPr>
                <w:rFonts w:ascii="Times New Roman" w:eastAsia="Times New Roman" w:hAnsi="Times New Roman" w:cs="Times New Roman"/>
                <w:sz w:val="27"/>
              </w:rPr>
              <w:t>МГМСУ им. А.И.Евдокимова</w:t>
            </w:r>
            <w:r>
              <w:rPr>
                <w:rFonts w:ascii="Times New Roman" w:eastAsia="Times New Roman" w:hAnsi="Times New Roman" w:cs="Times New Roman"/>
                <w:color w:val="1A1A1A"/>
                <w:sz w:val="24"/>
              </w:rPr>
              <w:t>, генеральный секретарь РНМОТ, д.м.н.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3A0918">
        <w:trPr>
          <w:trHeight w:val="840"/>
        </w:trPr>
        <w:tc>
          <w:tcPr>
            <w:tcW w:w="3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Невзорова Вера Афанасьевна </w:t>
            </w:r>
          </w:p>
        </w:tc>
        <w:tc>
          <w:tcPr>
            <w:tcW w:w="5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</w:rPr>
              <w:t>иректор Института терапии и инструментальной диагностики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ФГБОУ ВО Тихоокеанского ГМУ Минздрава России, 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</w:rPr>
              <w:t>профессор,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д.м.н. </w:t>
            </w:r>
          </w:p>
        </w:tc>
      </w:tr>
      <w:tr w:rsidR="003A0918">
        <w:trPr>
          <w:trHeight w:val="1114"/>
        </w:trPr>
        <w:tc>
          <w:tcPr>
            <w:tcW w:w="3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Овчаренко Светлана Ивановна </w:t>
            </w:r>
          </w:p>
        </w:tc>
        <w:tc>
          <w:tcPr>
            <w:tcW w:w="5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Профессор кафедры факультетской терапии № 1 лечебного факультета 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</w:rPr>
              <w:t xml:space="preserve">ФГАОУ ВО Первый МГМУ им. И.М. Сеченова Минздрава России,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д.м.н., заслуженный врач РФ </w:t>
            </w:r>
          </w:p>
        </w:tc>
      </w:tr>
      <w:tr w:rsidR="003A0918">
        <w:trPr>
          <w:trHeight w:val="1390"/>
        </w:trPr>
        <w:tc>
          <w:tcPr>
            <w:tcW w:w="3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Синопальников Александр  Игоревич </w:t>
            </w:r>
          </w:p>
        </w:tc>
        <w:tc>
          <w:tcPr>
            <w:tcW w:w="5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Заведующий  кафедрой пульмонологии ФГБОУ ДПО «Российская медицинская академия непрерывного профессионального образования» Минздрава России, профессор, д.м.н., заслуженный врач РФ </w:t>
            </w:r>
          </w:p>
        </w:tc>
      </w:tr>
      <w:tr w:rsidR="003A0918">
        <w:trPr>
          <w:trHeight w:val="1942"/>
        </w:trPr>
        <w:tc>
          <w:tcPr>
            <w:tcW w:w="3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1A1A1A"/>
                <w:sz w:val="24"/>
              </w:rPr>
              <w:t>Ткачева Ольга Николаевна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5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color w:val="1A1A1A"/>
                <w:sz w:val="24"/>
              </w:rPr>
              <w:t>Директор ОСП Российский геронтологический научно-</w:t>
            </w:r>
            <w:r>
              <w:rPr>
                <w:rFonts w:ascii="Times New Roman" w:eastAsia="Times New Roman" w:hAnsi="Times New Roman" w:cs="Times New Roman"/>
                <w:color w:val="1A1A1A"/>
                <w:sz w:val="24"/>
              </w:rPr>
              <w:t xml:space="preserve">клинический центр ФГАОУ ВО РНИМУ им. Н.И. Пирогова Минздрава России, главный внештатный специалист гериатр Минздрава России, президент Российской ассоциации геронтологов и гериатров,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член-корр. РАН, профессор, д.м.н. </w:t>
            </w:r>
          </w:p>
        </w:tc>
      </w:tr>
      <w:tr w:rsidR="003A0918">
        <w:trPr>
          <w:trHeight w:val="1114"/>
        </w:trPr>
        <w:tc>
          <w:tcPr>
            <w:tcW w:w="3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Шмелев Евгений Иванович </w:t>
            </w:r>
          </w:p>
        </w:tc>
        <w:tc>
          <w:tcPr>
            <w:tcW w:w="5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Заведующий отделом дифференциальной диагностики туберкулеза легких и экстракорпоральных методов лечения  в ФГБНУ «ЦНИИТ», профессор, д.м.н., заслуженный деятель науки РФ </w:t>
            </w:r>
          </w:p>
        </w:tc>
      </w:tr>
      <w:tr w:rsidR="003A0918">
        <w:trPr>
          <w:trHeight w:val="1390"/>
        </w:trPr>
        <w:tc>
          <w:tcPr>
            <w:tcW w:w="3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Чучалин Александр Григорьевич </w:t>
            </w:r>
          </w:p>
        </w:tc>
        <w:tc>
          <w:tcPr>
            <w:tcW w:w="5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Заведующий кафедрой госпитальной терапии </w:t>
            </w:r>
            <w:r>
              <w:rPr>
                <w:rFonts w:ascii="Times New Roman" w:eastAsia="Times New Roman" w:hAnsi="Times New Roman" w:cs="Times New Roman"/>
                <w:color w:val="1A1A1A"/>
                <w:sz w:val="24"/>
              </w:rPr>
              <w:t>ФГАОУ ВО РНИ</w:t>
            </w:r>
            <w:r>
              <w:rPr>
                <w:rFonts w:ascii="Times New Roman" w:eastAsia="Times New Roman" w:hAnsi="Times New Roman" w:cs="Times New Roman"/>
                <w:color w:val="1A1A1A"/>
                <w:sz w:val="24"/>
              </w:rPr>
              <w:t>МУ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им Н.И.Пирогова Минздрава Росссии, Председатель Правления Российского респираторного общества, академик РАН, профессор, д.м.н. </w:t>
            </w:r>
          </w:p>
        </w:tc>
      </w:tr>
      <w:tr w:rsidR="003A0918">
        <w:trPr>
          <w:trHeight w:val="1390"/>
        </w:trPr>
        <w:tc>
          <w:tcPr>
            <w:tcW w:w="3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Эсаулова Наталья Александровна </w:t>
            </w:r>
          </w:p>
        </w:tc>
        <w:tc>
          <w:tcPr>
            <w:tcW w:w="5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 w:line="238" w:lineRule="auto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Доцент кафедры фтизиатрии и пульмонологии ФГБОУ ВО УГМУ Минздрава России, врач</w:t>
            </w:r>
            <w:r>
              <w:rPr>
                <w:rFonts w:ascii="Times New Roman" w:eastAsia="Times New Roman" w:hAnsi="Times New Roman" w:cs="Times New Roman"/>
                <w:sz w:val="24"/>
              </w:rPr>
              <w:t>пульмонолог Уральского НИИ фтизиопульмонологии – филиал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</w:rPr>
              <w:t xml:space="preserve"> ФГБУ «НМИЦ ФПИ» Минздрава </w:t>
            </w:r>
          </w:p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</w:rPr>
              <w:t>России, к.м.н.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3A0918" w:rsidRDefault="00D87DBB">
      <w:pPr>
        <w:spacing w:after="115"/>
        <w:ind w:left="1841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5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Конфликт интересов: </w:t>
      </w:r>
    </w:p>
    <w:p w:rsidR="003A0918" w:rsidRDefault="00D87DBB">
      <w:pPr>
        <w:spacing w:after="5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Члены рабочей группы заявляют об отсутствии конфликта интересов. </w:t>
      </w:r>
    </w:p>
    <w:p w:rsidR="003A0918" w:rsidRDefault="00D87DBB">
      <w:pPr>
        <w:spacing w:after="187"/>
        <w:ind w:left="1841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644"/>
        <w:jc w:val="center"/>
      </w:pPr>
      <w:r>
        <w:rPr>
          <w:rFonts w:ascii="Times New Roman" w:eastAsia="Times New Roman" w:hAnsi="Times New Roman" w:cs="Times New Roman"/>
          <w:b/>
          <w:sz w:val="32"/>
        </w:rPr>
        <w:t xml:space="preserve"> </w:t>
      </w:r>
    </w:p>
    <w:p w:rsidR="003A0918" w:rsidRDefault="00D87DBB">
      <w:pPr>
        <w:spacing w:after="0" w:line="249" w:lineRule="auto"/>
        <w:ind w:left="870" w:right="135" w:hanging="10"/>
        <w:jc w:val="center"/>
      </w:pPr>
      <w:r>
        <w:rPr>
          <w:rFonts w:ascii="Times New Roman" w:eastAsia="Times New Roman" w:hAnsi="Times New Roman" w:cs="Times New Roman"/>
          <w:b/>
          <w:sz w:val="32"/>
        </w:rPr>
        <w:t xml:space="preserve">Приложение А2. Методология разработки клинических  </w:t>
      </w:r>
    </w:p>
    <w:p w:rsidR="003A0918" w:rsidRDefault="00D87DBB">
      <w:pPr>
        <w:pStyle w:val="Heading1"/>
        <w:ind w:left="870" w:right="135"/>
      </w:pPr>
      <w:r>
        <w:t>рекомендаций</w:t>
      </w:r>
      <w: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144"/>
        <w:ind w:left="1841"/>
      </w:pP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>Целевая аудитория данных клинических рекомендаций: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numPr>
          <w:ilvl w:val="0"/>
          <w:numId w:val="54"/>
        </w:numPr>
        <w:spacing w:after="148"/>
        <w:ind w:right="560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Врач общей практики (семейный врач); </w:t>
      </w:r>
    </w:p>
    <w:p w:rsidR="003A0918" w:rsidRDefault="00D87DBB">
      <w:pPr>
        <w:numPr>
          <w:ilvl w:val="0"/>
          <w:numId w:val="54"/>
        </w:numPr>
        <w:spacing w:after="150"/>
        <w:ind w:right="560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Врач-пульмонолог; </w:t>
      </w:r>
    </w:p>
    <w:p w:rsidR="003A0918" w:rsidRDefault="00D87DBB">
      <w:pPr>
        <w:numPr>
          <w:ilvl w:val="0"/>
          <w:numId w:val="54"/>
        </w:numPr>
        <w:spacing w:after="148"/>
        <w:ind w:right="560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Врач-терапевт; </w:t>
      </w:r>
    </w:p>
    <w:p w:rsidR="003A0918" w:rsidRDefault="00D87DBB">
      <w:pPr>
        <w:numPr>
          <w:ilvl w:val="0"/>
          <w:numId w:val="54"/>
        </w:numPr>
        <w:spacing w:after="121"/>
        <w:ind w:right="560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Врач-терапевт участковый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5" w:line="364" w:lineRule="auto"/>
        <w:ind w:left="1128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Таблица 1. </w:t>
      </w:r>
      <w:r>
        <w:rPr>
          <w:rFonts w:ascii="Times New Roman" w:eastAsia="Times New Roman" w:hAnsi="Times New Roman" w:cs="Times New Roman"/>
          <w:sz w:val="24"/>
        </w:rPr>
        <w:t xml:space="preserve">Шкала оценки уровней достоверности доказательств (УДД) для методов диагностики (диагностических вмешательств)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tbl>
      <w:tblPr>
        <w:tblStyle w:val="TableGrid"/>
        <w:tblW w:w="9628" w:type="dxa"/>
        <w:tblInd w:w="1025" w:type="dxa"/>
        <w:tblCellMar>
          <w:top w:w="62" w:type="dxa"/>
          <w:left w:w="106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823"/>
        <w:gridCol w:w="8805"/>
      </w:tblGrid>
      <w:tr w:rsidR="003A0918">
        <w:trPr>
          <w:trHeight w:val="326"/>
        </w:trPr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53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УДД </w:t>
            </w:r>
          </w:p>
        </w:tc>
        <w:tc>
          <w:tcPr>
            <w:tcW w:w="8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3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Расшифровка </w:t>
            </w:r>
          </w:p>
        </w:tc>
      </w:tr>
      <w:tr w:rsidR="003A0918">
        <w:trPr>
          <w:trHeight w:val="962"/>
        </w:trPr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9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  <w:tc>
          <w:tcPr>
            <w:tcW w:w="8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Систематические обзоры исследований с контролем референсным методом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или систематический обзор рандомизированных клинических исследований с применением мета-анализа </w:t>
            </w:r>
          </w:p>
        </w:tc>
      </w:tr>
      <w:tr w:rsidR="003A0918">
        <w:trPr>
          <w:trHeight w:val="1279"/>
        </w:trPr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9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 </w:t>
            </w:r>
          </w:p>
        </w:tc>
        <w:tc>
          <w:tcPr>
            <w:tcW w:w="8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Отдельные исследования с контролем референсным методом или отдельные рандомизированные клинические исследования и систематические обзоры исследований любого дизайна, за исключением рандомизированных клинических исследований, с применением мета-анализа </w:t>
            </w:r>
          </w:p>
        </w:tc>
      </w:tr>
      <w:tr w:rsidR="003A0918">
        <w:trPr>
          <w:trHeight w:val="1280"/>
        </w:trPr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9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 </w:t>
            </w:r>
          </w:p>
        </w:tc>
        <w:tc>
          <w:tcPr>
            <w:tcW w:w="8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Исследования без последовательного контроля референсным методом или исследования с референсным методом, не являющимся независимым от исследуемого метода или нерандомизированные сравнительные исследования, в том числе когортные исследования </w:t>
            </w:r>
          </w:p>
        </w:tc>
      </w:tr>
      <w:tr w:rsidR="003A0918">
        <w:trPr>
          <w:trHeight w:val="329"/>
        </w:trPr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9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4 </w:t>
            </w:r>
          </w:p>
        </w:tc>
        <w:tc>
          <w:tcPr>
            <w:tcW w:w="8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Несравнительные исследования, описание клинического случая </w:t>
            </w:r>
          </w:p>
        </w:tc>
      </w:tr>
      <w:tr w:rsidR="003A0918">
        <w:trPr>
          <w:trHeight w:val="326"/>
        </w:trPr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9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5 </w:t>
            </w:r>
          </w:p>
        </w:tc>
        <w:tc>
          <w:tcPr>
            <w:tcW w:w="8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Имеется лишь обоснование механизма действия или мнение экспертов </w:t>
            </w:r>
          </w:p>
        </w:tc>
      </w:tr>
    </w:tbl>
    <w:p w:rsidR="003A0918" w:rsidRDefault="00D87DBB">
      <w:pPr>
        <w:spacing w:after="115"/>
        <w:ind w:left="1841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spacing w:after="3" w:line="357" w:lineRule="auto"/>
        <w:ind w:left="1128" w:right="402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Таблица 2. </w:t>
      </w:r>
      <w:r>
        <w:rPr>
          <w:rFonts w:ascii="Times New Roman" w:eastAsia="Times New Roman" w:hAnsi="Times New Roman" w:cs="Times New Roman"/>
          <w:sz w:val="24"/>
        </w:rPr>
        <w:t xml:space="preserve">Шкала оценки уровней достоверности доказательств (УДД) для методов профилактики, лечения и реабилитации (профилактических, лечебных, реабилитационных вмешательств)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tbl>
      <w:tblPr>
        <w:tblStyle w:val="TableGrid"/>
        <w:tblW w:w="9770" w:type="dxa"/>
        <w:tblInd w:w="1025" w:type="dxa"/>
        <w:tblCellMar>
          <w:top w:w="62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722"/>
        <w:gridCol w:w="9048"/>
      </w:tblGrid>
      <w:tr w:rsidR="003A0918">
        <w:trPr>
          <w:trHeight w:val="286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УДД </w:t>
            </w:r>
          </w:p>
        </w:tc>
        <w:tc>
          <w:tcPr>
            <w:tcW w:w="9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Расшифровка  </w:t>
            </w:r>
          </w:p>
        </w:tc>
      </w:tr>
      <w:tr w:rsidR="003A0918">
        <w:trPr>
          <w:trHeight w:val="286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  <w:tc>
          <w:tcPr>
            <w:tcW w:w="9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Систематический обзор РКИ с применением мета-анализа </w:t>
            </w:r>
          </w:p>
        </w:tc>
      </w:tr>
      <w:tr w:rsidR="003A0918">
        <w:trPr>
          <w:trHeight w:val="562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 </w:t>
            </w:r>
          </w:p>
        </w:tc>
        <w:tc>
          <w:tcPr>
            <w:tcW w:w="9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Отдельны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 РКИ и систематические обзоры исследований любого дизайна, за исключением РКИ, с применением мета-анализа </w:t>
            </w:r>
          </w:p>
        </w:tc>
      </w:tr>
      <w:tr w:rsidR="003A0918">
        <w:trPr>
          <w:trHeight w:val="286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 </w:t>
            </w:r>
          </w:p>
        </w:tc>
        <w:tc>
          <w:tcPr>
            <w:tcW w:w="9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Нерандомизированные сравнительные исследования, в т.ч. когортные исследования </w:t>
            </w:r>
          </w:p>
        </w:tc>
      </w:tr>
      <w:tr w:rsidR="003A0918">
        <w:trPr>
          <w:trHeight w:val="564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4 </w:t>
            </w:r>
          </w:p>
        </w:tc>
        <w:tc>
          <w:tcPr>
            <w:tcW w:w="9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Несравнительные исследования, описание клинического случая или серии случаев, исследования «случай-контроль» </w:t>
            </w:r>
          </w:p>
        </w:tc>
      </w:tr>
      <w:tr w:rsidR="003A0918">
        <w:trPr>
          <w:trHeight w:val="562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5 </w:t>
            </w:r>
          </w:p>
        </w:tc>
        <w:tc>
          <w:tcPr>
            <w:tcW w:w="9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Имеется лишь обоснование механизма действия вмешательства (доклинические исследования) или мнение экспертов </w:t>
            </w:r>
          </w:p>
        </w:tc>
      </w:tr>
    </w:tbl>
    <w:p w:rsidR="003A0918" w:rsidRDefault="00D87DBB">
      <w:pPr>
        <w:spacing w:after="113"/>
        <w:ind w:left="1841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spacing w:after="5" w:line="364" w:lineRule="auto"/>
        <w:ind w:left="1128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Таблица 3. </w:t>
      </w:r>
      <w:r>
        <w:rPr>
          <w:rFonts w:ascii="Times New Roman" w:eastAsia="Times New Roman" w:hAnsi="Times New Roman" w:cs="Times New Roman"/>
          <w:sz w:val="24"/>
        </w:rPr>
        <w:t xml:space="preserve">Шкала оценки уровней убедительности рекомендаций (УУР) для методов профилактики, диагностики, лечения и реабилитации (профилактических, диагностических, лечебных, реабилитационных вмешательств)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tbl>
      <w:tblPr>
        <w:tblStyle w:val="TableGrid"/>
        <w:tblW w:w="9628" w:type="dxa"/>
        <w:tblInd w:w="1025" w:type="dxa"/>
        <w:tblCellMar>
          <w:top w:w="62" w:type="dxa"/>
          <w:left w:w="108" w:type="dxa"/>
          <w:bottom w:w="0" w:type="dxa"/>
          <w:right w:w="50" w:type="dxa"/>
        </w:tblCellMar>
        <w:tblLook w:val="04A0" w:firstRow="1" w:lastRow="0" w:firstColumn="1" w:lastColumn="0" w:noHBand="0" w:noVBand="1"/>
      </w:tblPr>
      <w:tblGrid>
        <w:gridCol w:w="1370"/>
        <w:gridCol w:w="8258"/>
      </w:tblGrid>
      <w:tr w:rsidR="003A0918">
        <w:trPr>
          <w:trHeight w:val="286"/>
        </w:trPr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УУР </w:t>
            </w:r>
          </w:p>
        </w:tc>
        <w:tc>
          <w:tcPr>
            <w:tcW w:w="8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Расшифровка </w:t>
            </w:r>
          </w:p>
        </w:tc>
      </w:tr>
      <w:tr w:rsidR="003A0918">
        <w:trPr>
          <w:trHeight w:val="1116"/>
        </w:trPr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9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A </w:t>
            </w:r>
          </w:p>
        </w:tc>
        <w:tc>
          <w:tcPr>
            <w:tcW w:w="8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Сильная рекомендация (все рассматриваемые критерии эффективности (исходы) являются важными, все исследования имеют высокое или удовлетворительное методологическое качество, их выводы по интересующим исходам являются согласованными)  </w:t>
            </w:r>
          </w:p>
        </w:tc>
      </w:tr>
      <w:tr w:rsidR="003A0918">
        <w:trPr>
          <w:trHeight w:val="1116"/>
        </w:trPr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9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B </w:t>
            </w:r>
          </w:p>
        </w:tc>
        <w:tc>
          <w:tcPr>
            <w:tcW w:w="8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Условная рекомендация (не все рассматриваемые критерии эффективности (исходы) являются важными, не все исследования имеют высокое или удовлетворительное методологическое качество и/или их выводы по интересующим исходам не являются согласованными)  </w:t>
            </w:r>
          </w:p>
        </w:tc>
      </w:tr>
      <w:tr w:rsidR="003A0918">
        <w:trPr>
          <w:trHeight w:val="1114"/>
        </w:trPr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9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C </w:t>
            </w:r>
          </w:p>
        </w:tc>
        <w:tc>
          <w:tcPr>
            <w:tcW w:w="8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Слабая рекомендация (отсутствие доказательств надлежащего качества (все рассматриваемые критерии эффективности (исходы) являются неважными, все исследования имеют низкое методологическое качество и их выводы по интересующим исходам не являются согласованны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ми)  </w:t>
            </w:r>
          </w:p>
        </w:tc>
      </w:tr>
    </w:tbl>
    <w:p w:rsidR="003A0918" w:rsidRDefault="00D87DBB">
      <w:pPr>
        <w:spacing w:after="116"/>
        <w:ind w:left="1841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spacing w:after="125" w:line="249" w:lineRule="auto"/>
        <w:ind w:left="1143" w:right="551" w:hanging="10"/>
      </w:pPr>
      <w:r>
        <w:rPr>
          <w:rFonts w:ascii="Times New Roman" w:eastAsia="Times New Roman" w:hAnsi="Times New Roman" w:cs="Times New Roman"/>
          <w:b/>
          <w:sz w:val="24"/>
        </w:rPr>
        <w:t>Порядок обновления клинических рекомендаций.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Механизм обновления клинических рекомендаций предусматривает их систематическую актуализацию – </w:t>
      </w:r>
      <w:r>
        <w:rPr>
          <w:rFonts w:ascii="Times New Roman" w:eastAsia="Times New Roman" w:hAnsi="Times New Roman" w:cs="Times New Roman"/>
          <w:sz w:val="24"/>
        </w:rPr>
        <w:t>не реже чем один раз в три года, а также при появлении новых данных с позиции доказательной медицины по вопросам диагностики, лечения, профилактики и реабилитации конкретных заболеваний, наличии обоснованных дополнений/замечаний к ранее утверждённым КР, но</w:t>
      </w:r>
      <w:r>
        <w:rPr>
          <w:rFonts w:ascii="Times New Roman" w:eastAsia="Times New Roman" w:hAnsi="Times New Roman" w:cs="Times New Roman"/>
          <w:sz w:val="24"/>
        </w:rPr>
        <w:t xml:space="preserve"> не чаще 1 раза в 6 месяцев. </w:t>
      </w:r>
    </w:p>
    <w:p w:rsidR="003A0918" w:rsidRDefault="00D87DBB">
      <w:pPr>
        <w:spacing w:after="5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 w:line="249" w:lineRule="auto"/>
        <w:ind w:left="870" w:right="301" w:hanging="10"/>
        <w:jc w:val="center"/>
      </w:pPr>
      <w:r>
        <w:rPr>
          <w:rFonts w:ascii="Times New Roman" w:eastAsia="Times New Roman" w:hAnsi="Times New Roman" w:cs="Times New Roman"/>
          <w:b/>
          <w:sz w:val="32"/>
        </w:rPr>
        <w:t xml:space="preserve">Приложение А3. Справочные материалы, включая соответствие показаний к применению и противопоказаний, способов применения и доз лекарственных препаратов, инструкции по </w:t>
      </w:r>
    </w:p>
    <w:p w:rsidR="003A0918" w:rsidRDefault="00D87DBB">
      <w:pPr>
        <w:pStyle w:val="Heading1"/>
        <w:ind w:left="870" w:right="301"/>
      </w:pPr>
      <w:r>
        <w:t>применению лекарственного препарата</w:t>
      </w:r>
      <w: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67" w:line="364" w:lineRule="auto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Актуальные инструкции к лекарственным препаратам, упоминаемым в данных клинических рекомендациях, можно найти на сайте </w:t>
      </w:r>
      <w:hyperlink r:id="rId27">
        <w:r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http://grls.rosminzdrav.ru</w:t>
        </w:r>
      </w:hyperlink>
      <w:hyperlink r:id="rId28">
        <w:r>
          <w:rPr>
            <w:rFonts w:ascii="Times New Roman" w:eastAsia="Times New Roman" w:hAnsi="Times New Roman" w:cs="Times New Roman"/>
            <w:sz w:val="24"/>
          </w:rPr>
          <w:t>.</w:t>
        </w:r>
      </w:hyperlink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153"/>
        <w:ind w:left="644"/>
        <w:jc w:val="center"/>
      </w:pPr>
      <w:r>
        <w:rPr>
          <w:rFonts w:ascii="Times New Roman" w:eastAsia="Times New Roman" w:hAnsi="Times New Roman" w:cs="Times New Roman"/>
          <w:b/>
          <w:sz w:val="32"/>
        </w:rPr>
        <w:t xml:space="preserve"> </w:t>
      </w:r>
    </w:p>
    <w:p w:rsidR="003A0918" w:rsidRDefault="00D87DBB">
      <w:pPr>
        <w:pStyle w:val="Heading1"/>
        <w:spacing w:after="130"/>
        <w:ind w:left="870" w:right="301"/>
      </w:pPr>
      <w:r>
        <w:t>Приложение Б</w:t>
      </w:r>
      <w:r>
        <w:t>. Алгоритмы действий врача</w:t>
      </w:r>
      <w:r>
        <w:t xml:space="preserve"> </w:t>
      </w:r>
    </w:p>
    <w:p w:rsidR="003A0918" w:rsidRDefault="00D87DBB">
      <w:pPr>
        <w:pStyle w:val="Heading2"/>
        <w:spacing w:after="104"/>
        <w:ind w:left="1143" w:right="119"/>
      </w:pPr>
      <w:r>
        <w:rPr>
          <w:sz w:val="28"/>
        </w:rPr>
        <w:t>Приложение Б</w:t>
      </w:r>
      <w:r>
        <w:rPr>
          <w:sz w:val="28"/>
        </w:rPr>
        <w:t xml:space="preserve">1. </w:t>
      </w:r>
      <w:r>
        <w:rPr>
          <w:sz w:val="28"/>
        </w:rPr>
        <w:t>Алгоритм ведения пациента с установленным диагнозом ХОБЛ</w:t>
      </w:r>
      <w:r>
        <w:rPr>
          <w:sz w:val="28"/>
        </w:rPr>
        <w:t xml:space="preserve"> </w:t>
      </w:r>
    </w:p>
    <w:p w:rsidR="003A0918" w:rsidRDefault="00D87DBB">
      <w:pPr>
        <w:spacing w:after="173"/>
        <w:ind w:left="1209"/>
      </w:pPr>
      <w:r>
        <w:rPr>
          <w:noProof/>
        </w:rPr>
        <w:drawing>
          <wp:inline distT="0" distB="0" distL="0" distR="0">
            <wp:extent cx="5602224" cy="7184137"/>
            <wp:effectExtent l="0" t="0" r="0" b="0"/>
            <wp:docPr id="146792" name="Picture 1467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792" name="Picture 146792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602224" cy="7184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0918" w:rsidRDefault="00D87DBB">
      <w:pPr>
        <w:numPr>
          <w:ilvl w:val="0"/>
          <w:numId w:val="55"/>
        </w:numPr>
        <w:spacing w:after="5" w:line="265" w:lineRule="auto"/>
        <w:ind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На фоне проводимой терапии ≥2 обострений в год или 1 обострение, потребовавшее госпитализации </w:t>
      </w:r>
    </w:p>
    <w:p w:rsidR="003A0918" w:rsidRDefault="00D87DBB">
      <w:pPr>
        <w:numPr>
          <w:ilvl w:val="0"/>
          <w:numId w:val="55"/>
        </w:numPr>
        <w:spacing w:after="5" w:line="265" w:lineRule="auto"/>
        <w:ind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Переоценка количества обострений и выраженности симптомов </w:t>
      </w:r>
      <w:r>
        <w:rPr>
          <w:rFonts w:ascii="Times New Roman" w:eastAsia="Times New Roman" w:hAnsi="Times New Roman" w:cs="Times New Roman"/>
          <w:sz w:val="24"/>
        </w:rPr>
        <w:t xml:space="preserve">проводится при каждом обращении пациента к врачу, оценка обострений проводится на фоне назначенной терапии, а не исходно. </w:t>
      </w:r>
    </w:p>
    <w:p w:rsidR="003A0918" w:rsidRDefault="00D87DBB">
      <w:pPr>
        <w:numPr>
          <w:ilvl w:val="0"/>
          <w:numId w:val="55"/>
        </w:numPr>
        <w:spacing w:after="175" w:line="255" w:lineRule="auto"/>
        <w:ind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Если обострения или выраженные симптомы сохраняются на фоне терапии ДДБА/ДДАХ, на данном этапе следует назначить ДДАХ/ДДБА/ИГК </w:t>
      </w:r>
    </w:p>
    <w:p w:rsidR="003A0918" w:rsidRDefault="00D87DBB">
      <w:pPr>
        <w:pStyle w:val="Heading1"/>
        <w:ind w:left="870" w:right="305"/>
      </w:pPr>
      <w:r>
        <w:t>Прило</w:t>
      </w:r>
      <w:r>
        <w:t>жение Б2. Алгоритм длительной кислородотерапии</w:t>
      </w:r>
      <w:r>
        <w:t xml:space="preserve"> </w:t>
      </w:r>
    </w:p>
    <w:p w:rsidR="003A0918" w:rsidRDefault="00D87DBB">
      <w:pPr>
        <w:spacing w:after="156"/>
        <w:ind w:left="-2"/>
        <w:jc w:val="right"/>
      </w:pPr>
      <w:r>
        <w:rPr>
          <w:noProof/>
        </w:rPr>
        <w:drawing>
          <wp:inline distT="0" distB="0" distL="0" distR="0">
            <wp:extent cx="7009893" cy="5092065"/>
            <wp:effectExtent l="0" t="0" r="0" b="0"/>
            <wp:docPr id="19228" name="Picture 192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28" name="Picture 19228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009893" cy="5092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mbria" w:eastAsia="Cambria" w:hAnsi="Cambria" w:cs="Cambria"/>
          <w:b/>
          <w:sz w:val="32"/>
        </w:rPr>
        <w:t xml:space="preserve"> </w:t>
      </w:r>
    </w:p>
    <w:p w:rsidR="003A0918" w:rsidRDefault="00D87DBB">
      <w:pPr>
        <w:spacing w:after="155"/>
      </w:pPr>
      <w:r>
        <w:rPr>
          <w:rFonts w:ascii="Cambria" w:eastAsia="Cambria" w:hAnsi="Cambria" w:cs="Cambria"/>
          <w:b/>
          <w:sz w:val="32"/>
        </w:rPr>
        <w:t xml:space="preserve"> </w:t>
      </w:r>
    </w:p>
    <w:p w:rsidR="003A0918" w:rsidRDefault="00D87DBB">
      <w:pPr>
        <w:spacing w:after="157"/>
      </w:pPr>
      <w:r>
        <w:rPr>
          <w:rFonts w:ascii="Cambria" w:eastAsia="Cambria" w:hAnsi="Cambria" w:cs="Cambria"/>
          <w:b/>
          <w:sz w:val="32"/>
        </w:rPr>
        <w:t xml:space="preserve"> </w:t>
      </w:r>
    </w:p>
    <w:p w:rsidR="003A0918" w:rsidRDefault="00D87DBB">
      <w:pPr>
        <w:spacing w:after="155"/>
      </w:pPr>
      <w:r>
        <w:rPr>
          <w:rFonts w:ascii="Cambria" w:eastAsia="Cambria" w:hAnsi="Cambria" w:cs="Cambria"/>
          <w:b/>
          <w:sz w:val="32"/>
        </w:rPr>
        <w:t xml:space="preserve"> </w:t>
      </w:r>
    </w:p>
    <w:p w:rsidR="003A0918" w:rsidRDefault="00D87DBB">
      <w:pPr>
        <w:spacing w:after="157"/>
      </w:pPr>
      <w:r>
        <w:rPr>
          <w:rFonts w:ascii="Cambria" w:eastAsia="Cambria" w:hAnsi="Cambria" w:cs="Cambria"/>
          <w:b/>
          <w:sz w:val="32"/>
        </w:rPr>
        <w:t xml:space="preserve"> </w:t>
      </w:r>
    </w:p>
    <w:p w:rsidR="003A0918" w:rsidRDefault="00D87DBB">
      <w:pPr>
        <w:spacing w:after="155"/>
      </w:pPr>
      <w:r>
        <w:rPr>
          <w:rFonts w:ascii="Cambria" w:eastAsia="Cambria" w:hAnsi="Cambria" w:cs="Cambria"/>
          <w:b/>
          <w:sz w:val="32"/>
        </w:rPr>
        <w:t xml:space="preserve"> </w:t>
      </w:r>
    </w:p>
    <w:p w:rsidR="003A0918" w:rsidRDefault="00D87DBB">
      <w:pPr>
        <w:spacing w:after="157"/>
      </w:pPr>
      <w:r>
        <w:rPr>
          <w:rFonts w:ascii="Cambria" w:eastAsia="Cambria" w:hAnsi="Cambria" w:cs="Cambria"/>
          <w:b/>
          <w:sz w:val="32"/>
        </w:rPr>
        <w:t xml:space="preserve"> </w:t>
      </w:r>
    </w:p>
    <w:p w:rsidR="003A0918" w:rsidRDefault="00D87DBB">
      <w:pPr>
        <w:spacing w:after="0" w:line="355" w:lineRule="auto"/>
        <w:ind w:left="1133" w:hanging="1133"/>
      </w:pPr>
      <w:r>
        <w:rPr>
          <w:rFonts w:ascii="Cambria" w:eastAsia="Cambria" w:hAnsi="Cambria" w:cs="Cambria"/>
          <w:b/>
          <w:sz w:val="32"/>
        </w:rPr>
        <w:t>Приложение Б3. Доказательства, подтверждающие снижение смертности при проведении фармакотерапии и немедикаментозного лечения у пациентов с ХОБЛ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tbl>
      <w:tblPr>
        <w:tblStyle w:val="TableGrid"/>
        <w:tblW w:w="9628" w:type="dxa"/>
        <w:tblInd w:w="1025" w:type="dxa"/>
        <w:tblCellMar>
          <w:top w:w="60" w:type="dxa"/>
          <w:left w:w="100" w:type="dxa"/>
          <w:bottom w:w="0" w:type="dxa"/>
          <w:right w:w="39" w:type="dxa"/>
        </w:tblCellMar>
        <w:tblLook w:val="04A0" w:firstRow="1" w:lastRow="0" w:firstColumn="1" w:lastColumn="0" w:noHBand="0" w:noVBand="1"/>
      </w:tblPr>
      <w:tblGrid>
        <w:gridCol w:w="2425"/>
        <w:gridCol w:w="845"/>
        <w:gridCol w:w="3812"/>
        <w:gridCol w:w="2547"/>
      </w:tblGrid>
      <w:tr w:rsidR="003A0918">
        <w:trPr>
          <w:trHeight w:val="562"/>
        </w:trPr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Терапия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РКИ* </w:t>
            </w:r>
          </w:p>
        </w:tc>
        <w:tc>
          <w:tcPr>
            <w:tcW w:w="3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41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Влияние терапии на смертность </w:t>
            </w:r>
          </w:p>
        </w:tc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Характеристики  пациента с ХОБЛ </w:t>
            </w:r>
          </w:p>
        </w:tc>
      </w:tr>
      <w:tr w:rsidR="003A0918">
        <w:trPr>
          <w:trHeight w:val="288"/>
        </w:trPr>
        <w:tc>
          <w:tcPr>
            <w:tcW w:w="962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Фармакотерапия </w:t>
            </w:r>
          </w:p>
        </w:tc>
      </w:tr>
      <w:tr w:rsidR="003A0918">
        <w:trPr>
          <w:trHeight w:val="3046"/>
        </w:trPr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ИГКС/ДДАХ/ДДБА</w:t>
            </w:r>
            <w:r>
              <w:rPr>
                <w:rFonts w:ascii="Times New Roman" w:eastAsia="Times New Roman" w:hAnsi="Times New Roman" w:cs="Times New Roman"/>
                <w:sz w:val="24"/>
                <w:vertAlign w:val="superscript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  </w:t>
            </w:r>
          </w:p>
        </w:tc>
        <w:tc>
          <w:tcPr>
            <w:tcW w:w="3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 w:line="239" w:lineRule="auto"/>
              <w:ind w:left="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Снижение смертности по сравнению с ДДАХ/ДДБА: </w:t>
            </w:r>
          </w:p>
          <w:p w:rsidR="003A0918" w:rsidRDefault="00D87DBB">
            <w:pPr>
              <w:spacing w:after="0"/>
              <w:ind w:left="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3A0918" w:rsidRDefault="00D87DBB">
            <w:pPr>
              <w:spacing w:after="92" w:line="228" w:lineRule="auto"/>
              <w:ind w:left="8" w:right="7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ETHOS, HR 0.51 (95% ДИ: 0.33, 0.80) - снижение риска смертности на 49% в результате лечения в течение 52 недель</w:t>
            </w:r>
            <w:r>
              <w:rPr>
                <w:rFonts w:ascii="Times New Roman" w:eastAsia="Times New Roman" w:hAnsi="Times New Roman" w:cs="Times New Roman"/>
                <w:sz w:val="24"/>
                <w:vertAlign w:val="superscript"/>
              </w:rPr>
              <w:t xml:space="preserve">1a </w:t>
            </w:r>
          </w:p>
          <w:p w:rsidR="003A0918" w:rsidRDefault="00D87DBB">
            <w:pPr>
              <w:spacing w:after="0"/>
              <w:ind w:left="8" w:right="7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IMPACT, HR </w:t>
            </w:r>
            <w:r>
              <w:rPr>
                <w:rFonts w:ascii="Times New Roman" w:eastAsia="Times New Roman" w:hAnsi="Times New Roman" w:cs="Times New Roman"/>
                <w:sz w:val="24"/>
              </w:rPr>
              <w:t>0.72 (95% ДИ:: 0.53, 0.99)– снижение риска смертности на 28% в результате лечения в течение 52 недель</w:t>
            </w:r>
            <w:r>
              <w:rPr>
                <w:rFonts w:ascii="Times New Roman" w:eastAsia="Times New Roman" w:hAnsi="Times New Roman" w:cs="Times New Roman"/>
                <w:sz w:val="24"/>
                <w:vertAlign w:val="superscript"/>
              </w:rPr>
              <w:t>1b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Пациенты с выраженными симптомами, с частыми и/или тяжелыми обострениями в анамнезе  </w:t>
            </w:r>
          </w:p>
        </w:tc>
      </w:tr>
      <w:tr w:rsidR="003A0918">
        <w:trPr>
          <w:trHeight w:val="286"/>
        </w:trPr>
        <w:tc>
          <w:tcPr>
            <w:tcW w:w="962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Немедикаментозная терапия </w:t>
            </w:r>
          </w:p>
        </w:tc>
      </w:tr>
      <w:tr w:rsidR="003A0918">
        <w:trPr>
          <w:trHeight w:val="1666"/>
        </w:trPr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8"/>
            </w:pPr>
            <w:r>
              <w:rPr>
                <w:rFonts w:ascii="Times New Roman" w:eastAsia="Times New Roman" w:hAnsi="Times New Roman" w:cs="Times New Roman"/>
                <w:sz w:val="24"/>
              </w:rPr>
              <w:t>Отказ от курения</w:t>
            </w:r>
            <w:r>
              <w:rPr>
                <w:rFonts w:ascii="Times New Roman" w:eastAsia="Times New Roman" w:hAnsi="Times New Roman" w:cs="Times New Roman"/>
                <w:sz w:val="24"/>
                <w:vertAlign w:val="superscript"/>
              </w:rPr>
              <w:t>2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Да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3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tabs>
                <w:tab w:val="center" w:pos="1653"/>
                <w:tab w:val="center" w:pos="2308"/>
                <w:tab w:val="right" w:pos="3673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Смертность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от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всех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причин </w:t>
            </w:r>
          </w:p>
          <w:p w:rsidR="003A0918" w:rsidRDefault="00D87DBB">
            <w:pPr>
              <w:spacing w:after="0" w:line="238" w:lineRule="auto"/>
              <w:ind w:left="8"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8,83/1000 пациенто-лет (при отказе от курения) по сравнению с 10,38/1000 пациенто-лет (при продолжении курения); ОР 1.18 (95% </w:t>
            </w:r>
          </w:p>
          <w:p w:rsidR="003A0918" w:rsidRDefault="00D87DBB">
            <w:pPr>
              <w:spacing w:after="0"/>
              <w:ind w:left="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ДИ: 1.02, 1.37), р=0,03 </w:t>
            </w:r>
          </w:p>
        </w:tc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 w:line="238" w:lineRule="auto"/>
              <w:ind w:left="17" w:right="6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Пациенты с бессимптомным течением или слабо выраженными </w:t>
            </w:r>
          </w:p>
          <w:p w:rsidR="003A0918" w:rsidRDefault="00D87DBB">
            <w:pPr>
              <w:spacing w:after="0"/>
              <w:ind w:left="1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симптомами  </w:t>
            </w:r>
          </w:p>
          <w:p w:rsidR="003A0918" w:rsidRDefault="00D87DBB">
            <w:pPr>
              <w:spacing w:after="0"/>
              <w:ind w:left="17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</w:tr>
      <w:tr w:rsidR="003A0918">
        <w:trPr>
          <w:trHeight w:val="3046"/>
        </w:trPr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Легочная реабилитация (ЛР)</w:t>
            </w:r>
            <w:r>
              <w:rPr>
                <w:rFonts w:ascii="Times New Roman" w:eastAsia="Times New Roman" w:hAnsi="Times New Roman" w:cs="Times New Roman"/>
                <w:sz w:val="24"/>
                <w:vertAlign w:val="superscript"/>
              </w:rPr>
              <w:t>3#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 </w:t>
            </w:r>
          </w:p>
        </w:tc>
        <w:tc>
          <w:tcPr>
            <w:tcW w:w="3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 w:line="238" w:lineRule="auto"/>
              <w:ind w:left="8" w:right="58"/>
              <w:jc w:val="both"/>
            </w:pPr>
            <w:r>
              <w:rPr>
                <w:rFonts w:ascii="Times New Roman" w:eastAsia="Times New Roman" w:hAnsi="Times New Roman" w:cs="Times New Roman"/>
                <w:color w:val="212121"/>
                <w:sz w:val="24"/>
              </w:rPr>
              <w:t>Снижение смертности при ранней ЛР: ОР 0,58 (95% ДИ: 0,35, 0,98) и в течение наиболее длительного периода наблюдения; ОР 0,55 (95% ДИ: 0,12 до 2,57).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12121"/>
                <w:sz w:val="24"/>
              </w:rPr>
              <w:t>Долгосрочные эффекты на смертность статистически не значимые, но улучшени</w:t>
            </w:r>
            <w:r>
              <w:rPr>
                <w:rFonts w:ascii="Times New Roman" w:eastAsia="Times New Roman" w:hAnsi="Times New Roman" w:cs="Times New Roman"/>
                <w:color w:val="212121"/>
                <w:sz w:val="24"/>
              </w:rPr>
              <w:t>е КЖ и толерантности к физическим нагрузкам, по-</w:t>
            </w:r>
          </w:p>
          <w:p w:rsidR="003A0918" w:rsidRDefault="00D87DBB">
            <w:pPr>
              <w:spacing w:after="0"/>
              <w:ind w:left="8"/>
              <w:jc w:val="both"/>
            </w:pPr>
            <w:r>
              <w:rPr>
                <w:rFonts w:ascii="Times New Roman" w:eastAsia="Times New Roman" w:hAnsi="Times New Roman" w:cs="Times New Roman"/>
                <w:color w:val="212121"/>
                <w:sz w:val="24"/>
              </w:rPr>
              <w:t xml:space="preserve">видимому, сохранялось в течение как минимум 12 месяцев. </w:t>
            </w:r>
          </w:p>
        </w:tc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7" w:right="6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Госпитализация по поводу обостреиия ХОБЛ или в течение ≤4 недель после выписки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</w:tr>
      <w:tr w:rsidR="003A0918">
        <w:trPr>
          <w:trHeight w:val="1942"/>
        </w:trPr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Длительная оксигенотерапия на дому</w:t>
            </w:r>
            <w:r>
              <w:rPr>
                <w:rFonts w:ascii="Times New Roman" w:eastAsia="Times New Roman" w:hAnsi="Times New Roman" w:cs="Times New Roman"/>
                <w:sz w:val="24"/>
                <w:vertAlign w:val="superscript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Да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3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45" w:line="237" w:lineRule="auto"/>
              <w:ind w:left="8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Ночная О2-терапия ≥19 часов </w:t>
            </w:r>
            <w:r>
              <w:rPr>
                <w:rFonts w:ascii="Times New Roman" w:eastAsia="Times New Roman" w:hAnsi="Times New Roman" w:cs="Times New Roman"/>
                <w:sz w:val="24"/>
              </w:rPr>
              <w:t>непрерывной кислородотерапии по сравнению с ≤ 13 часов: снижение смертности на 50%</w:t>
            </w:r>
            <w:r>
              <w:rPr>
                <w:rFonts w:ascii="Times New Roman" w:eastAsia="Times New Roman" w:hAnsi="Times New Roman" w:cs="Times New Roman"/>
                <w:sz w:val="24"/>
                <w:vertAlign w:val="superscript"/>
              </w:rPr>
              <w:t>4a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</w:p>
          <w:p w:rsidR="003A0918" w:rsidRDefault="00D87DBB">
            <w:pPr>
              <w:spacing w:after="2" w:line="238" w:lineRule="auto"/>
              <w:ind w:left="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О2-терапия ≥15 часов по сравнению с отсутствием O2: снижение </w:t>
            </w:r>
          </w:p>
          <w:p w:rsidR="003A0918" w:rsidRDefault="00D87DBB">
            <w:pPr>
              <w:spacing w:after="0"/>
              <w:ind w:left="8"/>
            </w:pPr>
            <w:r>
              <w:rPr>
                <w:rFonts w:ascii="Times New Roman" w:eastAsia="Times New Roman" w:hAnsi="Times New Roman" w:cs="Times New Roman"/>
                <w:sz w:val="24"/>
              </w:rPr>
              <w:t>MRS на 50%</w:t>
            </w:r>
            <w:r>
              <w:rPr>
                <w:rFonts w:ascii="Times New Roman" w:eastAsia="Times New Roman" w:hAnsi="Times New Roman" w:cs="Times New Roman"/>
                <w:sz w:val="24"/>
                <w:vertAlign w:val="superscript"/>
              </w:rPr>
              <w:t>4b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7" w:right="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PaO</w:t>
            </w:r>
            <w:r>
              <w:rPr>
                <w:rFonts w:ascii="Times New Roman" w:eastAsia="Times New Roman" w:hAnsi="Times New Roman" w:cs="Times New Roman"/>
                <w:sz w:val="24"/>
                <w:vertAlign w:val="subscript"/>
              </w:rPr>
              <w:t>2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≤ 55 мм.рт.ст или &lt; 60 мм.рт.ст. с легочной гипертензией или вторичной полицитемией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</w:tr>
      <w:tr w:rsidR="003A0918">
        <w:trPr>
          <w:trHeight w:val="1390"/>
        </w:trPr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30" w:line="238" w:lineRule="auto"/>
              <w:ind w:left="8" w:right="67"/>
              <w:jc w:val="both"/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</w:rPr>
              <w:t>Неинвазивная вентиляция легких с положительным давле-</w:t>
            </w:r>
          </w:p>
          <w:p w:rsidR="003A0918" w:rsidRDefault="00D87DBB">
            <w:pPr>
              <w:tabs>
                <w:tab w:val="center" w:pos="1081"/>
                <w:tab w:val="right" w:pos="2286"/>
              </w:tabs>
              <w:spacing w:after="0"/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</w:rPr>
              <w:t xml:space="preserve">нием 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</w:rPr>
              <w:tab/>
              <w:t xml:space="preserve">на 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</w:rPr>
              <w:tab/>
              <w:t xml:space="preserve">вдохе </w:t>
            </w:r>
          </w:p>
          <w:p w:rsidR="003A0918" w:rsidRDefault="00D87DBB">
            <w:pPr>
              <w:spacing w:after="0"/>
              <w:ind w:left="8"/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</w:rPr>
              <w:t>(НВПД)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vertAlign w:val="superscript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Да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3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 w:line="238" w:lineRule="auto"/>
              <w:ind w:left="8"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Летальность 12% при НВПД и 33% в контрольной группе. HR 0.24 (95% ДИ: 0.11, 049), снижение риска смертельного исхода на </w:t>
            </w:r>
          </w:p>
          <w:p w:rsidR="003A0918" w:rsidRDefault="00D87DBB">
            <w:pPr>
              <w:spacing w:after="0"/>
              <w:ind w:left="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76%, р=0,0004 </w:t>
            </w:r>
          </w:p>
        </w:tc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5"/>
              <w:ind w:left="1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Стабильная ХОБЛ с </w:t>
            </w:r>
          </w:p>
          <w:p w:rsidR="003A0918" w:rsidRDefault="00D87DBB">
            <w:pPr>
              <w:spacing w:after="0"/>
              <w:ind w:left="1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выраженной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гиперкапнией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</w:tr>
      <w:tr w:rsidR="003A0918">
        <w:trPr>
          <w:trHeight w:val="1666"/>
        </w:trPr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8"/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</w:rPr>
              <w:t xml:space="preserve">Хирургическое уменьшение 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</w:rPr>
              <w:tab/>
              <w:t>легочного объема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vertAlign w:val="superscript"/>
              </w:rPr>
              <w:t>6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</w:rPr>
              <w:t xml:space="preserve">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 </w:t>
            </w:r>
          </w:p>
        </w:tc>
        <w:tc>
          <w:tcPr>
            <w:tcW w:w="3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tabs>
                <w:tab w:val="center" w:pos="1747"/>
                <w:tab w:val="right" w:pos="3673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0,07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смертельных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исхо-</w:t>
            </w:r>
          </w:p>
          <w:p w:rsidR="003A0918" w:rsidRDefault="00D87DBB">
            <w:pPr>
              <w:spacing w:after="0" w:line="238" w:lineRule="auto"/>
              <w:ind w:left="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дов/пациенто/лет в сравнении с 0,15 смертельных исходов </w:t>
            </w:r>
          </w:p>
          <w:p w:rsidR="003A0918" w:rsidRDefault="00D87DBB">
            <w:pPr>
              <w:spacing w:after="0"/>
              <w:ind w:left="8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/пациенто/лет при консервативной терапии. ОР для показателя смертельного исхода 0,47 (р=0,005) </w:t>
            </w:r>
          </w:p>
        </w:tc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7" w:right="6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Эмфизема верхней доли и низкая толерантность к физичексой нагрузке </w:t>
            </w:r>
          </w:p>
        </w:tc>
      </w:tr>
    </w:tbl>
    <w:p w:rsidR="003A0918" w:rsidRDefault="00D87DBB">
      <w:pPr>
        <w:spacing w:after="5" w:line="268" w:lineRule="auto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  <w:vertAlign w:val="superscript"/>
        </w:rPr>
        <w:t>*</w:t>
      </w:r>
      <w:r>
        <w:rPr>
          <w:rFonts w:ascii="Times New Roman" w:eastAsia="Times New Roman" w:hAnsi="Times New Roman" w:cs="Times New Roman"/>
          <w:sz w:val="24"/>
        </w:rPr>
        <w:t xml:space="preserve">РКИ с заранее заданным анализом исходов смертности (первичный или вторичный исход); </w:t>
      </w:r>
      <w:r>
        <w:rPr>
          <w:rFonts w:ascii="Times New Roman" w:eastAsia="Times New Roman" w:hAnsi="Times New Roman" w:cs="Times New Roman"/>
          <w:sz w:val="24"/>
          <w:vertAlign w:val="superscript"/>
        </w:rPr>
        <w:t>#</w:t>
      </w:r>
      <w:r>
        <w:rPr>
          <w:rFonts w:ascii="Times New Roman" w:eastAsia="Times New Roman" w:hAnsi="Times New Roman" w:cs="Times New Roman"/>
          <w:sz w:val="24"/>
        </w:rPr>
        <w:t xml:space="preserve">Неубедительные результаты, вероятно, связаны с различиями в легочной реабилитации у широкого круга участников и в различных условиях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spacing w:after="0" w:line="238" w:lineRule="auto"/>
        <w:ind w:left="1128" w:right="55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1.a. </w:t>
      </w:r>
      <w:r>
        <w:rPr>
          <w:rFonts w:ascii="Times New Roman" w:eastAsia="Times New Roman" w:hAnsi="Times New Roman" w:cs="Times New Roman"/>
          <w:color w:val="212121"/>
          <w:sz w:val="24"/>
        </w:rPr>
        <w:t>Day N.C., Kumar S., Criner G. et al.. Single-</w:t>
      </w:r>
      <w:r>
        <w:rPr>
          <w:rFonts w:ascii="Times New Roman" w:eastAsia="Times New Roman" w:hAnsi="Times New Roman" w:cs="Times New Roman"/>
          <w:color w:val="212121"/>
          <w:sz w:val="24"/>
        </w:rPr>
        <w:t xml:space="preserve">inhaler triple therapy fluticasone furoate/umeclidinium/vilanterol versus fluticasone furoate/vilanterol and umeclidinium/vilanterol in patients with COPD: results on cardiovascular safety from the IMPACT trial. Respir. Res. 2020;21(1):139. </w:t>
      </w:r>
      <w:r>
        <w:rPr>
          <w:rFonts w:ascii="Times New Roman" w:eastAsia="Times New Roman" w:hAnsi="Times New Roman" w:cs="Times New Roman"/>
          <w:sz w:val="24"/>
        </w:rPr>
        <w:t>DOI:</w:t>
      </w:r>
      <w:hyperlink r:id="rId31">
        <w:r>
          <w:rPr>
            <w:rFonts w:ascii="Times New Roman" w:eastAsia="Times New Roman" w:hAnsi="Times New Roman" w:cs="Times New Roman"/>
            <w:sz w:val="24"/>
          </w:rPr>
          <w:t xml:space="preserve"> </w:t>
        </w:r>
      </w:hyperlink>
      <w:hyperlink r:id="rId32">
        <w:r>
          <w:rPr>
            <w:rFonts w:ascii="Times New Roman" w:eastAsia="Times New Roman" w:hAnsi="Times New Roman" w:cs="Times New Roman"/>
            <w:sz w:val="24"/>
          </w:rPr>
          <w:t>10.1186/s12931</w:t>
        </w:r>
      </w:hyperlink>
      <w:hyperlink r:id="rId33">
        <w:r>
          <w:rPr>
            <w:rFonts w:ascii="Times New Roman" w:eastAsia="Times New Roman" w:hAnsi="Times New Roman" w:cs="Times New Roman"/>
            <w:sz w:val="24"/>
          </w:rPr>
          <w:t>-</w:t>
        </w:r>
      </w:hyperlink>
      <w:hyperlink r:id="rId34">
        <w:r>
          <w:rPr>
            <w:rFonts w:ascii="Times New Roman" w:eastAsia="Times New Roman" w:hAnsi="Times New Roman" w:cs="Times New Roman"/>
            <w:sz w:val="24"/>
          </w:rPr>
          <w:t>020</w:t>
        </w:r>
      </w:hyperlink>
      <w:hyperlink r:id="rId35">
        <w:r>
          <w:rPr>
            <w:rFonts w:ascii="Times New Roman" w:eastAsia="Times New Roman" w:hAnsi="Times New Roman" w:cs="Times New Roman"/>
            <w:sz w:val="24"/>
          </w:rPr>
          <w:t>-</w:t>
        </w:r>
      </w:hyperlink>
      <w:hyperlink r:id="rId36">
        <w:r>
          <w:rPr>
            <w:rFonts w:ascii="Times New Roman" w:eastAsia="Times New Roman" w:hAnsi="Times New Roman" w:cs="Times New Roman"/>
            <w:sz w:val="24"/>
          </w:rPr>
          <w:t>01398</w:t>
        </w:r>
      </w:hyperlink>
      <w:hyperlink r:id="rId37">
        <w:r>
          <w:rPr>
            <w:rFonts w:ascii="Times New Roman" w:eastAsia="Times New Roman" w:hAnsi="Times New Roman" w:cs="Times New Roman"/>
            <w:sz w:val="24"/>
          </w:rPr>
          <w:t>-</w:t>
        </w:r>
      </w:hyperlink>
      <w:hyperlink r:id="rId38">
        <w:r>
          <w:rPr>
            <w:rFonts w:ascii="Times New Roman" w:eastAsia="Times New Roman" w:hAnsi="Times New Roman" w:cs="Times New Roman"/>
            <w:sz w:val="24"/>
          </w:rPr>
          <w:t>w</w:t>
        </w:r>
      </w:hyperlink>
      <w:hyperlink r:id="rId39">
        <w:r>
          <w:rPr>
            <w:rFonts w:ascii="Times New Roman" w:eastAsia="Times New Roman" w:hAnsi="Times New Roman" w:cs="Times New Roman"/>
            <w:sz w:val="24"/>
          </w:rPr>
          <w:t>.</w:t>
        </w:r>
      </w:hyperlink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4" w:line="238" w:lineRule="auto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1.b. Martinez F.J., Rabe K.F., Ferguson G.T.  et al. Reduced All-Cause Mortality in the ETHOS Trial of Budesonide/Glycopyrrolate/Formoterol for Chronic Obstructive Pulmonary Disease. A </w:t>
      </w:r>
    </w:p>
    <w:p w:rsidR="003A0918" w:rsidRDefault="00D87DBB">
      <w:pPr>
        <w:spacing w:after="4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Rando</w:t>
      </w:r>
      <w:r>
        <w:rPr>
          <w:rFonts w:ascii="Times New Roman" w:eastAsia="Times New Roman" w:hAnsi="Times New Roman" w:cs="Times New Roman"/>
          <w:sz w:val="24"/>
        </w:rPr>
        <w:t xml:space="preserve">mized, Double-Blind, Multicenter, Parallel-Group Study. Am. J. Respir/ Crit/ Care Med. </w:t>
      </w:r>
    </w:p>
    <w:p w:rsidR="003A0918" w:rsidRDefault="00D87DBB">
      <w:pPr>
        <w:spacing w:after="4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2021; 203(5): 553-564. DOI:</w:t>
      </w:r>
      <w:hyperlink r:id="rId40">
        <w:r>
          <w:rPr>
            <w:rFonts w:ascii="Times New Roman" w:eastAsia="Times New Roman" w:hAnsi="Times New Roman" w:cs="Times New Roman"/>
            <w:sz w:val="24"/>
          </w:rPr>
          <w:t xml:space="preserve"> </w:t>
        </w:r>
      </w:hyperlink>
      <w:hyperlink r:id="rId41">
        <w:r>
          <w:rPr>
            <w:rFonts w:ascii="Times New Roman" w:eastAsia="Times New Roman" w:hAnsi="Times New Roman" w:cs="Times New Roman"/>
            <w:sz w:val="24"/>
          </w:rPr>
          <w:t>10.1164</w:t>
        </w:r>
      </w:hyperlink>
      <w:hyperlink r:id="rId42">
        <w:r>
          <w:rPr>
            <w:rFonts w:ascii="Times New Roman" w:eastAsia="Times New Roman" w:hAnsi="Times New Roman" w:cs="Times New Roman"/>
            <w:sz w:val="24"/>
          </w:rPr>
          <w:t>/rccm.202006</w:t>
        </w:r>
      </w:hyperlink>
      <w:hyperlink r:id="rId43">
        <w:r>
          <w:rPr>
            <w:rFonts w:ascii="Times New Roman" w:eastAsia="Times New Roman" w:hAnsi="Times New Roman" w:cs="Times New Roman"/>
            <w:sz w:val="24"/>
          </w:rPr>
          <w:t>-</w:t>
        </w:r>
      </w:hyperlink>
      <w:hyperlink r:id="rId44">
        <w:r>
          <w:rPr>
            <w:rFonts w:ascii="Times New Roman" w:eastAsia="Times New Roman" w:hAnsi="Times New Roman" w:cs="Times New Roman"/>
            <w:sz w:val="24"/>
          </w:rPr>
          <w:t>2618OC</w:t>
        </w:r>
      </w:hyperlink>
      <w:hyperlink r:id="rId45">
        <w:r>
          <w:rPr>
            <w:rFonts w:ascii="Times New Roman" w:eastAsia="Times New Roman" w:hAnsi="Times New Roman" w:cs="Times New Roman"/>
            <w:sz w:val="24"/>
          </w:rPr>
          <w:t>.</w:t>
        </w:r>
      </w:hyperlink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numPr>
          <w:ilvl w:val="0"/>
          <w:numId w:val="56"/>
        </w:numPr>
        <w:spacing w:after="5" w:line="238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Anthonisen N. R., Skeans M.A., Wise R.A. et al. “The effects of a smoking cessation intervention on 14.5-year mortality: a randomized clinical trial.” Annals of internal medicine vol. 142,4 (2005): 233-9. DOI:</w:t>
      </w:r>
      <w:hyperlink r:id="rId46">
        <w:r>
          <w:rPr>
            <w:rFonts w:ascii="Times New Roman" w:eastAsia="Times New Roman" w:hAnsi="Times New Roman" w:cs="Times New Roman"/>
            <w:sz w:val="24"/>
          </w:rPr>
          <w:t xml:space="preserve"> </w:t>
        </w:r>
      </w:hyperlink>
      <w:hyperlink r:id="rId47">
        <w:r>
          <w:rPr>
            <w:rFonts w:ascii="Times New Roman" w:eastAsia="Times New Roman" w:hAnsi="Times New Roman" w:cs="Times New Roman"/>
            <w:sz w:val="24"/>
          </w:rPr>
          <w:t>10.7326/0003</w:t>
        </w:r>
      </w:hyperlink>
      <w:hyperlink r:id="rId48">
        <w:r>
          <w:rPr>
            <w:rFonts w:ascii="Times New Roman" w:eastAsia="Times New Roman" w:hAnsi="Times New Roman" w:cs="Times New Roman"/>
            <w:sz w:val="24"/>
          </w:rPr>
          <w:t>-</w:t>
        </w:r>
      </w:hyperlink>
      <w:hyperlink r:id="rId49">
        <w:r>
          <w:rPr>
            <w:rFonts w:ascii="Times New Roman" w:eastAsia="Times New Roman" w:hAnsi="Times New Roman" w:cs="Times New Roman"/>
            <w:sz w:val="24"/>
          </w:rPr>
          <w:t>4819</w:t>
        </w:r>
      </w:hyperlink>
      <w:hyperlink r:id="rId50">
        <w:r>
          <w:rPr>
            <w:rFonts w:ascii="Times New Roman" w:eastAsia="Times New Roman" w:hAnsi="Times New Roman" w:cs="Times New Roman"/>
            <w:sz w:val="24"/>
          </w:rPr>
          <w:t>-</w:t>
        </w:r>
      </w:hyperlink>
      <w:hyperlink r:id="rId51">
        <w:r>
          <w:rPr>
            <w:rFonts w:ascii="Times New Roman" w:eastAsia="Times New Roman" w:hAnsi="Times New Roman" w:cs="Times New Roman"/>
            <w:sz w:val="24"/>
          </w:rPr>
          <w:t>142</w:t>
        </w:r>
      </w:hyperlink>
      <w:hyperlink r:id="rId52">
        <w:r>
          <w:rPr>
            <w:rFonts w:ascii="Times New Roman" w:eastAsia="Times New Roman" w:hAnsi="Times New Roman" w:cs="Times New Roman"/>
            <w:sz w:val="24"/>
          </w:rPr>
          <w:t>-</w:t>
        </w:r>
      </w:hyperlink>
      <w:hyperlink r:id="rId53">
        <w:r>
          <w:rPr>
            <w:rFonts w:ascii="Times New Roman" w:eastAsia="Times New Roman" w:hAnsi="Times New Roman" w:cs="Times New Roman"/>
            <w:sz w:val="24"/>
          </w:rPr>
          <w:t>4</w:t>
        </w:r>
      </w:hyperlink>
      <w:hyperlink r:id="rId54">
        <w:r>
          <w:rPr>
            <w:rFonts w:ascii="Times New Roman" w:eastAsia="Times New Roman" w:hAnsi="Times New Roman" w:cs="Times New Roman"/>
            <w:sz w:val="24"/>
          </w:rPr>
          <w:t>-</w:t>
        </w:r>
      </w:hyperlink>
      <w:hyperlink r:id="rId55">
        <w:r>
          <w:rPr>
            <w:rFonts w:ascii="Times New Roman" w:eastAsia="Times New Roman" w:hAnsi="Times New Roman" w:cs="Times New Roman"/>
            <w:sz w:val="24"/>
          </w:rPr>
          <w:t>200502150</w:t>
        </w:r>
      </w:hyperlink>
      <w:hyperlink r:id="rId56">
        <w:r>
          <w:rPr>
            <w:rFonts w:ascii="Times New Roman" w:eastAsia="Times New Roman" w:hAnsi="Times New Roman" w:cs="Times New Roman"/>
            <w:sz w:val="24"/>
          </w:rPr>
          <w:t>-</w:t>
        </w:r>
      </w:hyperlink>
      <w:hyperlink r:id="rId57">
        <w:r>
          <w:rPr>
            <w:rFonts w:ascii="Times New Roman" w:eastAsia="Times New Roman" w:hAnsi="Times New Roman" w:cs="Times New Roman"/>
            <w:sz w:val="24"/>
          </w:rPr>
          <w:t>00005.</w:t>
        </w:r>
      </w:hyperlink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numPr>
          <w:ilvl w:val="0"/>
          <w:numId w:val="56"/>
        </w:numPr>
        <w:spacing w:after="4" w:line="238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Ryrso C.K., Godtfredsen N.S., Kofod L.M. et al. Lower mortality after early supervi</w:t>
      </w:r>
      <w:r>
        <w:rPr>
          <w:rFonts w:ascii="Times New Roman" w:eastAsia="Times New Roman" w:hAnsi="Times New Roman" w:cs="Times New Roman"/>
          <w:sz w:val="24"/>
        </w:rPr>
        <w:t xml:space="preserve">sed pulmonary rehabilitation following COPD-exacerbations: a systematic review and meta-analysis. BMC Pulmonary Medicine 2018;18(154):  https://doi.org/10.1186/s12890-018-0718-1.  </w:t>
      </w:r>
    </w:p>
    <w:p w:rsidR="003A0918" w:rsidRDefault="00D87DBB">
      <w:pPr>
        <w:spacing w:after="0" w:line="238" w:lineRule="auto"/>
        <w:ind w:left="781" w:right="157"/>
        <w:jc w:val="center"/>
      </w:pPr>
      <w:r>
        <w:rPr>
          <w:rFonts w:ascii="Times New Roman" w:eastAsia="Times New Roman" w:hAnsi="Times New Roman" w:cs="Times New Roman"/>
          <w:sz w:val="24"/>
        </w:rPr>
        <w:t xml:space="preserve"> 4.a- Continuous or nocturnal oxygen therapy in hypoxemic chronic obstructi</w:t>
      </w:r>
      <w:r>
        <w:rPr>
          <w:rFonts w:ascii="Times New Roman" w:eastAsia="Times New Roman" w:hAnsi="Times New Roman" w:cs="Times New Roman"/>
          <w:sz w:val="24"/>
        </w:rPr>
        <w:t xml:space="preserve">ve lung disease: a clinical trial. Nocturnal Oxygen Therapy Trial Group. Annals of internal medicine 1980; 93(3): </w:t>
      </w:r>
    </w:p>
    <w:p w:rsidR="003A0918" w:rsidRDefault="00D87DBB">
      <w:pPr>
        <w:spacing w:after="4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391-398. DOI:</w:t>
      </w:r>
      <w:hyperlink r:id="rId58">
        <w:r>
          <w:rPr>
            <w:rFonts w:ascii="Times New Roman" w:eastAsia="Times New Roman" w:hAnsi="Times New Roman" w:cs="Times New Roman"/>
            <w:sz w:val="24"/>
          </w:rPr>
          <w:t xml:space="preserve"> </w:t>
        </w:r>
      </w:hyperlink>
      <w:hyperlink r:id="rId59">
        <w:r>
          <w:rPr>
            <w:rFonts w:ascii="Times New Roman" w:eastAsia="Times New Roman" w:hAnsi="Times New Roman" w:cs="Times New Roman"/>
            <w:sz w:val="24"/>
          </w:rPr>
          <w:t>10.</w:t>
        </w:r>
        <w:r>
          <w:rPr>
            <w:rFonts w:ascii="Times New Roman" w:eastAsia="Times New Roman" w:hAnsi="Times New Roman" w:cs="Times New Roman"/>
            <w:sz w:val="24"/>
          </w:rPr>
          <w:t>7326/0003</w:t>
        </w:r>
      </w:hyperlink>
      <w:hyperlink r:id="rId60">
        <w:r>
          <w:rPr>
            <w:rFonts w:ascii="Times New Roman" w:eastAsia="Times New Roman" w:hAnsi="Times New Roman" w:cs="Times New Roman"/>
            <w:sz w:val="24"/>
          </w:rPr>
          <w:t>-</w:t>
        </w:r>
      </w:hyperlink>
      <w:hyperlink r:id="rId61">
        <w:r>
          <w:rPr>
            <w:rFonts w:ascii="Times New Roman" w:eastAsia="Times New Roman" w:hAnsi="Times New Roman" w:cs="Times New Roman"/>
            <w:sz w:val="24"/>
          </w:rPr>
          <w:t>4819</w:t>
        </w:r>
      </w:hyperlink>
      <w:hyperlink r:id="rId62">
        <w:r>
          <w:rPr>
            <w:rFonts w:ascii="Times New Roman" w:eastAsia="Times New Roman" w:hAnsi="Times New Roman" w:cs="Times New Roman"/>
            <w:sz w:val="24"/>
          </w:rPr>
          <w:t>-</w:t>
        </w:r>
      </w:hyperlink>
      <w:hyperlink r:id="rId63">
        <w:r>
          <w:rPr>
            <w:rFonts w:ascii="Times New Roman" w:eastAsia="Times New Roman" w:hAnsi="Times New Roman" w:cs="Times New Roman"/>
            <w:sz w:val="24"/>
          </w:rPr>
          <w:t>93</w:t>
        </w:r>
      </w:hyperlink>
      <w:hyperlink r:id="rId64">
        <w:r>
          <w:rPr>
            <w:rFonts w:ascii="Times New Roman" w:eastAsia="Times New Roman" w:hAnsi="Times New Roman" w:cs="Times New Roman"/>
            <w:sz w:val="24"/>
          </w:rPr>
          <w:t>-</w:t>
        </w:r>
      </w:hyperlink>
      <w:hyperlink r:id="rId65">
        <w:r>
          <w:rPr>
            <w:rFonts w:ascii="Times New Roman" w:eastAsia="Times New Roman" w:hAnsi="Times New Roman" w:cs="Times New Roman"/>
            <w:sz w:val="24"/>
          </w:rPr>
          <w:t>3</w:t>
        </w:r>
      </w:hyperlink>
      <w:hyperlink r:id="rId66">
        <w:r>
          <w:rPr>
            <w:rFonts w:ascii="Times New Roman" w:eastAsia="Times New Roman" w:hAnsi="Times New Roman" w:cs="Times New Roman"/>
            <w:sz w:val="24"/>
          </w:rPr>
          <w:t>-</w:t>
        </w:r>
      </w:hyperlink>
      <w:hyperlink r:id="rId67">
        <w:r>
          <w:rPr>
            <w:rFonts w:ascii="Times New Roman" w:eastAsia="Times New Roman" w:hAnsi="Times New Roman" w:cs="Times New Roman"/>
            <w:sz w:val="24"/>
          </w:rPr>
          <w:t>391.</w:t>
        </w:r>
      </w:hyperlink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numPr>
          <w:ilvl w:val="0"/>
          <w:numId w:val="56"/>
        </w:numPr>
        <w:spacing w:after="4" w:line="238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b-Long term domiciliary oxygen therapy in chronic hypoxic cor pulmonale complicating chronic bronchitis and emphysema. Report of the Medical Research Council Working Party. Lancet 1981; 1(8222): 681-686, DOI:</w:t>
      </w:r>
      <w:hyperlink r:id="rId68">
        <w:r>
          <w:rPr>
            <w:rFonts w:ascii="Times New Roman" w:eastAsia="Times New Roman" w:hAnsi="Times New Roman" w:cs="Times New Roman"/>
            <w:sz w:val="24"/>
          </w:rPr>
          <w:t xml:space="preserve"> </w:t>
        </w:r>
      </w:hyperlink>
      <w:hyperlink r:id="rId69">
        <w:r>
          <w:rPr>
            <w:rFonts w:ascii="Times New Roman" w:eastAsia="Times New Roman" w:hAnsi="Times New Roman" w:cs="Times New Roman"/>
            <w:sz w:val="24"/>
          </w:rPr>
          <w:t>10.1136/thx.31.4.414</w:t>
        </w:r>
      </w:hyperlink>
      <w:hyperlink r:id="rId70">
        <w:r>
          <w:rPr>
            <w:rFonts w:ascii="Times New Roman" w:eastAsia="Times New Roman" w:hAnsi="Times New Roman" w:cs="Times New Roman"/>
            <w:sz w:val="24"/>
          </w:rPr>
          <w:t xml:space="preserve"> </w:t>
        </w:r>
      </w:hyperlink>
    </w:p>
    <w:p w:rsidR="003A0918" w:rsidRDefault="00D87DBB">
      <w:pPr>
        <w:numPr>
          <w:ilvl w:val="0"/>
          <w:numId w:val="56"/>
        </w:numPr>
        <w:spacing w:after="0" w:line="238" w:lineRule="auto"/>
        <w:ind w:right="563" w:hanging="10"/>
        <w:jc w:val="both"/>
      </w:pPr>
      <w:r>
        <w:rPr>
          <w:rFonts w:ascii="Times New Roman" w:eastAsia="Times New Roman" w:hAnsi="Times New Roman" w:cs="Times New Roman"/>
          <w:color w:val="212121"/>
          <w:sz w:val="24"/>
        </w:rPr>
        <w:t>Köhnlein T, Windisch W, Köhler D. et al. Non-invasive positive pres</w:t>
      </w:r>
      <w:r>
        <w:rPr>
          <w:rFonts w:ascii="Times New Roman" w:eastAsia="Times New Roman" w:hAnsi="Times New Roman" w:cs="Times New Roman"/>
          <w:color w:val="212121"/>
          <w:sz w:val="24"/>
        </w:rPr>
        <w:t>sure ventilation for the treatment of severe stable chronic obstructive pulmonary disease: a prospective, multicentre, randomised, controlled clinical trial. Lancet Respir Med. 2014;2(9):698-705. doi: 10.1016/S22132600(14)70153-5. Epub 2014 Jul 24. PMID: 2</w:t>
      </w:r>
      <w:r>
        <w:rPr>
          <w:rFonts w:ascii="Times New Roman" w:eastAsia="Times New Roman" w:hAnsi="Times New Roman" w:cs="Times New Roman"/>
          <w:color w:val="212121"/>
          <w:sz w:val="24"/>
        </w:rPr>
        <w:t xml:space="preserve">5066329. 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numPr>
          <w:ilvl w:val="0"/>
          <w:numId w:val="56"/>
        </w:numPr>
        <w:spacing w:after="4" w:line="238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Fishman A., Martinez F., Naunheim K. et al. A randomized trial comparing lung-volumereduction surgery with medical therapy for severe emphysema. N. Engl. J. Med. 2003; 348 (21): 2059-2073. DOI:</w:t>
      </w:r>
      <w:hyperlink r:id="rId71">
        <w:r>
          <w:rPr>
            <w:rFonts w:ascii="Times New Roman" w:eastAsia="Times New Roman" w:hAnsi="Times New Roman" w:cs="Times New Roman"/>
            <w:sz w:val="24"/>
          </w:rPr>
          <w:t xml:space="preserve"> </w:t>
        </w:r>
      </w:hyperlink>
      <w:hyperlink r:id="rId72">
        <w:r>
          <w:rPr>
            <w:rFonts w:ascii="Times New Roman" w:eastAsia="Times New Roman" w:hAnsi="Times New Roman" w:cs="Times New Roman"/>
            <w:sz w:val="24"/>
          </w:rPr>
          <w:t>10.1056/</w:t>
        </w:r>
      </w:hyperlink>
      <w:hyperlink r:id="rId73">
        <w:r>
          <w:rPr>
            <w:rFonts w:ascii="Times New Roman" w:eastAsia="Times New Roman" w:hAnsi="Times New Roman" w:cs="Times New Roman"/>
            <w:sz w:val="24"/>
          </w:rPr>
          <w:t>NEJMoa</w:t>
        </w:r>
      </w:hyperlink>
      <w:hyperlink r:id="rId74">
        <w:r>
          <w:rPr>
            <w:rFonts w:ascii="Times New Roman" w:eastAsia="Times New Roman" w:hAnsi="Times New Roman" w:cs="Times New Roman"/>
            <w:sz w:val="24"/>
          </w:rPr>
          <w:t>030287</w:t>
        </w:r>
      </w:hyperlink>
      <w:hyperlink r:id="rId75">
        <w:r>
          <w:rPr>
            <w:rFonts w:ascii="Times New Roman" w:eastAsia="Times New Roman" w:hAnsi="Times New Roman" w:cs="Times New Roman"/>
            <w:sz w:val="24"/>
          </w:rPr>
          <w:t xml:space="preserve"> </w:t>
        </w:r>
      </w:hyperlink>
    </w:p>
    <w:p w:rsidR="003A0918" w:rsidRDefault="00D87DBB">
      <w:pPr>
        <w:spacing w:after="5"/>
        <w:ind w:left="1133"/>
      </w:pPr>
      <w:r>
        <w:rPr>
          <w:rFonts w:ascii="Times New Roman" w:eastAsia="Times New Roman" w:hAnsi="Times New Roman" w:cs="Times New Roman"/>
          <w:color w:val="212121"/>
          <w:sz w:val="24"/>
        </w:rPr>
        <w:t xml:space="preserve"> </w:t>
      </w:r>
    </w:p>
    <w:p w:rsidR="003A0918" w:rsidRDefault="00D87DBB">
      <w:pPr>
        <w:tabs>
          <w:tab w:val="center" w:pos="1801"/>
          <w:tab w:val="center" w:pos="4477"/>
          <w:tab w:val="center" w:pos="7727"/>
          <w:tab w:val="center" w:pos="10185"/>
        </w:tabs>
        <w:spacing w:after="5"/>
      </w:pPr>
      <w:r>
        <w:tab/>
      </w:r>
      <w:r>
        <w:rPr>
          <w:rFonts w:ascii="Times New Roman" w:eastAsia="Times New Roman" w:hAnsi="Times New Roman" w:cs="Times New Roman"/>
          <w:sz w:val="24"/>
        </w:rPr>
        <w:t xml:space="preserve">Примечание: </w:t>
      </w:r>
      <w:r>
        <w:rPr>
          <w:rFonts w:ascii="Times New Roman" w:eastAsia="Times New Roman" w:hAnsi="Times New Roman" w:cs="Times New Roman"/>
          <w:sz w:val="24"/>
        </w:rPr>
        <w:tab/>
        <w:t xml:space="preserve">ИГКС-ингаляционные </w:t>
      </w:r>
      <w:r>
        <w:rPr>
          <w:rFonts w:ascii="Times New Roman" w:eastAsia="Times New Roman" w:hAnsi="Times New Roman" w:cs="Times New Roman"/>
          <w:sz w:val="24"/>
        </w:rPr>
        <w:tab/>
        <w:t xml:space="preserve">глюкокортикостероиды, </w:t>
      </w:r>
      <w:r>
        <w:rPr>
          <w:rFonts w:ascii="Times New Roman" w:eastAsia="Times New Roman" w:hAnsi="Times New Roman" w:cs="Times New Roman"/>
          <w:sz w:val="24"/>
        </w:rPr>
        <w:tab/>
        <w:t>ДДБА-</w:t>
      </w:r>
    </w:p>
    <w:p w:rsidR="003A0918" w:rsidRDefault="00D87DBB">
      <w:pPr>
        <w:spacing w:after="38" w:line="239" w:lineRule="auto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длительнодействующие бета агонисты, ДДАХ-длительнодействующие антихолинергики, HR-относительный риск (отношение событий в определенный момент врем</w:t>
      </w:r>
      <w:r>
        <w:rPr>
          <w:rFonts w:ascii="Times New Roman" w:eastAsia="Times New Roman" w:hAnsi="Times New Roman" w:cs="Times New Roman"/>
          <w:sz w:val="24"/>
        </w:rPr>
        <w:t>ени); RRотношение риска наступления определенного события у лиц, подвергавшихся воздействию факторов риска по отношению к контрольной группе, ДИ-доверительный интервал, КЖкачество жизни, PaO</w:t>
      </w:r>
      <w:r>
        <w:rPr>
          <w:rFonts w:ascii="Times New Roman" w:eastAsia="Times New Roman" w:hAnsi="Times New Roman" w:cs="Times New Roman"/>
          <w:sz w:val="24"/>
          <w:vertAlign w:val="subscript"/>
        </w:rPr>
        <w:t>2</w:t>
      </w:r>
      <w:r>
        <w:rPr>
          <w:rFonts w:ascii="Times New Roman" w:eastAsia="Times New Roman" w:hAnsi="Times New Roman" w:cs="Times New Roman"/>
          <w:sz w:val="24"/>
        </w:rPr>
        <w:t>-парциальное давление кислорода в артериальной крови, ХОБЛхрониче</w:t>
      </w:r>
      <w:r>
        <w:rPr>
          <w:rFonts w:ascii="Times New Roman" w:eastAsia="Times New Roman" w:hAnsi="Times New Roman" w:cs="Times New Roman"/>
          <w:sz w:val="24"/>
        </w:rPr>
        <w:t xml:space="preserve">ская обструктивная болезнь легких, MRS (Medical Research Council) – шкала одышки, НИВЛ high IPAP level – неинвазивная вентиляция легких с высоким положительным давлением на вдохе, ИВЛ-искусственная вентиляция лёгких. </w:t>
      </w:r>
    </w:p>
    <w:p w:rsidR="003A0918" w:rsidRDefault="00D87DBB">
      <w:pPr>
        <w:spacing w:after="168"/>
        <w:ind w:left="634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3A0918" w:rsidRDefault="00D87DBB">
      <w:pPr>
        <w:pStyle w:val="Heading1"/>
        <w:spacing w:after="92"/>
        <w:ind w:left="870" w:right="304"/>
      </w:pPr>
      <w:r>
        <w:t>Приложение В. Информация для пациент</w:t>
      </w:r>
      <w:r>
        <w:t>а</w:t>
      </w:r>
      <w: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Хроническая обструктивная болезнь легких (ХОБЛ) – это заболевание, при котором нарушается прохождение воздуха по бронхам и попадание кислорода и легкого в кровь. Вследствие этого развивается дыхательная недостаточность, которая проявляется одышкой. Разн</w:t>
      </w:r>
      <w:r>
        <w:rPr>
          <w:rFonts w:ascii="Times New Roman" w:eastAsia="Times New Roman" w:hAnsi="Times New Roman" w:cs="Times New Roman"/>
          <w:sz w:val="24"/>
        </w:rPr>
        <w:t>ая тяжесть заболевания приводит к различной интенсивности одышки. Как правило, она начинает беспокоить при подъеме по лестнице или при ходьбе в гору, затем проявляться при интенсивной ходьбе по ровной поверхности, потом заставляет ходить медленно и останав</w:t>
      </w:r>
      <w:r>
        <w:rPr>
          <w:rFonts w:ascii="Times New Roman" w:eastAsia="Times New Roman" w:hAnsi="Times New Roman" w:cs="Times New Roman"/>
          <w:sz w:val="24"/>
        </w:rPr>
        <w:t xml:space="preserve">ливаться. При очень тяжелой форме одышке беспокоит в покое.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Основной причиной развития ХОБЛ является курение. Табачный дым содержит вещества, которые вызывают воспаление, разрушающее ткани легких и бронхов. Реже ХОБЛ вызывают профессиональные вредности ил</w:t>
      </w:r>
      <w:r>
        <w:rPr>
          <w:rFonts w:ascii="Times New Roman" w:eastAsia="Times New Roman" w:hAnsi="Times New Roman" w:cs="Times New Roman"/>
          <w:sz w:val="24"/>
        </w:rPr>
        <w:t xml:space="preserve">и загрязнения атмосферного воздуха или жилых помещений. Болезнь прогрессирует медленно, поэтому одышка – основной симптом болезни – становится заметной, то есть мешающей жить, после 40 лет.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ХОБЛ выявляют на основании симптомов болезни (в первую очередь, о</w:t>
      </w:r>
      <w:r>
        <w:rPr>
          <w:rFonts w:ascii="Times New Roman" w:eastAsia="Times New Roman" w:hAnsi="Times New Roman" w:cs="Times New Roman"/>
          <w:sz w:val="24"/>
        </w:rPr>
        <w:t>дышка, а также кашель и отхождение мокроты), исследования функции легких (спирометрия, которая фиксирует снижение скорости прохождения воздуха по бронхам), а также некоторых других исследований. Например, компьютерная томография легких может выявлять эмфиз</w:t>
      </w:r>
      <w:r>
        <w:rPr>
          <w:rFonts w:ascii="Times New Roman" w:eastAsia="Times New Roman" w:hAnsi="Times New Roman" w:cs="Times New Roman"/>
          <w:sz w:val="24"/>
        </w:rPr>
        <w:t>ему легких – одно из проявлений ХОБЛ, а исследование газообмена помогает определить наличие и степень дыхательной недостаточности. Кроме того, исследование сердца может выявить осложнения со стороны этого органа. Данные обследование помогают уточнить диагн</w:t>
      </w:r>
      <w:r>
        <w:rPr>
          <w:rFonts w:ascii="Times New Roman" w:eastAsia="Times New Roman" w:hAnsi="Times New Roman" w:cs="Times New Roman"/>
          <w:sz w:val="24"/>
        </w:rPr>
        <w:t xml:space="preserve">оз, выявить осложнения и выбрать правильное лечение.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Лечение ХОБЛ начинается с отказа от курения (или прекращения воздействия других веществ, попадающих в легкие). Прекращение курения облегчает симптомы болезни и продлевает жизнь. Если человек не в состоя</w:t>
      </w:r>
      <w:r>
        <w:rPr>
          <w:rFonts w:ascii="Times New Roman" w:eastAsia="Times New Roman" w:hAnsi="Times New Roman" w:cs="Times New Roman"/>
          <w:sz w:val="24"/>
        </w:rPr>
        <w:t>нии бросить курить самостоятельно, то ему, возможно, потребуется лекарственная поддержка, помогающая справиться с никотиновой зависимостью. Основой такой поддержки является никотинзамещающая терапия, когда с помощью пластырей, жевательной резинки или никот</w:t>
      </w:r>
      <w:r>
        <w:rPr>
          <w:rFonts w:ascii="Times New Roman" w:eastAsia="Times New Roman" w:hAnsi="Times New Roman" w:cs="Times New Roman"/>
          <w:sz w:val="24"/>
        </w:rPr>
        <w:t>инового мундштука никотин вводят в организм, тем самым избавляя пациента от воздействия вредных компонентов табачного дыма. В дальнейшем дозу никотина уменьшают вплоть до отмены. Такое лечение требует медицинской консультации и наблюдения. Существуют други</w:t>
      </w:r>
      <w:r>
        <w:rPr>
          <w:rFonts w:ascii="Times New Roman" w:eastAsia="Times New Roman" w:hAnsi="Times New Roman" w:cs="Times New Roman"/>
          <w:sz w:val="24"/>
        </w:rPr>
        <w:t xml:space="preserve">е методы лекарственной поддержки, которые назначает специалист.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Основой лекарственного лечения ХОБЛ являются бронхорасширяющие препараты. Обычно пациенту рекомендуют ингалятор, содержащий препарат, быстро расширяющий бронхи и применяющийся как средство ск</w:t>
      </w:r>
      <w:r>
        <w:rPr>
          <w:rFonts w:ascii="Times New Roman" w:eastAsia="Times New Roman" w:hAnsi="Times New Roman" w:cs="Times New Roman"/>
          <w:sz w:val="24"/>
        </w:rPr>
        <w:t>орой помощи. Основой регулярного лечения являются бронхорасширяющие препараты длительного (12- или 24-часового действия). Все они используются в виде ингаляторов, порошковых или аэрозольных. Обычно назначают один или два бронхорасширяющих препарата, в зави</w:t>
      </w:r>
      <w:r>
        <w:rPr>
          <w:rFonts w:ascii="Times New Roman" w:eastAsia="Times New Roman" w:hAnsi="Times New Roman" w:cs="Times New Roman"/>
          <w:sz w:val="24"/>
        </w:rPr>
        <w:t xml:space="preserve">симости от того, насколько выражены симптомы болезни. 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Врач может также назначить ингаляционные гормоны, поскольку при некоторых формах ХОБЛ они дают дополнительный эффект. Некоторые виды ХОБЛ требуют добавления особых препаратов – специальных противовосп</w:t>
      </w:r>
      <w:r>
        <w:rPr>
          <w:rFonts w:ascii="Times New Roman" w:eastAsia="Times New Roman" w:hAnsi="Times New Roman" w:cs="Times New Roman"/>
          <w:sz w:val="24"/>
        </w:rPr>
        <w:t xml:space="preserve">алительных средств, воздействующих на мокроту и антиоксидантов, антибиотиков в специальном режиме и т.д. 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Некоторые пациенты, испытывающие тяжелую одышку из-за дыхательной недостаточности, могут нуждаться в кислороде или применении специальных портативных</w:t>
      </w:r>
      <w:r>
        <w:rPr>
          <w:rFonts w:ascii="Times New Roman" w:eastAsia="Times New Roman" w:hAnsi="Times New Roman" w:cs="Times New Roman"/>
          <w:sz w:val="24"/>
        </w:rPr>
        <w:t xml:space="preserve"> машин, помогающих легким дышать. В домашних условиях кислород используют с помощью специальных концентраторов, которые из воздуха выделают кислород, а специальные машины бывают разных типов, в зависимости от особенностей пациента. Пульмонолог при необходи</w:t>
      </w:r>
      <w:r>
        <w:rPr>
          <w:rFonts w:ascii="Times New Roman" w:eastAsia="Times New Roman" w:hAnsi="Times New Roman" w:cs="Times New Roman"/>
          <w:sz w:val="24"/>
        </w:rPr>
        <w:t xml:space="preserve">мости даст консультации по применению таких устройств.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При ХОБЛ иногда делают операции, которые способны уменьшить одышку при тяжелой эмфиземе. В некоторых случаях возможна пересадка легких. Отбор для этих операций очень сложный и требует консультаций мно</w:t>
      </w:r>
      <w:r>
        <w:rPr>
          <w:rFonts w:ascii="Times New Roman" w:eastAsia="Times New Roman" w:hAnsi="Times New Roman" w:cs="Times New Roman"/>
          <w:sz w:val="24"/>
        </w:rPr>
        <w:t xml:space="preserve">гих специалистов.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Человек, болеющий ХОБЛ, должен обязательно двигаться и давать себе доступную ему нагрузку. Рекомендуется дважды в неделю тренироваться на бегущей дорожке или велоэргометре, а также упражняться с помощью легких гантелей. Кроме того, следу</w:t>
      </w:r>
      <w:r>
        <w:rPr>
          <w:rFonts w:ascii="Times New Roman" w:eastAsia="Times New Roman" w:hAnsi="Times New Roman" w:cs="Times New Roman"/>
          <w:sz w:val="24"/>
        </w:rPr>
        <w:t xml:space="preserve">ет ежедневно совершать пешие прогулки, стараясь пройти, сколько позволяет одышка и общее состояние, однако в целом рекомендуют проходить около 3–4 километров. Такие занятия повышают физический тонус и снижают степень одышки.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Человек, болеющий ХОБЛ, должен</w:t>
      </w:r>
      <w:r>
        <w:rPr>
          <w:rFonts w:ascii="Times New Roman" w:eastAsia="Times New Roman" w:hAnsi="Times New Roman" w:cs="Times New Roman"/>
          <w:sz w:val="24"/>
        </w:rPr>
        <w:t xml:space="preserve"> регулярно проходить диспансерный осмотр, так как ХОБЛ нередко сопутствуют и другие заболевания, в первую очередь, сердечнососудистой системы. </w:t>
      </w:r>
    </w:p>
    <w:p w:rsidR="003A0918" w:rsidRDefault="00D87DBB">
      <w:pPr>
        <w:spacing w:after="69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Лечебно-</w:t>
      </w:r>
      <w:r>
        <w:rPr>
          <w:rFonts w:ascii="Times New Roman" w:eastAsia="Times New Roman" w:hAnsi="Times New Roman" w:cs="Times New Roman"/>
          <w:sz w:val="24"/>
        </w:rPr>
        <w:t xml:space="preserve">профилактические мероприятия при их правильном и регулярном применении уменьшают проявления болезни, снижают риск обострений и осложнений, а также продлевают жизнь. </w:t>
      </w:r>
    </w:p>
    <w:p w:rsidR="003A0918" w:rsidRDefault="00D87DBB">
      <w:pPr>
        <w:spacing w:after="0" w:line="249" w:lineRule="auto"/>
        <w:ind w:left="1314" w:right="744" w:hanging="10"/>
        <w:jc w:val="center"/>
      </w:pPr>
      <w:r>
        <w:rPr>
          <w:rFonts w:ascii="Times New Roman" w:eastAsia="Times New Roman" w:hAnsi="Times New Roman" w:cs="Times New Roman"/>
          <w:b/>
          <w:sz w:val="32"/>
        </w:rPr>
        <w:t>Приложения Г1-Г7. Шкалы оценки, вопросники и другие оценочные инструменты состояния пациен</w:t>
      </w:r>
      <w:r>
        <w:rPr>
          <w:rFonts w:ascii="Times New Roman" w:eastAsia="Times New Roman" w:hAnsi="Times New Roman" w:cs="Times New Roman"/>
          <w:b/>
          <w:sz w:val="32"/>
        </w:rPr>
        <w:t xml:space="preserve">та, приведенные  в клинических рекомендациях </w:t>
      </w:r>
    </w:p>
    <w:p w:rsidR="003A0918" w:rsidRDefault="00D87DBB">
      <w:pPr>
        <w:spacing w:after="5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pStyle w:val="Heading1"/>
        <w:spacing w:after="120"/>
        <w:ind w:left="870" w:right="295"/>
      </w:pPr>
      <w:r>
        <w:t xml:space="preserve">Приложение Г1. Оценка одышки по шкале </w:t>
      </w:r>
      <w:r>
        <w:t xml:space="preserve">mMRC </w:t>
      </w:r>
    </w:p>
    <w:p w:rsidR="003A0918" w:rsidRDefault="00D87DBB">
      <w:pPr>
        <w:pStyle w:val="Heading2"/>
        <w:spacing w:after="17"/>
        <w:ind w:left="2198" w:right="551" w:hanging="360"/>
      </w:pPr>
      <w:r>
        <w:rPr>
          <w:rFonts w:ascii="Segoe UI Symbol" w:eastAsia="Segoe UI Symbol" w:hAnsi="Segoe UI Symbol" w:cs="Segoe UI Symbol"/>
          <w:b w:val="0"/>
        </w:rPr>
        <w:t>•</w:t>
      </w:r>
      <w:r>
        <w:rPr>
          <w:rFonts w:ascii="Arial" w:eastAsia="Arial" w:hAnsi="Arial" w:cs="Arial"/>
          <w:b w:val="0"/>
        </w:rPr>
        <w:t xml:space="preserve"> </w:t>
      </w:r>
      <w:r>
        <w:rPr>
          <w:b w:val="0"/>
        </w:rPr>
        <w:t xml:space="preserve">Название на русском языке: </w:t>
      </w:r>
      <w:r>
        <w:t>модифицированный опросник Британского медицинского исследовательского совета для оценки тяжести одышки</w:t>
      </w:r>
      <w:r>
        <w:rPr>
          <w:b w:val="0"/>
        </w:rPr>
        <w:t xml:space="preserve"> </w:t>
      </w:r>
    </w:p>
    <w:p w:rsidR="003A0918" w:rsidRDefault="00D87DBB">
      <w:pPr>
        <w:numPr>
          <w:ilvl w:val="0"/>
          <w:numId w:val="57"/>
        </w:numPr>
        <w:spacing w:after="14" w:line="249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Оригинальное название: </w:t>
      </w:r>
      <w:r>
        <w:rPr>
          <w:rFonts w:ascii="Times New Roman" w:eastAsia="Times New Roman" w:hAnsi="Times New Roman" w:cs="Times New Roman"/>
          <w:b/>
          <w:sz w:val="24"/>
        </w:rPr>
        <w:t>mMRC (Th</w:t>
      </w:r>
      <w:r>
        <w:rPr>
          <w:rFonts w:ascii="Times New Roman" w:eastAsia="Times New Roman" w:hAnsi="Times New Roman" w:cs="Times New Roman"/>
          <w:b/>
          <w:sz w:val="24"/>
        </w:rPr>
        <w:t xml:space="preserve">e Modified Medical Research Council Dyspnea Scale) </w:t>
      </w:r>
    </w:p>
    <w:p w:rsidR="003A0918" w:rsidRDefault="00D87DBB">
      <w:pPr>
        <w:numPr>
          <w:ilvl w:val="0"/>
          <w:numId w:val="57"/>
        </w:numPr>
        <w:spacing w:after="5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Источник (публикация с валидацией): </w:t>
      </w:r>
    </w:p>
    <w:p w:rsidR="003A0918" w:rsidRDefault="00D87DBB">
      <w:pPr>
        <w:spacing w:after="4" w:line="216" w:lineRule="auto"/>
        <w:ind w:left="2561" w:right="563" w:hanging="360"/>
        <w:jc w:val="both"/>
      </w:pPr>
      <w:r>
        <w:rPr>
          <w:rFonts w:ascii="Wingdings" w:eastAsia="Wingdings" w:hAnsi="Wingdings" w:cs="Wingdings"/>
          <w:sz w:val="24"/>
        </w:rPr>
        <w:t>▪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 xml:space="preserve">Nena Milačić, Bojan Milačić, Olivera Dunjic et al. </w:t>
      </w:r>
      <w:r>
        <w:rPr>
          <w:rFonts w:ascii="Times New Roman" w:eastAsia="Times New Roman" w:hAnsi="Times New Roman" w:cs="Times New Roman"/>
          <w:sz w:val="24"/>
        </w:rPr>
        <w:t>Validity of CAT and mMRC – dyspnea score in evaluation of COPD severity. Acta Medica Medianae 2015, Vol.54(1)</w:t>
      </w:r>
      <w:r>
        <w:rPr>
          <w:rFonts w:ascii="Times New Roman" w:eastAsia="Times New Roman" w:hAnsi="Times New Roman" w:cs="Times New Roman"/>
          <w:sz w:val="42"/>
        </w:rPr>
        <w:t xml:space="preserve">  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numPr>
          <w:ilvl w:val="0"/>
          <w:numId w:val="57"/>
        </w:numPr>
        <w:spacing w:after="5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>Т</w:t>
      </w:r>
      <w:r>
        <w:rPr>
          <w:rFonts w:ascii="Times New Roman" w:eastAsia="Times New Roman" w:hAnsi="Times New Roman" w:cs="Times New Roman"/>
          <w:sz w:val="24"/>
        </w:rPr>
        <w:t xml:space="preserve">ип (подчеркнуть): </w:t>
      </w:r>
    </w:p>
    <w:p w:rsidR="003A0918" w:rsidRDefault="00D87DBB">
      <w:pPr>
        <w:pStyle w:val="Heading3"/>
        <w:tabs>
          <w:tab w:val="center" w:pos="2601"/>
          <w:tab w:val="center" w:pos="3633"/>
        </w:tabs>
        <w:spacing w:after="11" w:line="259" w:lineRule="auto"/>
        <w:ind w:left="0" w:firstLine="0"/>
      </w:pPr>
      <w:r>
        <w:rPr>
          <w:rFonts w:ascii="Calibri" w:eastAsia="Calibri" w:hAnsi="Calibri" w:cs="Calibri"/>
          <w:b w:val="0"/>
          <w:sz w:val="22"/>
        </w:rPr>
        <w:tab/>
      </w:r>
      <w:r>
        <w:rPr>
          <w:b w:val="0"/>
        </w:rPr>
        <w:t>-</w:t>
      </w:r>
      <w:r>
        <w:rPr>
          <w:rFonts w:ascii="Arial" w:eastAsia="Arial" w:hAnsi="Arial" w:cs="Arial"/>
          <w:b w:val="0"/>
        </w:rPr>
        <w:t xml:space="preserve"> </w:t>
      </w:r>
      <w:r>
        <w:rPr>
          <w:rFonts w:ascii="Arial" w:eastAsia="Arial" w:hAnsi="Arial" w:cs="Arial"/>
          <w:b w:val="0"/>
        </w:rPr>
        <w:tab/>
      </w:r>
      <w:r>
        <w:rPr>
          <w:b w:val="0"/>
          <w:u w:val="single" w:color="000000"/>
        </w:rPr>
        <w:t>шкала оценки</w:t>
      </w:r>
      <w:r>
        <w:rPr>
          <w:b w:val="0"/>
        </w:rPr>
        <w:t xml:space="preserve"> </w:t>
      </w:r>
    </w:p>
    <w:p w:rsidR="003A0918" w:rsidRDefault="00D87DBB">
      <w:pPr>
        <w:numPr>
          <w:ilvl w:val="0"/>
          <w:numId w:val="58"/>
        </w:numPr>
        <w:spacing w:after="5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индекс </w:t>
      </w:r>
    </w:p>
    <w:p w:rsidR="003A0918" w:rsidRDefault="00D87DBB">
      <w:pPr>
        <w:numPr>
          <w:ilvl w:val="0"/>
          <w:numId w:val="58"/>
        </w:numPr>
        <w:spacing w:after="5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вопросник </w:t>
      </w:r>
    </w:p>
    <w:p w:rsidR="003A0918" w:rsidRDefault="00D87DBB">
      <w:pPr>
        <w:numPr>
          <w:ilvl w:val="0"/>
          <w:numId w:val="58"/>
        </w:numPr>
        <w:spacing w:after="5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другое (уточнить) </w:t>
      </w:r>
    </w:p>
    <w:p w:rsidR="003A0918" w:rsidRDefault="00D87DBB">
      <w:pPr>
        <w:numPr>
          <w:ilvl w:val="0"/>
          <w:numId w:val="59"/>
        </w:numPr>
        <w:spacing w:after="5" w:line="241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Назначение: оценка степени выраженности одышки, которую испытывает пациент с ХОБЛ (хроническая обструктивная болезнь легких) </w:t>
      </w:r>
    </w:p>
    <w:p w:rsidR="003A0918" w:rsidRDefault="00D87DBB">
      <w:pPr>
        <w:numPr>
          <w:ilvl w:val="0"/>
          <w:numId w:val="59"/>
        </w:numPr>
        <w:spacing w:after="5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Содержание (шаблон): </w:t>
      </w:r>
    </w:p>
    <w:p w:rsidR="003A0918" w:rsidRDefault="00D87DBB">
      <w:pPr>
        <w:spacing w:after="0"/>
        <w:ind w:left="1534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tbl>
      <w:tblPr>
        <w:tblStyle w:val="TableGrid"/>
        <w:tblW w:w="8620" w:type="dxa"/>
        <w:tblInd w:w="1728" w:type="dxa"/>
        <w:tblCellMar>
          <w:top w:w="62" w:type="dxa"/>
          <w:left w:w="106" w:type="dxa"/>
          <w:bottom w:w="0" w:type="dxa"/>
          <w:right w:w="52" w:type="dxa"/>
        </w:tblCellMar>
        <w:tblLook w:val="04A0" w:firstRow="1" w:lastRow="0" w:firstColumn="1" w:lastColumn="0" w:noHBand="0" w:noVBand="1"/>
      </w:tblPr>
      <w:tblGrid>
        <w:gridCol w:w="1135"/>
        <w:gridCol w:w="1277"/>
        <w:gridCol w:w="6207"/>
      </w:tblGrid>
      <w:tr w:rsidR="003A0918">
        <w:trPr>
          <w:trHeight w:val="384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Степень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Тяжесть </w:t>
            </w:r>
          </w:p>
        </w:tc>
        <w:tc>
          <w:tcPr>
            <w:tcW w:w="6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Описание </w:t>
            </w:r>
          </w:p>
        </w:tc>
      </w:tr>
      <w:tr w:rsidR="003A0918">
        <w:trPr>
          <w:trHeight w:val="653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0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нет </w:t>
            </w:r>
          </w:p>
        </w:tc>
        <w:tc>
          <w:tcPr>
            <w:tcW w:w="6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Я чувствую одышку только при сильной физической нагрузке </w:t>
            </w:r>
          </w:p>
        </w:tc>
      </w:tr>
      <w:tr w:rsidR="003A0918">
        <w:trPr>
          <w:trHeight w:val="701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легкая </w:t>
            </w:r>
          </w:p>
        </w:tc>
        <w:tc>
          <w:tcPr>
            <w:tcW w:w="6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Я задыхаюсь, когда быстро иду по ровной местности или поднимаюсь по пологому холму </w:t>
            </w:r>
          </w:p>
        </w:tc>
      </w:tr>
      <w:tr w:rsidR="003A0918">
        <w:trPr>
          <w:trHeight w:val="1114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средняя </w:t>
            </w:r>
          </w:p>
        </w:tc>
        <w:tc>
          <w:tcPr>
            <w:tcW w:w="6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Из-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за одышки я хожу по ровной местности медленнее, чем люди того же возраста, или у меня останавливается дыхание, когда я иду по ровной местности в привычном для меня темпе </w:t>
            </w:r>
          </w:p>
        </w:tc>
      </w:tr>
      <w:tr w:rsidR="003A0918">
        <w:trPr>
          <w:trHeight w:val="709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тяжелая </w:t>
            </w:r>
          </w:p>
        </w:tc>
        <w:tc>
          <w:tcPr>
            <w:tcW w:w="6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Я задыхаюсь после того, как пройду примерно 100 м, или после нескольких минут ходьбы по ровной местности </w:t>
            </w:r>
          </w:p>
        </w:tc>
      </w:tr>
      <w:tr w:rsidR="003A0918">
        <w:trPr>
          <w:trHeight w:val="727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4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очень тяжелая </w:t>
            </w:r>
          </w:p>
        </w:tc>
        <w:tc>
          <w:tcPr>
            <w:tcW w:w="6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 меня слишком сильная одышка, чтобы выходить из дому, или я задыхаюсь, когда одеваюсь или раздеваюсь </w:t>
            </w:r>
          </w:p>
        </w:tc>
      </w:tr>
    </w:tbl>
    <w:p w:rsidR="003A0918" w:rsidRDefault="00D87DBB">
      <w:pPr>
        <w:spacing w:after="1"/>
        <w:ind w:left="1534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numPr>
          <w:ilvl w:val="0"/>
          <w:numId w:val="59"/>
        </w:numPr>
        <w:spacing w:after="5" w:line="238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>Ключ (интерпретация): пациенту предлагают выбрать одно из пяти утверждений, которое наиболее близко описывает его степень тяжести одышки: от 0 («я чувствую одышку только при сильной физической нагрузке») до 4  («у меня слишком сильная одышка, чтобы выходит</w:t>
      </w:r>
      <w:r>
        <w:rPr>
          <w:rFonts w:ascii="Times New Roman" w:eastAsia="Times New Roman" w:hAnsi="Times New Roman" w:cs="Times New Roman"/>
          <w:sz w:val="24"/>
        </w:rPr>
        <w:t xml:space="preserve">ь из дому, или я задыхаюсь, когда одеваюсь или раздеваюсь») </w:t>
      </w:r>
    </w:p>
    <w:p w:rsidR="003A0918" w:rsidRDefault="00D87DBB">
      <w:pPr>
        <w:numPr>
          <w:ilvl w:val="0"/>
          <w:numId w:val="59"/>
        </w:numPr>
        <w:spacing w:after="5" w:line="239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Пояснения: шкала mMRC позволяет более точно оценить состояние пациента c ХОБЛ. </w:t>
      </w:r>
    </w:p>
    <w:p w:rsidR="003A0918" w:rsidRDefault="00D87DBB">
      <w:pPr>
        <w:spacing w:after="189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pStyle w:val="Heading1"/>
        <w:ind w:left="870" w:right="299"/>
      </w:pPr>
      <w:r>
        <w:t xml:space="preserve">Приложение Г2. Оценочный тест по ХОБЛ − CAT (COPD </w:t>
      </w:r>
    </w:p>
    <w:p w:rsidR="003A0918" w:rsidRDefault="00D87DBB">
      <w:pPr>
        <w:spacing w:after="0"/>
        <w:ind w:left="561"/>
        <w:jc w:val="center"/>
      </w:pPr>
      <w:r>
        <w:rPr>
          <w:rFonts w:ascii="Times New Roman" w:eastAsia="Times New Roman" w:hAnsi="Times New Roman" w:cs="Times New Roman"/>
          <w:b/>
          <w:sz w:val="32"/>
        </w:rPr>
        <w:t xml:space="preserve">Assessment Test) </w:t>
      </w:r>
    </w:p>
    <w:p w:rsidR="003A0918" w:rsidRDefault="00D87DBB">
      <w:pPr>
        <w:spacing w:after="0"/>
        <w:ind w:left="644"/>
        <w:jc w:val="center"/>
      </w:pPr>
      <w:r>
        <w:rPr>
          <w:rFonts w:ascii="Times New Roman" w:eastAsia="Times New Roman" w:hAnsi="Times New Roman" w:cs="Times New Roman"/>
          <w:b/>
          <w:sz w:val="32"/>
        </w:rPr>
        <w:t xml:space="preserve"> </w:t>
      </w:r>
    </w:p>
    <w:p w:rsidR="003A0918" w:rsidRDefault="00D87DBB">
      <w:pPr>
        <w:pStyle w:val="Heading2"/>
        <w:spacing w:after="16"/>
        <w:ind w:left="2198" w:right="551" w:hanging="360"/>
      </w:pPr>
      <w:r>
        <w:rPr>
          <w:rFonts w:ascii="Segoe UI Symbol" w:eastAsia="Segoe UI Symbol" w:hAnsi="Segoe UI Symbol" w:cs="Segoe UI Symbol"/>
          <w:b w:val="0"/>
        </w:rPr>
        <w:t>•</w:t>
      </w:r>
      <w:r>
        <w:rPr>
          <w:rFonts w:ascii="Arial" w:eastAsia="Arial" w:hAnsi="Arial" w:cs="Arial"/>
          <w:b w:val="0"/>
        </w:rPr>
        <w:t xml:space="preserve"> </w:t>
      </w:r>
      <w:r>
        <w:rPr>
          <w:b w:val="0"/>
        </w:rPr>
        <w:t xml:space="preserve">Название на русском языке: </w:t>
      </w:r>
      <w:r>
        <w:t>оценочный тест по ХОБЛ (Хроническая Обструктивная Болезнь Легких)</w:t>
      </w:r>
      <w:r>
        <w:t xml:space="preserve"> </w:t>
      </w:r>
    </w:p>
    <w:p w:rsidR="003A0918" w:rsidRDefault="00D87DBB">
      <w:pPr>
        <w:numPr>
          <w:ilvl w:val="0"/>
          <w:numId w:val="60"/>
        </w:numPr>
        <w:spacing w:after="10" w:line="249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Оригинальное название: </w:t>
      </w:r>
      <w:r>
        <w:rPr>
          <w:rFonts w:ascii="Times New Roman" w:eastAsia="Times New Roman" w:hAnsi="Times New Roman" w:cs="Times New Roman"/>
          <w:b/>
          <w:sz w:val="24"/>
        </w:rPr>
        <w:t xml:space="preserve">CAT (COPD Assessment Test) </w:t>
      </w:r>
    </w:p>
    <w:p w:rsidR="003A0918" w:rsidRDefault="00D87DBB">
      <w:pPr>
        <w:numPr>
          <w:ilvl w:val="0"/>
          <w:numId w:val="60"/>
        </w:numPr>
        <w:spacing w:after="5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Источник (публикация с валидацией):  </w:t>
      </w:r>
    </w:p>
    <w:p w:rsidR="003A0918" w:rsidRDefault="00D87DBB">
      <w:pPr>
        <w:numPr>
          <w:ilvl w:val="1"/>
          <w:numId w:val="60"/>
        </w:numPr>
        <w:spacing w:after="4" w:line="238" w:lineRule="auto"/>
        <w:ind w:right="563" w:hanging="360"/>
        <w:jc w:val="both"/>
      </w:pPr>
      <w:r>
        <w:rPr>
          <w:rFonts w:ascii="Times New Roman" w:eastAsia="Times New Roman" w:hAnsi="Times New Roman" w:cs="Times New Roman"/>
          <w:i/>
          <w:sz w:val="24"/>
        </w:rPr>
        <w:t>Mahler D.A., Faryniarz K., Tomlinson D. et al.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Impact of dyspnea and physiologic function on general health status in patients with chronic obstructive pulmonary disease . Chest. 1992. Vol. 102, №2. P. 395-401. </w:t>
      </w:r>
    </w:p>
    <w:p w:rsidR="003A0918" w:rsidRDefault="00D87DBB">
      <w:pPr>
        <w:numPr>
          <w:ilvl w:val="1"/>
          <w:numId w:val="60"/>
        </w:numPr>
        <w:spacing w:after="4" w:line="238" w:lineRule="auto"/>
        <w:ind w:right="563" w:hanging="360"/>
        <w:jc w:val="both"/>
      </w:pPr>
      <w:r>
        <w:rPr>
          <w:rFonts w:ascii="Times New Roman" w:eastAsia="Times New Roman" w:hAnsi="Times New Roman" w:cs="Times New Roman"/>
          <w:i/>
          <w:sz w:val="24"/>
        </w:rPr>
        <w:t>Gruffydd-Jones K., Marsden H.C., Holmes S. et al.</w:t>
      </w:r>
      <w:r>
        <w:rPr>
          <w:rFonts w:ascii="Times New Roman" w:eastAsia="Times New Roman" w:hAnsi="Times New Roman" w:cs="Times New Roman"/>
          <w:sz w:val="24"/>
        </w:rPr>
        <w:t xml:space="preserve"> Utility of COPD Assessment Test (CAT) in </w:t>
      </w:r>
      <w:r>
        <w:rPr>
          <w:rFonts w:ascii="Times New Roman" w:eastAsia="Times New Roman" w:hAnsi="Times New Roman" w:cs="Times New Roman"/>
          <w:sz w:val="24"/>
        </w:rPr>
        <w:t xml:space="preserve">primary care consultations: a randomised controlled trial // Prim. Care Respir. J. 2013. Vol. 22, №1. P. 37-43. </w:t>
      </w:r>
    </w:p>
    <w:p w:rsidR="003A0918" w:rsidRDefault="00D87DBB">
      <w:pPr>
        <w:numPr>
          <w:ilvl w:val="1"/>
          <w:numId w:val="60"/>
        </w:numPr>
        <w:spacing w:after="5"/>
        <w:ind w:right="563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Онлайн-версия на сайте </w:t>
      </w:r>
      <w:r>
        <w:rPr>
          <w:rFonts w:ascii="Times New Roman" w:eastAsia="Times New Roman" w:hAnsi="Times New Roman" w:cs="Times New Roman"/>
          <w:sz w:val="24"/>
          <w:u w:val="single" w:color="000000"/>
        </w:rPr>
        <w:t>www.CATestonline.org</w:t>
      </w:r>
      <w:r>
        <w:rPr>
          <w:rFonts w:ascii="Times New Roman" w:eastAsia="Times New Roman" w:hAnsi="Times New Roman" w:cs="Times New Roman"/>
          <w:sz w:val="24"/>
        </w:rPr>
        <w:t xml:space="preserve">. </w:t>
      </w:r>
    </w:p>
    <w:p w:rsidR="003A0918" w:rsidRDefault="00D87DBB">
      <w:pPr>
        <w:numPr>
          <w:ilvl w:val="0"/>
          <w:numId w:val="60"/>
        </w:numPr>
        <w:spacing w:after="5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Тип (подчеркнуть): </w:t>
      </w:r>
    </w:p>
    <w:p w:rsidR="003A0918" w:rsidRDefault="00D87DBB">
      <w:pPr>
        <w:numPr>
          <w:ilvl w:val="2"/>
          <w:numId w:val="61"/>
        </w:numPr>
        <w:spacing w:after="5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шкала оценки </w:t>
      </w:r>
    </w:p>
    <w:p w:rsidR="003A0918" w:rsidRDefault="00D87DBB">
      <w:pPr>
        <w:numPr>
          <w:ilvl w:val="2"/>
          <w:numId w:val="61"/>
        </w:numPr>
        <w:spacing w:after="5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индекс </w:t>
      </w:r>
    </w:p>
    <w:p w:rsidR="003A0918" w:rsidRDefault="00D87DBB">
      <w:pPr>
        <w:pStyle w:val="Heading3"/>
        <w:tabs>
          <w:tab w:val="center" w:pos="2539"/>
          <w:tab w:val="center" w:pos="3400"/>
        </w:tabs>
        <w:spacing w:after="11" w:line="259" w:lineRule="auto"/>
        <w:ind w:left="0" w:firstLine="0"/>
      </w:pPr>
      <w:r>
        <w:rPr>
          <w:rFonts w:ascii="Calibri" w:eastAsia="Calibri" w:hAnsi="Calibri" w:cs="Calibri"/>
          <w:b w:val="0"/>
          <w:sz w:val="22"/>
        </w:rPr>
        <w:tab/>
      </w:r>
      <w:r>
        <w:rPr>
          <w:b w:val="0"/>
        </w:rPr>
        <w:t>-</w:t>
      </w:r>
      <w:r>
        <w:rPr>
          <w:rFonts w:ascii="Arial" w:eastAsia="Arial" w:hAnsi="Arial" w:cs="Arial"/>
          <w:b w:val="0"/>
        </w:rPr>
        <w:t xml:space="preserve"> </w:t>
      </w:r>
      <w:r>
        <w:rPr>
          <w:rFonts w:ascii="Arial" w:eastAsia="Arial" w:hAnsi="Arial" w:cs="Arial"/>
          <w:b w:val="0"/>
        </w:rPr>
        <w:tab/>
      </w:r>
      <w:r>
        <w:rPr>
          <w:b w:val="0"/>
          <w:u w:val="single" w:color="000000"/>
        </w:rPr>
        <w:t>вопросник</w:t>
      </w:r>
      <w:r>
        <w:rPr>
          <w:b w:val="0"/>
        </w:rPr>
        <w:t xml:space="preserve"> </w:t>
      </w:r>
    </w:p>
    <w:p w:rsidR="003A0918" w:rsidRDefault="00D87DBB">
      <w:pPr>
        <w:tabs>
          <w:tab w:val="center" w:pos="2539"/>
          <w:tab w:val="center" w:pos="3782"/>
        </w:tabs>
        <w:spacing w:after="5"/>
      </w:pPr>
      <w:r>
        <w:tab/>
      </w:r>
      <w:r>
        <w:rPr>
          <w:rFonts w:ascii="Times New Roman" w:eastAsia="Times New Roman" w:hAnsi="Times New Roman" w:cs="Times New Roman"/>
          <w:sz w:val="24"/>
        </w:rPr>
        <w:t>-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ab/>
      </w:r>
      <w:r>
        <w:rPr>
          <w:rFonts w:ascii="Times New Roman" w:eastAsia="Times New Roman" w:hAnsi="Times New Roman" w:cs="Times New Roman"/>
          <w:sz w:val="24"/>
        </w:rPr>
        <w:t xml:space="preserve">другое (уточнить) </w:t>
      </w:r>
    </w:p>
    <w:p w:rsidR="003A0918" w:rsidRDefault="00D87DBB">
      <w:pPr>
        <w:numPr>
          <w:ilvl w:val="0"/>
          <w:numId w:val="62"/>
        </w:numPr>
        <w:spacing w:after="5" w:line="241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Назначение: оценка влияния ХОБЛ на связанное со здоровьем качество жизни пациента </w:t>
      </w:r>
    </w:p>
    <w:p w:rsidR="003A0918" w:rsidRDefault="00D87DBB">
      <w:pPr>
        <w:spacing w:after="5"/>
        <w:ind w:left="2254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0"/>
        <w:ind w:left="1133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ab/>
        <w:t xml:space="preserve"> </w:t>
      </w:r>
      <w:r>
        <w:br w:type="page"/>
      </w:r>
    </w:p>
    <w:p w:rsidR="003A0918" w:rsidRDefault="00D87DBB">
      <w:pPr>
        <w:numPr>
          <w:ilvl w:val="0"/>
          <w:numId w:val="62"/>
        </w:numPr>
        <w:spacing w:after="5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Содержание (шаблон): </w:t>
      </w:r>
    </w:p>
    <w:p w:rsidR="003A0918" w:rsidRDefault="00D87DBB">
      <w:pPr>
        <w:spacing w:after="0"/>
        <w:ind w:right="181"/>
        <w:jc w:val="right"/>
      </w:pPr>
      <w:r>
        <w:rPr>
          <w:noProof/>
        </w:rPr>
        <w:drawing>
          <wp:inline distT="0" distB="0" distL="0" distR="0">
            <wp:extent cx="5472431" cy="7626350"/>
            <wp:effectExtent l="0" t="0" r="0" b="0"/>
            <wp:docPr id="20692" name="Picture 206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92" name="Picture 20692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472431" cy="762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121"/>
        <w:ind w:left="2562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0 – 10 баллов – Незначительное влияние ХОБЛ на жизнь пациента </w:t>
      </w:r>
    </w:p>
    <w:p w:rsidR="003A0918" w:rsidRDefault="00D87DBB">
      <w:pPr>
        <w:spacing w:after="115"/>
        <w:ind w:left="2562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21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– 20 баллов – Умеренное влияние ХОБЛ на жизнь пациента </w:t>
      </w:r>
    </w:p>
    <w:p w:rsidR="003A0918" w:rsidRDefault="00D87DBB">
      <w:pPr>
        <w:spacing w:after="112"/>
        <w:ind w:left="2562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21 – 30 баллов – Си</w:t>
      </w:r>
      <w:r>
        <w:rPr>
          <w:rFonts w:ascii="Times New Roman" w:eastAsia="Times New Roman" w:hAnsi="Times New Roman" w:cs="Times New Roman"/>
          <w:sz w:val="24"/>
        </w:rPr>
        <w:t xml:space="preserve">льное влияние ХОБЛ на жизнь пациента </w:t>
      </w:r>
    </w:p>
    <w:p w:rsidR="003A0918" w:rsidRDefault="00D87DBB">
      <w:pPr>
        <w:spacing w:after="115"/>
        <w:ind w:left="1528"/>
        <w:jc w:val="center"/>
      </w:pPr>
      <w:r>
        <w:rPr>
          <w:rFonts w:ascii="Times New Roman" w:eastAsia="Times New Roman" w:hAnsi="Times New Roman" w:cs="Times New Roman"/>
          <w:sz w:val="24"/>
        </w:rPr>
        <w:t xml:space="preserve">31 – 40 баллов – Чрезвычайно сильное влияние ХОБЛ на жизнь пациента </w:t>
      </w:r>
    </w:p>
    <w:p w:rsidR="003A0918" w:rsidRDefault="00D87DBB">
      <w:pPr>
        <w:spacing w:after="0"/>
        <w:ind w:left="1841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numPr>
          <w:ilvl w:val="0"/>
          <w:numId w:val="62"/>
        </w:numPr>
        <w:spacing w:after="3" w:line="235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>Ключ (интерпретация): Оценочный тест по ХОБЛ (CAT) имеет 8 пунктов, каждый из которых оценивается по 5-</w:t>
      </w:r>
      <w:r>
        <w:rPr>
          <w:rFonts w:ascii="Times New Roman" w:eastAsia="Times New Roman" w:hAnsi="Times New Roman" w:cs="Times New Roman"/>
          <w:sz w:val="24"/>
        </w:rPr>
        <w:t xml:space="preserve">балльной шкале и суммируется. Направлен на оценку одышки; кашля; мокроты; стеснения в груди; ограничения активности у себя дома; уверенности, выходя из дома; сна и энергии.  0-10 баллов – незначительное влияние ХОБЛ на жизнь пациента </w:t>
      </w:r>
    </w:p>
    <w:p w:rsidR="003A0918" w:rsidRDefault="00D87DBB">
      <w:pPr>
        <w:spacing w:after="5"/>
        <w:ind w:left="2264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11-20 баллов – умерен</w:t>
      </w:r>
      <w:r>
        <w:rPr>
          <w:rFonts w:ascii="Times New Roman" w:eastAsia="Times New Roman" w:hAnsi="Times New Roman" w:cs="Times New Roman"/>
          <w:sz w:val="24"/>
        </w:rPr>
        <w:t xml:space="preserve">ное влияние ХОБЛ на жизнь пациента </w:t>
      </w:r>
    </w:p>
    <w:p w:rsidR="003A0918" w:rsidRDefault="00D87DBB">
      <w:pPr>
        <w:spacing w:after="5"/>
        <w:ind w:left="2264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21-30 баллов – сильное влияние ХОБЛ на жизнь пациента </w:t>
      </w:r>
    </w:p>
    <w:p w:rsidR="003A0918" w:rsidRDefault="00D87DBB">
      <w:pPr>
        <w:spacing w:after="5"/>
        <w:ind w:left="2264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31-40 баллов – чрезвычайно сильное влияние ХОБЛ на жизнь пациента </w:t>
      </w:r>
    </w:p>
    <w:p w:rsidR="003A0918" w:rsidRDefault="00D87DBB">
      <w:pPr>
        <w:spacing w:after="1"/>
        <w:ind w:left="2254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numPr>
          <w:ilvl w:val="0"/>
          <w:numId w:val="62"/>
        </w:numPr>
        <w:spacing w:after="5" w:line="241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Пояснения: оценочный тест по ХОБЛ (CAT) имеет широкий охват влияния на повседневную жизнь и самочувствие пациента. </w:t>
      </w:r>
    </w:p>
    <w:p w:rsidR="003A0918" w:rsidRDefault="00D87DBB">
      <w:pPr>
        <w:spacing w:after="187"/>
        <w:ind w:left="1841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pStyle w:val="Heading1"/>
        <w:spacing w:after="119"/>
        <w:ind w:left="2067" w:right="22"/>
        <w:jc w:val="left"/>
      </w:pPr>
      <w:r>
        <w:t>Приложение</w:t>
      </w:r>
      <w:r>
        <w:t xml:space="preserve"> </w:t>
      </w:r>
      <w:r>
        <w:t>Г3. Вопросник для диагностики ХОБЛ</w:t>
      </w:r>
      <w:r>
        <w:t xml:space="preserve"> </w:t>
      </w:r>
    </w:p>
    <w:p w:rsidR="003A0918" w:rsidRDefault="00D87DBB">
      <w:pPr>
        <w:numPr>
          <w:ilvl w:val="0"/>
          <w:numId w:val="63"/>
        </w:numPr>
        <w:spacing w:after="3" w:line="235" w:lineRule="auto"/>
        <w:ind w:right="1365" w:hanging="360"/>
      </w:pPr>
      <w:r>
        <w:rPr>
          <w:rFonts w:ascii="Times New Roman" w:eastAsia="Times New Roman" w:hAnsi="Times New Roman" w:cs="Times New Roman"/>
          <w:sz w:val="24"/>
        </w:rPr>
        <w:t xml:space="preserve">Название на русском языке: </w:t>
      </w:r>
      <w:r>
        <w:rPr>
          <w:rFonts w:ascii="Times New Roman" w:eastAsia="Times New Roman" w:hAnsi="Times New Roman" w:cs="Times New Roman"/>
          <w:b/>
          <w:sz w:val="24"/>
        </w:rPr>
        <w:t>вопросник для диагностики ХОБЛ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Оригинальное название: </w:t>
      </w:r>
      <w:r>
        <w:rPr>
          <w:rFonts w:ascii="Times New Roman" w:eastAsia="Times New Roman" w:hAnsi="Times New Roman" w:cs="Times New Roman"/>
          <w:b/>
          <w:sz w:val="24"/>
        </w:rPr>
        <w:t>COPD dia</w:t>
      </w:r>
      <w:r>
        <w:rPr>
          <w:rFonts w:ascii="Times New Roman" w:eastAsia="Times New Roman" w:hAnsi="Times New Roman" w:cs="Times New Roman"/>
          <w:b/>
          <w:sz w:val="24"/>
        </w:rPr>
        <w:t xml:space="preserve">gnostic questionnaire </w:t>
      </w:r>
      <w:r>
        <w:rPr>
          <w:rFonts w:ascii="Segoe UI Symbol" w:eastAsia="Segoe UI Symbol" w:hAnsi="Segoe UI Symbol" w:cs="Segoe UI Symbol"/>
          <w:sz w:val="24"/>
        </w:rPr>
        <w:t>•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Источник (публикация с валидацией): </w:t>
      </w:r>
    </w:p>
    <w:p w:rsidR="003A0918" w:rsidRDefault="00D87DBB">
      <w:pPr>
        <w:spacing w:after="4" w:line="238" w:lineRule="auto"/>
        <w:ind w:left="2561" w:right="563" w:hanging="360"/>
        <w:jc w:val="both"/>
      </w:pPr>
      <w:r>
        <w:rPr>
          <w:rFonts w:ascii="Wingdings" w:eastAsia="Wingdings" w:hAnsi="Wingdings" w:cs="Wingdings"/>
          <w:sz w:val="24"/>
        </w:rPr>
        <w:t>▪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S. DeWeerdt, L. Grouse.</w:t>
      </w:r>
      <w:r>
        <w:rPr>
          <w:rFonts w:ascii="Times New Roman" w:eastAsia="Times New Roman" w:hAnsi="Times New Roman" w:cs="Times New Roman"/>
          <w:sz w:val="24"/>
        </w:rPr>
        <w:t xml:space="preserve"> Chronic Airways Diseases: A Guide for Primary Care Physicians. 2005 - 28 pages. </w:t>
      </w:r>
    </w:p>
    <w:p w:rsidR="003A0918" w:rsidRDefault="00D87DBB">
      <w:pPr>
        <w:numPr>
          <w:ilvl w:val="0"/>
          <w:numId w:val="63"/>
        </w:numPr>
        <w:spacing w:after="5"/>
        <w:ind w:right="1365" w:hanging="360"/>
      </w:pPr>
      <w:r>
        <w:rPr>
          <w:rFonts w:ascii="Times New Roman" w:eastAsia="Times New Roman" w:hAnsi="Times New Roman" w:cs="Times New Roman"/>
          <w:sz w:val="24"/>
        </w:rPr>
        <w:t xml:space="preserve">Тип (подчеркнуть): </w:t>
      </w:r>
    </w:p>
    <w:p w:rsidR="003A0918" w:rsidRDefault="00D87DBB">
      <w:pPr>
        <w:numPr>
          <w:ilvl w:val="1"/>
          <w:numId w:val="64"/>
        </w:numPr>
        <w:spacing w:after="5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шкала оценки </w:t>
      </w:r>
    </w:p>
    <w:p w:rsidR="003A0918" w:rsidRDefault="00D87DBB">
      <w:pPr>
        <w:numPr>
          <w:ilvl w:val="1"/>
          <w:numId w:val="64"/>
        </w:numPr>
        <w:spacing w:after="5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индекс </w:t>
      </w:r>
    </w:p>
    <w:p w:rsidR="003A0918" w:rsidRDefault="00D87DBB">
      <w:pPr>
        <w:pStyle w:val="Heading2"/>
        <w:tabs>
          <w:tab w:val="center" w:pos="2601"/>
          <w:tab w:val="center" w:pos="3463"/>
        </w:tabs>
        <w:spacing w:after="11" w:line="259" w:lineRule="auto"/>
        <w:ind w:left="0" w:firstLine="0"/>
      </w:pPr>
      <w:r>
        <w:rPr>
          <w:rFonts w:ascii="Calibri" w:eastAsia="Calibri" w:hAnsi="Calibri" w:cs="Calibri"/>
          <w:b w:val="0"/>
          <w:sz w:val="22"/>
        </w:rPr>
        <w:tab/>
      </w:r>
      <w:r>
        <w:rPr>
          <w:b w:val="0"/>
        </w:rPr>
        <w:t>-</w:t>
      </w:r>
      <w:r>
        <w:rPr>
          <w:rFonts w:ascii="Arial" w:eastAsia="Arial" w:hAnsi="Arial" w:cs="Arial"/>
          <w:b w:val="0"/>
        </w:rPr>
        <w:t xml:space="preserve"> </w:t>
      </w:r>
      <w:r>
        <w:rPr>
          <w:rFonts w:ascii="Arial" w:eastAsia="Arial" w:hAnsi="Arial" w:cs="Arial"/>
          <w:b w:val="0"/>
        </w:rPr>
        <w:tab/>
      </w:r>
      <w:r>
        <w:rPr>
          <w:b w:val="0"/>
          <w:u w:val="single" w:color="000000"/>
        </w:rPr>
        <w:t>вопросник</w:t>
      </w:r>
      <w:r>
        <w:rPr>
          <w:b w:val="0"/>
        </w:rPr>
        <w:t xml:space="preserve"> </w:t>
      </w:r>
    </w:p>
    <w:p w:rsidR="003A0918" w:rsidRDefault="00D87DBB">
      <w:pPr>
        <w:tabs>
          <w:tab w:val="center" w:pos="2601"/>
          <w:tab w:val="center" w:pos="3844"/>
        </w:tabs>
        <w:spacing w:after="5"/>
      </w:pPr>
      <w:r>
        <w:tab/>
      </w:r>
      <w:r>
        <w:rPr>
          <w:rFonts w:ascii="Times New Roman" w:eastAsia="Times New Roman" w:hAnsi="Times New Roman" w:cs="Times New Roman"/>
          <w:sz w:val="24"/>
        </w:rPr>
        <w:t>-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ab/>
      </w:r>
      <w:r>
        <w:rPr>
          <w:rFonts w:ascii="Times New Roman" w:eastAsia="Times New Roman" w:hAnsi="Times New Roman" w:cs="Times New Roman"/>
          <w:sz w:val="24"/>
        </w:rPr>
        <w:t xml:space="preserve">другое (уточнить) </w:t>
      </w:r>
    </w:p>
    <w:p w:rsidR="003A0918" w:rsidRDefault="00D87DBB">
      <w:pPr>
        <w:numPr>
          <w:ilvl w:val="0"/>
          <w:numId w:val="65"/>
        </w:numPr>
        <w:spacing w:after="5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Назначение: дифференциальная диагностика заболевания </w:t>
      </w:r>
    </w:p>
    <w:p w:rsidR="003A0918" w:rsidRDefault="00D87DBB">
      <w:pPr>
        <w:numPr>
          <w:ilvl w:val="0"/>
          <w:numId w:val="65"/>
        </w:numPr>
        <w:spacing w:after="5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Содержание (шаблон): </w:t>
      </w:r>
    </w:p>
    <w:tbl>
      <w:tblPr>
        <w:tblStyle w:val="TableGrid"/>
        <w:tblW w:w="9347" w:type="dxa"/>
        <w:tblInd w:w="1025" w:type="dxa"/>
        <w:tblCellMar>
          <w:top w:w="62" w:type="dxa"/>
          <w:left w:w="106" w:type="dxa"/>
          <w:bottom w:w="0" w:type="dxa"/>
          <w:right w:w="49" w:type="dxa"/>
        </w:tblCellMar>
        <w:tblLook w:val="04A0" w:firstRow="1" w:lastRow="0" w:firstColumn="1" w:lastColumn="0" w:noHBand="0" w:noVBand="1"/>
      </w:tblPr>
      <w:tblGrid>
        <w:gridCol w:w="5363"/>
        <w:gridCol w:w="2295"/>
        <w:gridCol w:w="1690"/>
      </w:tblGrid>
      <w:tr w:rsidR="003A0918">
        <w:trPr>
          <w:trHeight w:val="286"/>
        </w:trPr>
        <w:tc>
          <w:tcPr>
            <w:tcW w:w="5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Вопрос 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Варианты ответа 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Баллы </w:t>
            </w:r>
          </w:p>
        </w:tc>
      </w:tr>
      <w:tr w:rsidR="003A0918">
        <w:trPr>
          <w:trHeight w:val="286"/>
        </w:trPr>
        <w:tc>
          <w:tcPr>
            <w:tcW w:w="53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1. Ваш возраст 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40 – 49 лет 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0 </w:t>
            </w:r>
          </w:p>
        </w:tc>
      </w:tr>
      <w:tr w:rsidR="003A0918">
        <w:trPr>
          <w:trHeight w:val="2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3A0918" w:rsidRDefault="003A0918"/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50 – 59 лет 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4 </w:t>
            </w:r>
          </w:p>
        </w:tc>
      </w:tr>
      <w:tr w:rsidR="003A0918">
        <w:trPr>
          <w:trHeight w:val="2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3A0918" w:rsidRDefault="003A0918"/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60 – 69 лет 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8 </w:t>
            </w:r>
          </w:p>
        </w:tc>
      </w:tr>
      <w:tr w:rsidR="003A0918">
        <w:trPr>
          <w:trHeight w:val="29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3A0918"/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70 лет и старше 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10 </w:t>
            </w:r>
          </w:p>
        </w:tc>
      </w:tr>
      <w:tr w:rsidR="003A0918">
        <w:trPr>
          <w:trHeight w:val="286"/>
        </w:trPr>
        <w:tc>
          <w:tcPr>
            <w:tcW w:w="53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 w:line="238" w:lineRule="auto"/>
              <w:ind w:left="2"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2. Сколько сигарет Вы обычно выкуриваете ежедневно (если Вы бросили курить, то сколько Вы курили каждый день)? </w:t>
            </w:r>
          </w:p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Сколько всего лет Вы курите сигареты? </w:t>
            </w:r>
          </w:p>
          <w:p w:rsidR="003A0918" w:rsidRDefault="00D87DBB">
            <w:pPr>
              <w:spacing w:after="0" w:line="238" w:lineRule="auto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Пачка-день = кол-во сигарет, выкуриваемых в день / 20 </w:t>
            </w:r>
          </w:p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Пачка-лет = пачка-день Х стаж курения 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0 – 14 пачк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а-лет 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0 </w:t>
            </w:r>
          </w:p>
        </w:tc>
      </w:tr>
      <w:tr w:rsidR="003A0918">
        <w:trPr>
          <w:trHeight w:val="2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3A0918" w:rsidRDefault="003A0918"/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15 – 24 пачка-лет 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 </w:t>
            </w:r>
          </w:p>
        </w:tc>
      </w:tr>
      <w:tr w:rsidR="003A0918">
        <w:trPr>
          <w:trHeight w:val="31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3A0918" w:rsidRDefault="003A0918"/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25 – 49 пачка-лет 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 </w:t>
            </w:r>
          </w:p>
        </w:tc>
      </w:tr>
      <w:tr w:rsidR="003A0918">
        <w:trPr>
          <w:trHeight w:val="109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3A0918"/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50 и более 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7 </w:t>
            </w:r>
          </w:p>
        </w:tc>
      </w:tr>
      <w:tr w:rsidR="003A0918">
        <w:trPr>
          <w:trHeight w:val="286"/>
        </w:trPr>
        <w:tc>
          <w:tcPr>
            <w:tcW w:w="53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5" w:line="238" w:lineRule="auto"/>
              <w:ind w:left="2" w:right="193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3. Ваш вес в килограммах? Ваш рост в метрах? </w:t>
            </w:r>
          </w:p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>ИМТ = вес в кг / (рост в м)</w:t>
            </w:r>
            <w:r>
              <w:rPr>
                <w:rFonts w:ascii="Times New Roman" w:eastAsia="Times New Roman" w:hAnsi="Times New Roman" w:cs="Times New Roman"/>
                <w:sz w:val="24"/>
                <w:vertAlign w:val="superscript"/>
              </w:rPr>
              <w:t>2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ИМТ &lt; 25,4 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5 </w:t>
            </w:r>
          </w:p>
        </w:tc>
      </w:tr>
      <w:tr w:rsidR="003A0918">
        <w:trPr>
          <w:trHeight w:val="2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3A0918" w:rsidRDefault="003A0918"/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ИМТ 25,4 – 29,7 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</w:tr>
      <w:tr w:rsidR="003A0918">
        <w:trPr>
          <w:trHeight w:val="29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3A0918"/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ИМТ &gt; 29,7 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0 </w:t>
            </w:r>
          </w:p>
        </w:tc>
      </w:tr>
      <w:tr w:rsidR="003A0918">
        <w:trPr>
          <w:trHeight w:val="288"/>
        </w:trPr>
        <w:tc>
          <w:tcPr>
            <w:tcW w:w="53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4. Провоцирует ли плохая погода у Вас кашель? 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Да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 </w:t>
            </w:r>
          </w:p>
        </w:tc>
      </w:tr>
      <w:tr w:rsidR="003A0918">
        <w:trPr>
          <w:trHeight w:val="29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3A0918" w:rsidRDefault="003A0918"/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Нет 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0 </w:t>
            </w:r>
          </w:p>
        </w:tc>
      </w:tr>
      <w:tr w:rsidR="003A0918">
        <w:trPr>
          <w:trHeight w:val="2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3A0918"/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 меня нет кашля 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0 </w:t>
            </w:r>
          </w:p>
        </w:tc>
      </w:tr>
      <w:tr w:rsidR="003A0918">
        <w:trPr>
          <w:trHeight w:val="286"/>
        </w:trPr>
        <w:tc>
          <w:tcPr>
            <w:tcW w:w="53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5. Беспокоит ли Вас кашель с мокротой вне простудных заболеваний? 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 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 </w:t>
            </w:r>
          </w:p>
        </w:tc>
      </w:tr>
      <w:tr w:rsidR="003A0918">
        <w:trPr>
          <w:trHeight w:val="2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3A0918"/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Нет 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0 </w:t>
            </w:r>
          </w:p>
        </w:tc>
      </w:tr>
      <w:tr w:rsidR="003A0918">
        <w:trPr>
          <w:trHeight w:val="286"/>
        </w:trPr>
        <w:tc>
          <w:tcPr>
            <w:tcW w:w="53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6. Беспокоит ли Вас кашель с мокротой по утрам? 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 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0 </w:t>
            </w:r>
          </w:p>
        </w:tc>
      </w:tr>
      <w:tr w:rsidR="003A0918">
        <w:trPr>
          <w:trHeight w:val="2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3A0918"/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Нет 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 </w:t>
            </w:r>
          </w:p>
        </w:tc>
      </w:tr>
      <w:tr w:rsidR="003A0918">
        <w:trPr>
          <w:trHeight w:val="286"/>
        </w:trPr>
        <w:tc>
          <w:tcPr>
            <w:tcW w:w="5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7. Как часто у Вас возникает одышка? 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Никогда 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0 </w:t>
            </w:r>
          </w:p>
        </w:tc>
      </w:tr>
      <w:tr w:rsidR="003A0918">
        <w:trPr>
          <w:trHeight w:val="312"/>
        </w:trPr>
        <w:tc>
          <w:tcPr>
            <w:tcW w:w="5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3A0918"/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Иногда или чаще 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4 </w:t>
            </w:r>
          </w:p>
        </w:tc>
      </w:tr>
      <w:tr w:rsidR="003A0918">
        <w:trPr>
          <w:trHeight w:val="288"/>
        </w:trPr>
        <w:tc>
          <w:tcPr>
            <w:tcW w:w="53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8. У Вас есть или отмечалась раньше аллергия? 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 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0 </w:t>
            </w:r>
          </w:p>
        </w:tc>
      </w:tr>
      <w:tr w:rsidR="003A0918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3A0918"/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Нет 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 </w:t>
            </w:r>
          </w:p>
        </w:tc>
      </w:tr>
    </w:tbl>
    <w:p w:rsidR="003A0918" w:rsidRDefault="00D87DBB">
      <w:pPr>
        <w:numPr>
          <w:ilvl w:val="0"/>
          <w:numId w:val="65"/>
        </w:numPr>
        <w:spacing w:after="5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Ключ (интерпретация): </w:t>
      </w:r>
    </w:p>
    <w:p w:rsidR="003A0918" w:rsidRDefault="00D87DBB">
      <w:pPr>
        <w:spacing w:after="5"/>
        <w:ind w:left="1863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17 и более баллов</w:t>
      </w:r>
      <w:r>
        <w:rPr>
          <w:rFonts w:ascii="Times New Roman" w:eastAsia="Times New Roman" w:hAnsi="Times New Roman" w:cs="Times New Roman"/>
          <w:sz w:val="24"/>
        </w:rPr>
        <w:t xml:space="preserve">: диагноз ХОБЛ вероятен </w:t>
      </w:r>
    </w:p>
    <w:p w:rsidR="003A0918" w:rsidRDefault="00D87DBB">
      <w:pPr>
        <w:spacing w:after="5" w:line="238" w:lineRule="auto"/>
        <w:ind w:left="1863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16 или менее баллов</w:t>
      </w:r>
      <w:r>
        <w:rPr>
          <w:rFonts w:ascii="Times New Roman" w:eastAsia="Times New Roman" w:hAnsi="Times New Roman" w:cs="Times New Roman"/>
          <w:sz w:val="24"/>
        </w:rPr>
        <w:t xml:space="preserve">: рассмотрите другие заболевания, включая бронхиальную астму, или направьте к специалисту. </w:t>
      </w:r>
    </w:p>
    <w:p w:rsidR="003A0918" w:rsidRDefault="00D87DBB">
      <w:pPr>
        <w:numPr>
          <w:ilvl w:val="0"/>
          <w:numId w:val="65"/>
        </w:numPr>
        <w:spacing w:after="5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Пояснения: -- </w:t>
      </w:r>
    </w:p>
    <w:p w:rsidR="003A0918" w:rsidRDefault="00D87DBB">
      <w:pPr>
        <w:spacing w:after="50"/>
        <w:ind w:left="1133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3A0918" w:rsidRDefault="00D87DBB">
      <w:pPr>
        <w:pStyle w:val="Heading1"/>
        <w:ind w:left="870" w:right="690"/>
      </w:pPr>
      <w:r>
        <w:t xml:space="preserve">Приложение Г4. Методология проведения исследования неспровоцированных дыхательных объемов и потоков </w:t>
      </w:r>
      <w:r>
        <w:t xml:space="preserve"> </w:t>
      </w:r>
      <w:r>
        <w:t>(спирометрии)</w:t>
      </w:r>
      <w:r>
        <w:t xml:space="preserve"> </w:t>
      </w:r>
    </w:p>
    <w:p w:rsidR="003A0918" w:rsidRDefault="00D87DBB">
      <w:pPr>
        <w:spacing w:after="0"/>
        <w:ind w:left="644"/>
        <w:jc w:val="center"/>
      </w:pPr>
      <w:r>
        <w:rPr>
          <w:rFonts w:ascii="Times New Roman" w:eastAsia="Times New Roman" w:hAnsi="Times New Roman" w:cs="Times New Roman"/>
          <w:b/>
          <w:sz w:val="32"/>
        </w:rPr>
        <w:t xml:space="preserve">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При проведении исследования неспровоцированных дыхательных объемов и потоков (спирометрии) рекомендуется выполнять не менее трех технически правильных дыхательных маневра форсированной жизненной емкости легких (ФЖЕЛ) до получения воспроизводимых результато</w:t>
      </w:r>
      <w:r>
        <w:rPr>
          <w:rFonts w:ascii="Times New Roman" w:eastAsia="Times New Roman" w:hAnsi="Times New Roman" w:cs="Times New Roman"/>
          <w:sz w:val="24"/>
        </w:rPr>
        <w:t>в: максимальные и следующие за ними по величине показатели ФЖЕЛ и ОФВ</w:t>
      </w:r>
      <w:r>
        <w:rPr>
          <w:rFonts w:ascii="Times New Roman" w:eastAsia="Times New Roman" w:hAnsi="Times New Roman" w:cs="Times New Roman"/>
          <w:sz w:val="24"/>
          <w:vertAlign w:val="subscript"/>
        </w:rPr>
        <w:t>1</w:t>
      </w:r>
      <w:r>
        <w:rPr>
          <w:rFonts w:ascii="Times New Roman" w:eastAsia="Times New Roman" w:hAnsi="Times New Roman" w:cs="Times New Roman"/>
          <w:sz w:val="24"/>
        </w:rPr>
        <w:t xml:space="preserve"> должны различаться не более чем на 150 мл. В случаях, когда величина ФЖЕЛ не превышает 1000 мл, максимально допустимая разница как по ФЖЕЛ, так и по ОФВ</w:t>
      </w:r>
      <w:r>
        <w:rPr>
          <w:rFonts w:ascii="Times New Roman" w:eastAsia="Times New Roman" w:hAnsi="Times New Roman" w:cs="Times New Roman"/>
          <w:sz w:val="24"/>
          <w:vertAlign w:val="subscript"/>
        </w:rPr>
        <w:t>1</w:t>
      </w:r>
      <w:r>
        <w:rPr>
          <w:rFonts w:ascii="Times New Roman" w:eastAsia="Times New Roman" w:hAnsi="Times New Roman" w:cs="Times New Roman"/>
          <w:sz w:val="24"/>
        </w:rPr>
        <w:t xml:space="preserve"> не должна превышать 100 мл.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Ес</w:t>
      </w:r>
      <w:r>
        <w:rPr>
          <w:rFonts w:ascii="Times New Roman" w:eastAsia="Times New Roman" w:hAnsi="Times New Roman" w:cs="Times New Roman"/>
          <w:sz w:val="24"/>
        </w:rPr>
        <w:t>ли воспроизводимые результаты не получены после 3 попыток, выполнение дыхательных маневров необходимо продолжить до 8 попыток. Большее количество дыхательных маневров может привести к утомлению пациента и, в редких случаях, к снижению ОФВ</w:t>
      </w:r>
      <w:r>
        <w:rPr>
          <w:rFonts w:ascii="Times New Roman" w:eastAsia="Times New Roman" w:hAnsi="Times New Roman" w:cs="Times New Roman"/>
          <w:sz w:val="24"/>
          <w:vertAlign w:val="subscript"/>
        </w:rPr>
        <w:t>1</w:t>
      </w:r>
      <w:r>
        <w:rPr>
          <w:rFonts w:ascii="Times New Roman" w:eastAsia="Times New Roman" w:hAnsi="Times New Roman" w:cs="Times New Roman"/>
          <w:sz w:val="24"/>
        </w:rPr>
        <w:t xml:space="preserve"> или ФЖЕЛ. При па</w:t>
      </w:r>
      <w:r>
        <w:rPr>
          <w:rFonts w:ascii="Times New Roman" w:eastAsia="Times New Roman" w:hAnsi="Times New Roman" w:cs="Times New Roman"/>
          <w:sz w:val="24"/>
        </w:rPr>
        <w:t>дении показателей более чем на 20% от исходной величины, дальнейшее тестирование следует прекратить в интересах безопасности пациента, а динамику показателей отразить в отчете. В отчете должны быть представлены графические результаты и цифровые значения ка</w:t>
      </w:r>
      <w:r>
        <w:rPr>
          <w:rFonts w:ascii="Times New Roman" w:eastAsia="Times New Roman" w:hAnsi="Times New Roman" w:cs="Times New Roman"/>
          <w:sz w:val="24"/>
        </w:rPr>
        <w:t xml:space="preserve">к минимум трех лучших попыток. Результаты технически приемлемых, но не удовлетворяющих критерию воспроизводимости попыток могут использоваться при написании заключения с указанием на то, что они не являются воспроизводимыми.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Бронходилатационный тест прово</w:t>
      </w:r>
      <w:r>
        <w:rPr>
          <w:rFonts w:ascii="Times New Roman" w:eastAsia="Times New Roman" w:hAnsi="Times New Roman" w:cs="Times New Roman"/>
          <w:sz w:val="24"/>
        </w:rPr>
        <w:t xml:space="preserve">дится с КДБА (сальбутамолом) в разовой дозе 400 мкг через ДАИ со спейсером. Повторное  исследование неспровоцированных дыхательных объемов и потоков (спирометрию) следует проводить через 15–30 мин после ингаляции селективного бета2-адреномиметика.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Рекомен</w:t>
      </w:r>
      <w:r>
        <w:rPr>
          <w:rFonts w:ascii="Times New Roman" w:eastAsia="Times New Roman" w:hAnsi="Times New Roman" w:cs="Times New Roman"/>
          <w:sz w:val="24"/>
        </w:rPr>
        <w:t>дуется считать бронходилатационный тест положительным, если после ингаляции бронходилататора (сальбутамола) коэффициент бронходилатации (КБД) по ОФВ</w:t>
      </w:r>
      <w:r>
        <w:rPr>
          <w:rFonts w:ascii="Times New Roman" w:eastAsia="Times New Roman" w:hAnsi="Times New Roman" w:cs="Times New Roman"/>
          <w:sz w:val="24"/>
          <w:vertAlign w:val="subscript"/>
        </w:rPr>
        <w:t>1</w:t>
      </w:r>
      <w:r>
        <w:rPr>
          <w:rFonts w:ascii="Times New Roman" w:eastAsia="Times New Roman" w:hAnsi="Times New Roman" w:cs="Times New Roman"/>
          <w:sz w:val="24"/>
        </w:rPr>
        <w:t xml:space="preserve"> составляет не менее 12%, а абсолютный прирост – 200 мл и более.  </w:t>
      </w:r>
    </w:p>
    <w:p w:rsidR="003A0918" w:rsidRDefault="00D87DBB">
      <w:pPr>
        <w:spacing w:after="5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Формула для расчета КБД: </w:t>
      </w:r>
    </w:p>
    <w:p w:rsidR="003A0918" w:rsidRDefault="00D87DBB">
      <w:pPr>
        <w:tabs>
          <w:tab w:val="center" w:pos="1841"/>
          <w:tab w:val="center" w:pos="4728"/>
        </w:tabs>
        <w:spacing w:after="48"/>
      </w:pPr>
      <w:r>
        <w:tab/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ab/>
        <w:t>ОФВ</w:t>
      </w:r>
      <w:r>
        <w:rPr>
          <w:rFonts w:ascii="Times New Roman" w:eastAsia="Times New Roman" w:hAnsi="Times New Roman" w:cs="Times New Roman"/>
          <w:i/>
          <w:sz w:val="16"/>
        </w:rPr>
        <w:t>1 после</w:t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(мл) - ОФВ</w:t>
      </w:r>
      <w:r>
        <w:rPr>
          <w:rFonts w:ascii="Times New Roman" w:eastAsia="Times New Roman" w:hAnsi="Times New Roman" w:cs="Times New Roman"/>
          <w:i/>
          <w:sz w:val="16"/>
        </w:rPr>
        <w:t>1 исх</w:t>
      </w:r>
      <w:r>
        <w:rPr>
          <w:rFonts w:ascii="Times New Roman" w:eastAsia="Times New Roman" w:hAnsi="Times New Roman" w:cs="Times New Roman"/>
          <w:i/>
          <w:sz w:val="24"/>
        </w:rPr>
        <w:t xml:space="preserve"> (мл) </w:t>
      </w:r>
    </w:p>
    <w:p w:rsidR="003A0918" w:rsidRDefault="00D87DBB">
      <w:pPr>
        <w:tabs>
          <w:tab w:val="center" w:pos="4408"/>
          <w:tab w:val="center" w:pos="8073"/>
        </w:tabs>
        <w:spacing w:after="91"/>
      </w:pPr>
      <w:r>
        <w:tab/>
      </w:r>
      <w:r>
        <w:rPr>
          <w:rFonts w:ascii="Times New Roman" w:eastAsia="Times New Roman" w:hAnsi="Times New Roman" w:cs="Times New Roman"/>
          <w:i/>
          <w:sz w:val="24"/>
        </w:rPr>
        <w:t xml:space="preserve">КБД </w:t>
      </w:r>
      <w:r>
        <w:rPr>
          <w:noProof/>
        </w:rPr>
        <mc:AlternateContent>
          <mc:Choice Requires="wpg">
            <w:drawing>
              <wp:inline distT="0" distB="0" distL="0" distR="0">
                <wp:extent cx="2832227" cy="6096"/>
                <wp:effectExtent l="0" t="0" r="0" b="0"/>
                <wp:docPr id="139639" name="Group 1396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2227" cy="6096"/>
                          <a:chOff x="0" y="0"/>
                          <a:chExt cx="2832227" cy="6096"/>
                        </a:xfrm>
                      </wpg:grpSpPr>
                      <wps:wsp>
                        <wps:cNvPr id="150243" name="Shape 150243"/>
                        <wps:cNvSpPr/>
                        <wps:spPr>
                          <a:xfrm>
                            <a:off x="0" y="0"/>
                            <a:ext cx="283222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32227" h="9144">
                                <a:moveTo>
                                  <a:pt x="0" y="0"/>
                                </a:moveTo>
                                <a:lnTo>
                                  <a:pt x="2832227" y="0"/>
                                </a:lnTo>
                                <a:lnTo>
                                  <a:pt x="283222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39639" style="width:223.01pt;height:0.47998pt;mso-position-horizontal-relative:char;mso-position-vertical-relative:line" coordsize="28322,60">
                <v:shape id="Shape 150244" style="position:absolute;width:28322;height:91;left:0;top:0;" coordsize="2832227,9144" path="m0,0l2832227,0l2832227,9144l0,9144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i/>
          <w:sz w:val="24"/>
        </w:rPr>
        <w:tab/>
        <w:t xml:space="preserve">× 100% </w:t>
      </w:r>
    </w:p>
    <w:p w:rsidR="003A0918" w:rsidRDefault="00D87DBB">
      <w:pPr>
        <w:tabs>
          <w:tab w:val="center" w:pos="1922"/>
          <w:tab w:val="center" w:pos="3887"/>
        </w:tabs>
        <w:spacing w:after="274"/>
      </w:pPr>
      <w:r>
        <w:tab/>
      </w:r>
      <w:r>
        <w:rPr>
          <w:rFonts w:ascii="Times New Roman" w:eastAsia="Times New Roman" w:hAnsi="Times New Roman" w:cs="Times New Roman"/>
          <w:i/>
          <w:sz w:val="24"/>
        </w:rPr>
        <w:t xml:space="preserve">=  </w:t>
      </w:r>
      <w:r>
        <w:rPr>
          <w:rFonts w:ascii="Times New Roman" w:eastAsia="Times New Roman" w:hAnsi="Times New Roman" w:cs="Times New Roman"/>
          <w:i/>
          <w:sz w:val="24"/>
        </w:rPr>
        <w:tab/>
        <w:t>ОФВ</w:t>
      </w:r>
      <w:r>
        <w:rPr>
          <w:rFonts w:ascii="Times New Roman" w:eastAsia="Times New Roman" w:hAnsi="Times New Roman" w:cs="Times New Roman"/>
          <w:i/>
          <w:sz w:val="16"/>
        </w:rPr>
        <w:t>1 исх</w:t>
      </w:r>
      <w:r>
        <w:rPr>
          <w:rFonts w:ascii="Times New Roman" w:eastAsia="Times New Roman" w:hAnsi="Times New Roman" w:cs="Times New Roman"/>
          <w:i/>
          <w:sz w:val="24"/>
        </w:rPr>
        <w:t xml:space="preserve"> (мл) </w:t>
      </w:r>
    </w:p>
    <w:p w:rsidR="003A0918" w:rsidRDefault="00D87DBB">
      <w:pPr>
        <w:spacing w:after="117"/>
        <w:ind w:left="1836" w:right="560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Абсолютный прирост (мл) = ОФВ</w:t>
      </w:r>
      <w:r>
        <w:rPr>
          <w:rFonts w:ascii="Times New Roman" w:eastAsia="Times New Roman" w:hAnsi="Times New Roman" w:cs="Times New Roman"/>
          <w:i/>
          <w:sz w:val="24"/>
          <w:vertAlign w:val="subscript"/>
        </w:rPr>
        <w:t>1 после</w:t>
      </w:r>
      <w:r>
        <w:rPr>
          <w:rFonts w:ascii="Times New Roman" w:eastAsia="Times New Roman" w:hAnsi="Times New Roman" w:cs="Times New Roman"/>
          <w:i/>
          <w:sz w:val="24"/>
        </w:rPr>
        <w:t>(мл) - ОФВ</w:t>
      </w:r>
      <w:r>
        <w:rPr>
          <w:rFonts w:ascii="Times New Roman" w:eastAsia="Times New Roman" w:hAnsi="Times New Roman" w:cs="Times New Roman"/>
          <w:i/>
          <w:sz w:val="24"/>
          <w:vertAlign w:val="subscript"/>
        </w:rPr>
        <w:t>1 исх</w:t>
      </w:r>
      <w:r>
        <w:rPr>
          <w:rFonts w:ascii="Times New Roman" w:eastAsia="Times New Roman" w:hAnsi="Times New Roman" w:cs="Times New Roman"/>
          <w:i/>
          <w:sz w:val="24"/>
        </w:rPr>
        <w:t xml:space="preserve">(мл), </w:t>
      </w:r>
    </w:p>
    <w:p w:rsidR="003A0918" w:rsidRDefault="00D87DBB">
      <w:pPr>
        <w:spacing w:after="5" w:line="364" w:lineRule="auto"/>
        <w:ind w:left="1851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где ОФВ</w:t>
      </w:r>
      <w:r>
        <w:rPr>
          <w:rFonts w:ascii="Times New Roman" w:eastAsia="Times New Roman" w:hAnsi="Times New Roman" w:cs="Times New Roman"/>
          <w:sz w:val="24"/>
          <w:vertAlign w:val="subscript"/>
        </w:rPr>
        <w:t>1исх</w:t>
      </w:r>
      <w:r>
        <w:rPr>
          <w:rFonts w:ascii="Times New Roman" w:eastAsia="Times New Roman" w:hAnsi="Times New Roman" w:cs="Times New Roman"/>
          <w:sz w:val="24"/>
        </w:rPr>
        <w:t xml:space="preserve"> - значение спирометрического показателя до ингаляции бронходилататора (сальбутамола), ОФВ</w:t>
      </w:r>
      <w:r>
        <w:rPr>
          <w:rFonts w:ascii="Times New Roman" w:eastAsia="Times New Roman" w:hAnsi="Times New Roman" w:cs="Times New Roman"/>
          <w:sz w:val="24"/>
          <w:vertAlign w:val="subscript"/>
        </w:rPr>
        <w:t>1 после</w:t>
      </w:r>
      <w:r>
        <w:rPr>
          <w:rFonts w:ascii="Times New Roman" w:eastAsia="Times New Roman" w:hAnsi="Times New Roman" w:cs="Times New Roman"/>
          <w:sz w:val="24"/>
        </w:rPr>
        <w:t xml:space="preserve"> - значение показателя после инга</w:t>
      </w:r>
      <w:r>
        <w:rPr>
          <w:rFonts w:ascii="Times New Roman" w:eastAsia="Times New Roman" w:hAnsi="Times New Roman" w:cs="Times New Roman"/>
          <w:sz w:val="24"/>
        </w:rPr>
        <w:t xml:space="preserve">ляции бронходилататора (сальбутамола). </w:t>
      </w:r>
    </w:p>
    <w:p w:rsidR="003A0918" w:rsidRDefault="00D87DBB">
      <w:pPr>
        <w:spacing w:after="5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Обязательным функциональным критерием документирования диагноза ХОБЛ является постбронходилатационное отношение ОФВ1/ФЖЕЛ &lt; 0,70. </w:t>
      </w:r>
    </w:p>
    <w:p w:rsidR="003A0918" w:rsidRDefault="00D87DBB">
      <w:pPr>
        <w:spacing w:after="58" w:line="364" w:lineRule="auto"/>
        <w:ind w:left="1118" w:right="560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При оценке бронходилатационного теста рекомендуется учитывать нежелательные реакции с</w:t>
      </w:r>
      <w:r>
        <w:rPr>
          <w:rFonts w:ascii="Times New Roman" w:eastAsia="Times New Roman" w:hAnsi="Times New Roman" w:cs="Times New Roman"/>
          <w:sz w:val="24"/>
        </w:rPr>
        <w:t>о стороны сердечно-сосудистой системы (тахикардию, аритмию, повышение артериального давления), а также появление таких симптомов, как возбуждение или тремор.</w:t>
      </w:r>
      <w:r>
        <w:rPr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pStyle w:val="Heading1"/>
        <w:spacing w:after="121"/>
        <w:ind w:left="870" w:right="301"/>
      </w:pPr>
      <w:r>
        <w:t>Приложение Г</w:t>
      </w:r>
      <w:r>
        <w:t xml:space="preserve">5. </w:t>
      </w:r>
      <w:r>
        <w:t>Индекс BODE</w:t>
      </w:r>
      <w:r>
        <w:t xml:space="preserve"> </w:t>
      </w:r>
    </w:p>
    <w:p w:rsidR="003A0918" w:rsidRDefault="00D87DBB">
      <w:pPr>
        <w:numPr>
          <w:ilvl w:val="0"/>
          <w:numId w:val="66"/>
        </w:numPr>
        <w:spacing w:after="163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Название на русском языке: </w:t>
      </w:r>
      <w:r>
        <w:rPr>
          <w:rFonts w:ascii="Times New Roman" w:eastAsia="Times New Roman" w:hAnsi="Times New Roman" w:cs="Times New Roman"/>
          <w:b/>
          <w:sz w:val="24"/>
        </w:rPr>
        <w:t xml:space="preserve">Индекс BODE </w:t>
      </w:r>
    </w:p>
    <w:p w:rsidR="003A0918" w:rsidRDefault="00D87DBB">
      <w:pPr>
        <w:numPr>
          <w:ilvl w:val="0"/>
          <w:numId w:val="66"/>
        </w:numPr>
        <w:spacing w:after="46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Оригинальное название: </w:t>
      </w:r>
      <w:r>
        <w:rPr>
          <w:rFonts w:ascii="Times New Roman" w:eastAsia="Times New Roman" w:hAnsi="Times New Roman" w:cs="Times New Roman"/>
          <w:b/>
          <w:sz w:val="24"/>
        </w:rPr>
        <w:t>--</w:t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>BODE index</w:t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3A0918" w:rsidRDefault="00D87DBB">
      <w:pPr>
        <w:numPr>
          <w:ilvl w:val="0"/>
          <w:numId w:val="66"/>
        </w:numPr>
        <w:spacing w:after="147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Источник (публикация с валидацией): </w:t>
      </w:r>
    </w:p>
    <w:p w:rsidR="003A0918" w:rsidRDefault="00D87DBB">
      <w:pPr>
        <w:spacing w:after="4" w:line="360" w:lineRule="auto"/>
        <w:ind w:left="2561" w:right="563" w:hanging="360"/>
        <w:jc w:val="both"/>
      </w:pPr>
      <w:r>
        <w:rPr>
          <w:rFonts w:ascii="Wingdings" w:eastAsia="Wingdings" w:hAnsi="Wingdings" w:cs="Wingdings"/>
          <w:sz w:val="28"/>
        </w:rPr>
        <w:t>▪</w:t>
      </w:r>
      <w:r>
        <w:rPr>
          <w:rFonts w:ascii="Arial" w:eastAsia="Arial" w:hAnsi="Arial" w:cs="Arial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Celli B.R. Change in the BODE index reflects disease modification in COPD: lessons from lung volume reduction surgery. // Chest. 2006. -Vol.129, №4. -P.873878</w:t>
      </w:r>
      <w:r>
        <w:rPr>
          <w:rFonts w:ascii="Times New Roman" w:eastAsia="Times New Roman" w:hAnsi="Times New Roman" w:cs="Times New Roman"/>
          <w:sz w:val="28"/>
        </w:rPr>
        <w:t xml:space="preserve">. </w:t>
      </w:r>
    </w:p>
    <w:p w:rsidR="003A0918" w:rsidRDefault="00D87DBB">
      <w:pPr>
        <w:numPr>
          <w:ilvl w:val="0"/>
          <w:numId w:val="66"/>
        </w:numPr>
        <w:spacing w:after="96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Тип (подчеркнуть): </w:t>
      </w:r>
    </w:p>
    <w:p w:rsidR="003A0918" w:rsidRDefault="00D87DBB">
      <w:pPr>
        <w:tabs>
          <w:tab w:val="center" w:pos="2601"/>
          <w:tab w:val="center" w:pos="3633"/>
        </w:tabs>
        <w:spacing w:after="150"/>
      </w:pPr>
      <w:r>
        <w:tab/>
      </w:r>
      <w:r>
        <w:rPr>
          <w:rFonts w:ascii="Times New Roman" w:eastAsia="Times New Roman" w:hAnsi="Times New Roman" w:cs="Times New Roman"/>
          <w:sz w:val="24"/>
        </w:rPr>
        <w:t>-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ab/>
      </w:r>
      <w:r>
        <w:rPr>
          <w:rFonts w:ascii="Times New Roman" w:eastAsia="Times New Roman" w:hAnsi="Times New Roman" w:cs="Times New Roman"/>
          <w:sz w:val="24"/>
        </w:rPr>
        <w:t xml:space="preserve">шкала оценки </w:t>
      </w:r>
    </w:p>
    <w:p w:rsidR="003A0918" w:rsidRDefault="00D87DBB">
      <w:pPr>
        <w:pStyle w:val="Heading2"/>
        <w:tabs>
          <w:tab w:val="center" w:pos="2601"/>
          <w:tab w:val="center" w:pos="3277"/>
        </w:tabs>
        <w:spacing w:after="148" w:line="259" w:lineRule="auto"/>
        <w:ind w:left="0" w:firstLine="0"/>
      </w:pPr>
      <w:r>
        <w:rPr>
          <w:rFonts w:ascii="Calibri" w:eastAsia="Calibri" w:hAnsi="Calibri" w:cs="Calibri"/>
          <w:b w:val="0"/>
          <w:sz w:val="22"/>
        </w:rPr>
        <w:tab/>
      </w:r>
      <w:r>
        <w:rPr>
          <w:b w:val="0"/>
        </w:rPr>
        <w:t>-</w:t>
      </w:r>
      <w:r>
        <w:rPr>
          <w:rFonts w:ascii="Arial" w:eastAsia="Arial" w:hAnsi="Arial" w:cs="Arial"/>
          <w:b w:val="0"/>
        </w:rPr>
        <w:t xml:space="preserve"> </w:t>
      </w:r>
      <w:r>
        <w:rPr>
          <w:rFonts w:ascii="Arial" w:eastAsia="Arial" w:hAnsi="Arial" w:cs="Arial"/>
          <w:b w:val="0"/>
        </w:rPr>
        <w:tab/>
      </w:r>
      <w:r>
        <w:rPr>
          <w:b w:val="0"/>
          <w:u w:val="single" w:color="000000"/>
        </w:rPr>
        <w:t>индекс</w:t>
      </w:r>
      <w:r>
        <w:rPr>
          <w:b w:val="0"/>
        </w:rPr>
        <w:t xml:space="preserve"> </w:t>
      </w:r>
    </w:p>
    <w:p w:rsidR="003A0918" w:rsidRDefault="00D87DBB">
      <w:pPr>
        <w:numPr>
          <w:ilvl w:val="0"/>
          <w:numId w:val="67"/>
        </w:numPr>
        <w:spacing w:after="151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вопросник </w:t>
      </w:r>
    </w:p>
    <w:p w:rsidR="003A0918" w:rsidRDefault="00D87DBB">
      <w:pPr>
        <w:numPr>
          <w:ilvl w:val="0"/>
          <w:numId w:val="67"/>
        </w:numPr>
        <w:spacing w:after="146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другое (уточнить) </w:t>
      </w:r>
    </w:p>
    <w:p w:rsidR="003A0918" w:rsidRDefault="00D87DBB">
      <w:pPr>
        <w:numPr>
          <w:ilvl w:val="0"/>
          <w:numId w:val="68"/>
        </w:numPr>
        <w:spacing w:after="5" w:line="364" w:lineRule="auto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Назначение: прогнозирования уровня смертности (смертности) от хронической обструктивной болезни легких (ХОБЛ). </w:t>
      </w:r>
    </w:p>
    <w:p w:rsidR="003A0918" w:rsidRDefault="00D87DBB">
      <w:pPr>
        <w:numPr>
          <w:ilvl w:val="0"/>
          <w:numId w:val="68"/>
        </w:numPr>
        <w:spacing w:after="98"/>
        <w:ind w:right="560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Содержание: </w:t>
      </w:r>
    </w:p>
    <w:p w:rsidR="003A0918" w:rsidRDefault="00D87DBB">
      <w:pPr>
        <w:numPr>
          <w:ilvl w:val="1"/>
          <w:numId w:val="68"/>
        </w:numPr>
        <w:spacing w:after="151"/>
        <w:ind w:right="560" w:hanging="360"/>
        <w:jc w:val="both"/>
      </w:pPr>
      <w:hyperlink r:id="rId77" w:anchor="menu-1">
        <w:r>
          <w:rPr>
            <w:rFonts w:ascii="Times New Roman" w:eastAsia="Times New Roman" w:hAnsi="Times New Roman" w:cs="Times New Roman"/>
            <w:sz w:val="24"/>
          </w:rPr>
          <w:t xml:space="preserve">4 фактора в индексе BODE </w:t>
        </w:r>
      </w:hyperlink>
      <w:hyperlink r:id="rId78" w:anchor="menu-1">
        <w:r>
          <w:rPr>
            <w:rFonts w:ascii="Times New Roman" w:eastAsia="Times New Roman" w:hAnsi="Times New Roman" w:cs="Times New Roman"/>
            <w:sz w:val="24"/>
          </w:rPr>
          <w:t xml:space="preserve"> </w:t>
        </w:r>
      </w:hyperlink>
    </w:p>
    <w:p w:rsidR="003A0918" w:rsidRDefault="00D87DBB">
      <w:pPr>
        <w:numPr>
          <w:ilvl w:val="1"/>
          <w:numId w:val="68"/>
        </w:numPr>
        <w:spacing w:after="148"/>
        <w:ind w:right="560" w:hanging="360"/>
        <w:jc w:val="both"/>
      </w:pPr>
      <w:hyperlink r:id="rId79" w:anchor="menu-2">
        <w:r>
          <w:rPr>
            <w:rFonts w:ascii="Times New Roman" w:eastAsia="Times New Roman" w:hAnsi="Times New Roman" w:cs="Times New Roman"/>
            <w:sz w:val="24"/>
          </w:rPr>
          <w:t xml:space="preserve">B </w:t>
        </w:r>
      </w:hyperlink>
      <w:hyperlink r:id="rId80" w:anchor="menu-2">
        <w:r>
          <w:rPr>
            <w:rFonts w:ascii="Times New Roman" w:eastAsia="Times New Roman" w:hAnsi="Times New Roman" w:cs="Times New Roman"/>
            <w:sz w:val="24"/>
          </w:rPr>
          <w:t xml:space="preserve">- </w:t>
        </w:r>
      </w:hyperlink>
      <w:hyperlink r:id="rId81" w:anchor="menu-2">
        <w:r>
          <w:rPr>
            <w:rFonts w:ascii="Times New Roman" w:eastAsia="Times New Roman" w:hAnsi="Times New Roman" w:cs="Times New Roman"/>
            <w:sz w:val="24"/>
          </w:rPr>
          <w:t xml:space="preserve">Индекс массы тела </w:t>
        </w:r>
      </w:hyperlink>
      <w:hyperlink r:id="rId82" w:anchor="menu-2">
        <w:r>
          <w:rPr>
            <w:rFonts w:ascii="Times New Roman" w:eastAsia="Times New Roman" w:hAnsi="Times New Roman" w:cs="Times New Roman"/>
            <w:sz w:val="24"/>
          </w:rPr>
          <w:t xml:space="preserve"> </w:t>
        </w:r>
      </w:hyperlink>
    </w:p>
    <w:p w:rsidR="003A0918" w:rsidRDefault="00D87DBB">
      <w:pPr>
        <w:numPr>
          <w:ilvl w:val="1"/>
          <w:numId w:val="68"/>
        </w:numPr>
        <w:spacing w:after="150"/>
        <w:ind w:right="560" w:hanging="360"/>
        <w:jc w:val="both"/>
      </w:pPr>
      <w:hyperlink r:id="rId83" w:anchor="menu-3">
        <w:r>
          <w:rPr>
            <w:rFonts w:ascii="Times New Roman" w:eastAsia="Times New Roman" w:hAnsi="Times New Roman" w:cs="Times New Roman"/>
            <w:sz w:val="24"/>
          </w:rPr>
          <w:t xml:space="preserve">O </w:t>
        </w:r>
      </w:hyperlink>
      <w:hyperlink r:id="rId84" w:anchor="menu-3">
        <w:r>
          <w:rPr>
            <w:rFonts w:ascii="Times New Roman" w:eastAsia="Times New Roman" w:hAnsi="Times New Roman" w:cs="Times New Roman"/>
            <w:sz w:val="24"/>
          </w:rPr>
          <w:t xml:space="preserve">- </w:t>
        </w:r>
      </w:hyperlink>
      <w:hyperlink r:id="rId85" w:anchor="menu-3">
        <w:r>
          <w:rPr>
            <w:rFonts w:ascii="Times New Roman" w:eastAsia="Times New Roman" w:hAnsi="Times New Roman" w:cs="Times New Roman"/>
            <w:sz w:val="24"/>
          </w:rPr>
          <w:t xml:space="preserve">Обструкция дыхательных путей </w:t>
        </w:r>
      </w:hyperlink>
      <w:hyperlink r:id="rId86" w:anchor="menu-3">
        <w:r>
          <w:rPr>
            <w:rFonts w:ascii="Times New Roman" w:eastAsia="Times New Roman" w:hAnsi="Times New Roman" w:cs="Times New Roman"/>
            <w:sz w:val="24"/>
          </w:rPr>
          <w:t xml:space="preserve"> </w:t>
        </w:r>
      </w:hyperlink>
    </w:p>
    <w:p w:rsidR="003A0918" w:rsidRDefault="00D87DBB">
      <w:pPr>
        <w:numPr>
          <w:ilvl w:val="1"/>
          <w:numId w:val="68"/>
        </w:numPr>
        <w:spacing w:after="148"/>
        <w:ind w:right="560" w:hanging="360"/>
        <w:jc w:val="both"/>
      </w:pPr>
      <w:hyperlink r:id="rId87" w:anchor="menu-4">
        <w:r>
          <w:rPr>
            <w:rFonts w:ascii="Times New Roman" w:eastAsia="Times New Roman" w:hAnsi="Times New Roman" w:cs="Times New Roman"/>
            <w:sz w:val="24"/>
          </w:rPr>
          <w:t xml:space="preserve">D </w:t>
        </w:r>
      </w:hyperlink>
      <w:hyperlink r:id="rId88" w:anchor="menu-4">
        <w:r>
          <w:rPr>
            <w:rFonts w:ascii="Times New Roman" w:eastAsia="Times New Roman" w:hAnsi="Times New Roman" w:cs="Times New Roman"/>
            <w:sz w:val="24"/>
          </w:rPr>
          <w:t xml:space="preserve">- </w:t>
        </w:r>
      </w:hyperlink>
      <w:hyperlink r:id="rId89" w:anchor="menu-4">
        <w:r>
          <w:rPr>
            <w:rFonts w:ascii="Times New Roman" w:eastAsia="Times New Roman" w:hAnsi="Times New Roman" w:cs="Times New Roman"/>
            <w:sz w:val="24"/>
          </w:rPr>
          <w:t xml:space="preserve">Одышка </w:t>
        </w:r>
      </w:hyperlink>
      <w:hyperlink r:id="rId90" w:anchor="menu-4">
        <w:r>
          <w:rPr>
            <w:rFonts w:ascii="Times New Roman" w:eastAsia="Times New Roman" w:hAnsi="Times New Roman" w:cs="Times New Roman"/>
            <w:sz w:val="24"/>
          </w:rPr>
          <w:t xml:space="preserve"> </w:t>
        </w:r>
      </w:hyperlink>
    </w:p>
    <w:p w:rsidR="003A0918" w:rsidRDefault="00D87DBB">
      <w:pPr>
        <w:numPr>
          <w:ilvl w:val="1"/>
          <w:numId w:val="68"/>
        </w:numPr>
        <w:spacing w:after="150"/>
        <w:ind w:right="560" w:hanging="360"/>
        <w:jc w:val="both"/>
      </w:pPr>
      <w:hyperlink r:id="rId91" w:anchor="menu-5">
        <w:r>
          <w:rPr>
            <w:rFonts w:ascii="Times New Roman" w:eastAsia="Times New Roman" w:hAnsi="Times New Roman" w:cs="Times New Roman"/>
            <w:sz w:val="24"/>
          </w:rPr>
          <w:t xml:space="preserve">E </w:t>
        </w:r>
      </w:hyperlink>
      <w:hyperlink r:id="rId92" w:anchor="menu-5">
        <w:r>
          <w:rPr>
            <w:rFonts w:ascii="Times New Roman" w:eastAsia="Times New Roman" w:hAnsi="Times New Roman" w:cs="Times New Roman"/>
            <w:sz w:val="24"/>
          </w:rPr>
          <w:t xml:space="preserve">- </w:t>
        </w:r>
      </w:hyperlink>
      <w:hyperlink r:id="rId93" w:anchor="menu-5">
        <w:r>
          <w:rPr>
            <w:rFonts w:ascii="Times New Roman" w:eastAsia="Times New Roman" w:hAnsi="Times New Roman" w:cs="Times New Roman"/>
            <w:sz w:val="24"/>
          </w:rPr>
          <w:t xml:space="preserve">толерантность к упражнениям </w:t>
        </w:r>
      </w:hyperlink>
      <w:hyperlink r:id="rId94" w:anchor="menu-5">
        <w:r>
          <w:rPr>
            <w:rFonts w:ascii="Times New Roman" w:eastAsia="Times New Roman" w:hAnsi="Times New Roman" w:cs="Times New Roman"/>
            <w:sz w:val="24"/>
          </w:rPr>
          <w:t xml:space="preserve"> </w:t>
        </w:r>
      </w:hyperlink>
    </w:p>
    <w:p w:rsidR="003A0918" w:rsidRDefault="00D87DBB">
      <w:pPr>
        <w:numPr>
          <w:ilvl w:val="1"/>
          <w:numId w:val="68"/>
        </w:numPr>
        <w:spacing w:after="148"/>
        <w:ind w:right="560" w:hanging="360"/>
        <w:jc w:val="both"/>
      </w:pPr>
      <w:hyperlink r:id="rId95" w:anchor="menu-6">
        <w:r>
          <w:rPr>
            <w:rFonts w:ascii="Times New Roman" w:eastAsia="Times New Roman" w:hAnsi="Times New Roman" w:cs="Times New Roman"/>
            <w:sz w:val="24"/>
          </w:rPr>
          <w:t xml:space="preserve">Значения и диапазоны </w:t>
        </w:r>
      </w:hyperlink>
      <w:hyperlink r:id="rId96" w:anchor="menu-6">
        <w:r>
          <w:rPr>
            <w:rFonts w:ascii="Times New Roman" w:eastAsia="Times New Roman" w:hAnsi="Times New Roman" w:cs="Times New Roman"/>
            <w:sz w:val="24"/>
          </w:rPr>
          <w:t xml:space="preserve"> </w:t>
        </w:r>
      </w:hyperlink>
    </w:p>
    <w:p w:rsidR="003A0918" w:rsidRDefault="00D87DBB">
      <w:pPr>
        <w:numPr>
          <w:ilvl w:val="1"/>
          <w:numId w:val="68"/>
        </w:numPr>
        <w:spacing w:after="5"/>
        <w:ind w:right="560" w:hanging="360"/>
        <w:jc w:val="both"/>
      </w:pPr>
      <w:hyperlink r:id="rId97" w:anchor="menu-7">
        <w:r>
          <w:rPr>
            <w:rFonts w:ascii="Times New Roman" w:eastAsia="Times New Roman" w:hAnsi="Times New Roman" w:cs="Times New Roman"/>
            <w:sz w:val="24"/>
          </w:rPr>
          <w:t xml:space="preserve">Прогнозирование смертности </w:t>
        </w:r>
      </w:hyperlink>
      <w:hyperlink r:id="rId98" w:anchor="menu-7">
        <w:r>
          <w:rPr>
            <w:rFonts w:ascii="Times New Roman" w:eastAsia="Times New Roman" w:hAnsi="Times New Roman" w:cs="Times New Roman"/>
            <w:sz w:val="24"/>
          </w:rPr>
          <w:t xml:space="preserve"> </w:t>
        </w:r>
      </w:hyperlink>
    </w:p>
    <w:p w:rsidR="003A0918" w:rsidRDefault="00D87DBB">
      <w:pPr>
        <w:numPr>
          <w:ilvl w:val="1"/>
          <w:numId w:val="68"/>
        </w:numPr>
        <w:spacing w:after="151"/>
        <w:ind w:right="560" w:hanging="360"/>
        <w:jc w:val="both"/>
      </w:pPr>
      <w:hyperlink r:id="rId99" w:anchor="menu-8">
        <w:r>
          <w:rPr>
            <w:rFonts w:ascii="Times New Roman" w:eastAsia="Times New Roman" w:hAnsi="Times New Roman" w:cs="Times New Roman"/>
            <w:sz w:val="24"/>
          </w:rPr>
          <w:t xml:space="preserve">Выживаемость </w:t>
        </w:r>
      </w:hyperlink>
      <w:hyperlink r:id="rId100" w:anchor="menu-8">
        <w:r>
          <w:rPr>
            <w:rFonts w:ascii="Times New Roman" w:eastAsia="Times New Roman" w:hAnsi="Times New Roman" w:cs="Times New Roman"/>
            <w:sz w:val="24"/>
          </w:rPr>
          <w:t xml:space="preserve"> </w:t>
        </w:r>
      </w:hyperlink>
    </w:p>
    <w:p w:rsidR="003A0918" w:rsidRDefault="00D87DBB">
      <w:pPr>
        <w:numPr>
          <w:ilvl w:val="1"/>
          <w:numId w:val="68"/>
        </w:numPr>
        <w:spacing w:after="119"/>
        <w:ind w:right="560" w:hanging="360"/>
        <w:jc w:val="both"/>
      </w:pPr>
      <w:hyperlink r:id="rId101" w:anchor="menu-9">
        <w:r>
          <w:rPr>
            <w:rFonts w:ascii="Times New Roman" w:eastAsia="Times New Roman" w:hAnsi="Times New Roman" w:cs="Times New Roman"/>
            <w:sz w:val="24"/>
          </w:rPr>
          <w:t>Ожидаемая продолжительность</w:t>
        </w:r>
      </w:hyperlink>
      <w:hyperlink r:id="rId102" w:anchor="menu-9">
        <w:r>
          <w:rPr>
            <w:rFonts w:ascii="Times New Roman" w:eastAsia="Times New Roman" w:hAnsi="Times New Roman" w:cs="Times New Roman"/>
            <w:sz w:val="24"/>
          </w:rPr>
          <w:t xml:space="preserve"> </w:t>
        </w:r>
      </w:hyperlink>
      <w:hyperlink r:id="rId103" w:anchor="menu-9">
        <w:r>
          <w:rPr>
            <w:rFonts w:ascii="Times New Roman" w:eastAsia="Times New Roman" w:hAnsi="Times New Roman" w:cs="Times New Roman"/>
            <w:sz w:val="24"/>
          </w:rPr>
          <w:t xml:space="preserve">жизни </w:t>
        </w:r>
      </w:hyperlink>
      <w:hyperlink r:id="rId104" w:anchor="menu-9">
        <w:r>
          <w:rPr>
            <w:rFonts w:ascii="Times New Roman" w:eastAsia="Times New Roman" w:hAnsi="Times New Roman" w:cs="Times New Roman"/>
            <w:sz w:val="24"/>
          </w:rPr>
          <w:t xml:space="preserve"> </w:t>
        </w:r>
      </w:hyperlink>
    </w:p>
    <w:p w:rsidR="003A0918" w:rsidRDefault="00D87DBB">
      <w:pPr>
        <w:spacing w:after="0"/>
        <w:ind w:left="1416"/>
      </w:pPr>
      <w:r>
        <w:rPr>
          <w:rFonts w:ascii="Times New Roman" w:eastAsia="Times New Roman" w:hAnsi="Times New Roman" w:cs="Times New Roman"/>
          <w:b/>
          <w:sz w:val="24"/>
        </w:rPr>
        <w:t xml:space="preserve">  </w:t>
      </w:r>
    </w:p>
    <w:tbl>
      <w:tblPr>
        <w:tblStyle w:val="TableGrid"/>
        <w:tblW w:w="9347" w:type="dxa"/>
        <w:tblInd w:w="1025" w:type="dxa"/>
        <w:tblCellMar>
          <w:top w:w="62" w:type="dxa"/>
          <w:left w:w="108" w:type="dxa"/>
          <w:bottom w:w="0" w:type="dxa"/>
          <w:right w:w="110" w:type="dxa"/>
        </w:tblCellMar>
        <w:tblLook w:val="04A0" w:firstRow="1" w:lastRow="0" w:firstColumn="1" w:lastColumn="0" w:noHBand="0" w:noVBand="1"/>
      </w:tblPr>
      <w:tblGrid>
        <w:gridCol w:w="5240"/>
        <w:gridCol w:w="994"/>
        <w:gridCol w:w="1133"/>
        <w:gridCol w:w="1135"/>
        <w:gridCol w:w="845"/>
      </w:tblGrid>
      <w:tr w:rsidR="003A0918">
        <w:trPr>
          <w:trHeight w:val="286"/>
        </w:trPr>
        <w:tc>
          <w:tcPr>
            <w:tcW w:w="5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0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3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2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3 </w:t>
            </w:r>
          </w:p>
        </w:tc>
      </w:tr>
      <w:tr w:rsidR="003A0918">
        <w:trPr>
          <w:trHeight w:val="286"/>
        </w:trPr>
        <w:tc>
          <w:tcPr>
            <w:tcW w:w="5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ОФВ1 (% от прогнозируемого)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≥65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50-64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36-49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≤35 </w:t>
            </w:r>
          </w:p>
        </w:tc>
      </w:tr>
      <w:tr w:rsidR="003A0918">
        <w:trPr>
          <w:trHeight w:val="286"/>
        </w:trPr>
        <w:tc>
          <w:tcPr>
            <w:tcW w:w="5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Пройденное расстояние за 6 минут (метров)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≥350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55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250-349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150-249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65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≤149 </w:t>
            </w:r>
          </w:p>
        </w:tc>
      </w:tr>
      <w:tr w:rsidR="003A0918">
        <w:trPr>
          <w:trHeight w:val="286"/>
        </w:trPr>
        <w:tc>
          <w:tcPr>
            <w:tcW w:w="5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шкала одышки mMRC 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0-1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4 </w:t>
            </w:r>
          </w:p>
        </w:tc>
      </w:tr>
      <w:tr w:rsidR="003A0918">
        <w:trPr>
          <w:trHeight w:val="288"/>
        </w:trPr>
        <w:tc>
          <w:tcPr>
            <w:tcW w:w="5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ИМТ 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&gt;21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≤21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6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58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3A0918" w:rsidRDefault="00D87DBB">
      <w:pPr>
        <w:spacing w:after="5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pStyle w:val="Heading1"/>
        <w:ind w:left="870" w:right="596"/>
      </w:pPr>
      <w:r>
        <w:t xml:space="preserve">Приложение Г6. Основные методы легочной реабилитации и их обоснование </w:t>
      </w:r>
      <w:r>
        <w:t xml:space="preserve">[1-3]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tbl>
      <w:tblPr>
        <w:tblStyle w:val="TableGrid"/>
        <w:tblW w:w="9640" w:type="dxa"/>
        <w:tblInd w:w="1025" w:type="dxa"/>
        <w:tblCellMar>
          <w:top w:w="62" w:type="dxa"/>
          <w:left w:w="106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3214"/>
        <w:gridCol w:w="3214"/>
        <w:gridCol w:w="3212"/>
      </w:tblGrid>
      <w:tr w:rsidR="003A0918">
        <w:trPr>
          <w:trHeight w:val="841"/>
        </w:trPr>
        <w:tc>
          <w:tcPr>
            <w:tcW w:w="3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Методы физической реабилитации  </w:t>
            </w:r>
          </w:p>
        </w:tc>
        <w:tc>
          <w:tcPr>
            <w:tcW w:w="3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Обоснование </w:t>
            </w:r>
          </w:p>
        </w:tc>
        <w:tc>
          <w:tcPr>
            <w:tcW w:w="3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Методика и использование дополнительных реабилитационных приборов </w:t>
            </w:r>
          </w:p>
        </w:tc>
      </w:tr>
      <w:tr w:rsidR="003A0918">
        <w:trPr>
          <w:trHeight w:val="3322"/>
        </w:trPr>
        <w:tc>
          <w:tcPr>
            <w:tcW w:w="3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Физические упражнения, направленные на тренировку дыхательной мускулатуры </w:t>
            </w:r>
          </w:p>
        </w:tc>
        <w:tc>
          <w:tcPr>
            <w:tcW w:w="3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 w:line="244" w:lineRule="auto"/>
              <w:ind w:left="79" w:right="62"/>
              <w:jc w:val="right"/>
            </w:pPr>
            <w:r>
              <w:rPr>
                <w:rFonts w:ascii="Segoe UI Symbol" w:eastAsia="Segoe UI Symbol" w:hAnsi="Segoe UI Symbol" w:cs="Segoe UI Symbol"/>
                <w:sz w:val="24"/>
              </w:rPr>
              <w:t>•</w:t>
            </w:r>
            <w:r>
              <w:rPr>
                <w:rFonts w:ascii="Arial" w:eastAsia="Arial" w:hAnsi="Arial" w:cs="Arial"/>
                <w:sz w:val="24"/>
              </w:rPr>
              <w:t xml:space="preserve"> </w:t>
            </w:r>
            <w:r>
              <w:rPr>
                <w:rFonts w:ascii="Arial" w:eastAsia="Arial" w:hAnsi="Arial" w:cs="Arial"/>
                <w:sz w:val="24"/>
              </w:rP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улучшение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работы дыхательных мышц  </w:t>
            </w:r>
            <w:r>
              <w:rPr>
                <w:rFonts w:ascii="Segoe UI Symbol" w:eastAsia="Segoe UI Symbol" w:hAnsi="Segoe UI Symbol" w:cs="Segoe UI Symbol"/>
                <w:sz w:val="24"/>
              </w:rPr>
              <w:t>•</w:t>
            </w:r>
            <w:r>
              <w:rPr>
                <w:rFonts w:ascii="Arial" w:eastAsia="Arial" w:hAnsi="Arial" w:cs="Arial"/>
                <w:sz w:val="24"/>
              </w:rPr>
              <w:t xml:space="preserve"> </w:t>
            </w:r>
            <w:r>
              <w:rPr>
                <w:rFonts w:ascii="Arial" w:eastAsia="Arial" w:hAnsi="Arial" w:cs="Arial"/>
                <w:sz w:val="24"/>
              </w:rP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уменьшение одышки  </w:t>
            </w:r>
            <w:r>
              <w:rPr>
                <w:rFonts w:ascii="Segoe UI Symbol" w:eastAsia="Segoe UI Symbol" w:hAnsi="Segoe UI Symbol" w:cs="Segoe UI Symbol"/>
                <w:sz w:val="24"/>
              </w:rPr>
              <w:t>•</w:t>
            </w:r>
            <w:r>
              <w:rPr>
                <w:rFonts w:ascii="Arial" w:eastAsia="Arial" w:hAnsi="Arial" w:cs="Arial"/>
                <w:sz w:val="24"/>
              </w:rPr>
              <w:t xml:space="preserve"> </w:t>
            </w:r>
            <w:r>
              <w:rPr>
                <w:rFonts w:ascii="Arial" w:eastAsia="Arial" w:hAnsi="Arial" w:cs="Arial"/>
                <w:sz w:val="24"/>
              </w:rP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>улучшение психоло-</w:t>
            </w:r>
          </w:p>
          <w:p w:rsidR="003A0918" w:rsidRDefault="00D87DBB">
            <w:pPr>
              <w:spacing w:after="0"/>
              <w:ind w:left="19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гического состояния </w:t>
            </w:r>
          </w:p>
        </w:tc>
        <w:tc>
          <w:tcPr>
            <w:tcW w:w="3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 w:line="238" w:lineRule="auto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1.Дыхательная гимнастика с созданием сопротивления на выдохе при дыхании через неплотно сомкнутые губы во время физической нагрузки и диафрагмальное дыхание  2.Ежедневные прогулки </w:t>
            </w:r>
          </w:p>
          <w:p w:rsidR="003A0918" w:rsidRDefault="00D87DBB">
            <w:pPr>
              <w:spacing w:after="0" w:line="238" w:lineRule="auto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(например: 30 минут, 4 км – в зависимости от физического статуса) </w:t>
            </w:r>
          </w:p>
          <w:p w:rsidR="003A0918" w:rsidRDefault="00D87DBB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3.Тренировки с помощью скандинавской ходьбы </w:t>
            </w:r>
          </w:p>
        </w:tc>
      </w:tr>
      <w:tr w:rsidR="003A0918">
        <w:trPr>
          <w:trHeight w:val="2009"/>
        </w:trPr>
        <w:tc>
          <w:tcPr>
            <w:tcW w:w="3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Тренировка инспираторных мышц помощью тренажеров (мотивирующие вдох спирометры)   </w:t>
            </w:r>
          </w:p>
        </w:tc>
        <w:tc>
          <w:tcPr>
            <w:tcW w:w="3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numPr>
                <w:ilvl w:val="0"/>
                <w:numId w:val="71"/>
              </w:numPr>
              <w:spacing w:after="18" w:line="244" w:lineRule="auto"/>
              <w:ind w:right="31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улучшение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работы дыхательных мышц  </w:t>
            </w:r>
            <w:r>
              <w:rPr>
                <w:rFonts w:ascii="Segoe UI Symbol" w:eastAsia="Segoe UI Symbol" w:hAnsi="Segoe UI Symbol" w:cs="Segoe UI Symbol"/>
                <w:sz w:val="24"/>
              </w:rPr>
              <w:t>•</w:t>
            </w:r>
            <w:r>
              <w:rPr>
                <w:rFonts w:ascii="Arial" w:eastAsia="Arial" w:hAnsi="Arial" w:cs="Arial"/>
                <w:sz w:val="24"/>
              </w:rPr>
              <w:t xml:space="preserve"> </w:t>
            </w:r>
            <w:r>
              <w:rPr>
                <w:rFonts w:ascii="Arial" w:eastAsia="Arial" w:hAnsi="Arial" w:cs="Arial"/>
                <w:sz w:val="24"/>
              </w:rP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уменьшение одышки </w:t>
            </w:r>
            <w:r>
              <w:rPr>
                <w:rFonts w:ascii="Segoe UI Symbol" w:eastAsia="Segoe UI Symbol" w:hAnsi="Segoe UI Symbol" w:cs="Segoe UI Symbol"/>
                <w:sz w:val="24"/>
              </w:rPr>
              <w:t>•</w:t>
            </w:r>
            <w:r>
              <w:rPr>
                <w:rFonts w:ascii="Arial" w:eastAsia="Arial" w:hAnsi="Arial" w:cs="Arial"/>
                <w:sz w:val="24"/>
              </w:rPr>
              <w:t xml:space="preserve"> </w:t>
            </w:r>
            <w:r>
              <w:rPr>
                <w:rFonts w:ascii="Arial" w:eastAsia="Arial" w:hAnsi="Arial" w:cs="Arial"/>
                <w:sz w:val="24"/>
              </w:rP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увеличение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дыхательного объема </w:t>
            </w:r>
          </w:p>
          <w:p w:rsidR="003A0918" w:rsidRDefault="00D87DBB">
            <w:pPr>
              <w:numPr>
                <w:ilvl w:val="0"/>
                <w:numId w:val="71"/>
              </w:numPr>
              <w:spacing w:after="0"/>
              <w:ind w:right="31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улучшение экспекторации мокроты  </w:t>
            </w:r>
          </w:p>
        </w:tc>
        <w:tc>
          <w:tcPr>
            <w:tcW w:w="3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Тренажеры с использованием дозированной ступенчатой нагрузки и создающие, регулируемое сопротивление на вдохе </w:t>
            </w:r>
          </w:p>
        </w:tc>
      </w:tr>
      <w:tr w:rsidR="003A0918">
        <w:trPr>
          <w:trHeight w:val="2840"/>
        </w:trPr>
        <w:tc>
          <w:tcPr>
            <w:tcW w:w="3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Упражнения для тренировки верхней и нижней групп мышц: </w:t>
            </w:r>
          </w:p>
        </w:tc>
        <w:tc>
          <w:tcPr>
            <w:tcW w:w="3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numPr>
                <w:ilvl w:val="0"/>
                <w:numId w:val="72"/>
              </w:numPr>
              <w:spacing w:after="24" w:line="239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оптимизация дыхательного цикла </w:t>
            </w:r>
          </w:p>
          <w:p w:rsidR="003A0918" w:rsidRDefault="00D87DBB">
            <w:pPr>
              <w:numPr>
                <w:ilvl w:val="0"/>
                <w:numId w:val="72"/>
              </w:numPr>
              <w:spacing w:after="45" w:line="239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оптимизация работы мелких и крупных суставов конечностей </w:t>
            </w:r>
          </w:p>
          <w:p w:rsidR="003A0918" w:rsidRDefault="00D87DBB">
            <w:pPr>
              <w:numPr>
                <w:ilvl w:val="0"/>
                <w:numId w:val="72"/>
              </w:num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улучшение мышечно-</w:t>
            </w:r>
          </w:p>
          <w:p w:rsidR="003A0918" w:rsidRDefault="00D87DBB">
            <w:pPr>
              <w:spacing w:after="1"/>
              <w:ind w:left="19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го тонуса </w:t>
            </w:r>
          </w:p>
          <w:p w:rsidR="003A0918" w:rsidRDefault="00D87DBB">
            <w:pPr>
              <w:numPr>
                <w:ilvl w:val="0"/>
                <w:numId w:val="72"/>
              </w:num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увеличение толерантности к физическим </w:t>
            </w:r>
          </w:p>
          <w:p w:rsidR="003A0918" w:rsidRDefault="00D87DBB">
            <w:pPr>
              <w:spacing w:after="0"/>
              <w:ind w:left="19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нагрузкам </w:t>
            </w:r>
          </w:p>
        </w:tc>
        <w:tc>
          <w:tcPr>
            <w:tcW w:w="3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 w:line="238" w:lineRule="auto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1.для верхней группы мышц: упражнения, направленные на повышение выносливости мышц рук, плеч, груди, совместно с оптимизацией дыхательного цикла </w:t>
            </w:r>
          </w:p>
          <w:p w:rsidR="003A0918" w:rsidRDefault="00D87DBB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2.для нижней группы мышц: ходьба по ровной поверхности, упражнения на тредмиле, упражнения с мячом </w:t>
            </w:r>
          </w:p>
        </w:tc>
      </w:tr>
      <w:tr w:rsidR="003A0918">
        <w:trPr>
          <w:trHeight w:val="1150"/>
        </w:trPr>
        <w:tc>
          <w:tcPr>
            <w:tcW w:w="3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 w:line="238" w:lineRule="auto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Применени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 высокочастотной осцилляции грудной </w:t>
            </w:r>
          </w:p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клетки  </w:t>
            </w:r>
          </w:p>
        </w:tc>
        <w:tc>
          <w:tcPr>
            <w:tcW w:w="3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numPr>
                <w:ilvl w:val="0"/>
                <w:numId w:val="73"/>
              </w:numPr>
              <w:spacing w:after="43" w:line="241" w:lineRule="auto"/>
              <w:ind w:right="3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уменьшения дыхательной дисфункции  </w:t>
            </w:r>
          </w:p>
          <w:p w:rsidR="003A0918" w:rsidRDefault="00D87DBB">
            <w:pPr>
              <w:numPr>
                <w:ilvl w:val="0"/>
                <w:numId w:val="73"/>
              </w:numPr>
              <w:spacing w:after="0"/>
              <w:ind w:right="3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улучшения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мышеч-</w:t>
            </w:r>
          </w:p>
          <w:p w:rsidR="003A0918" w:rsidRDefault="00D87DBB">
            <w:pPr>
              <w:spacing w:after="0"/>
              <w:ind w:left="19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ной трофики </w:t>
            </w:r>
          </w:p>
        </w:tc>
        <w:tc>
          <w:tcPr>
            <w:tcW w:w="3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приборы высокочастотной осцилляции грудной клетки для механического воздействия на грудную клетку </w:t>
            </w:r>
          </w:p>
        </w:tc>
      </w:tr>
      <w:tr w:rsidR="003A0918">
        <w:trPr>
          <w:trHeight w:val="581"/>
        </w:trPr>
        <w:tc>
          <w:tcPr>
            <w:tcW w:w="3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3A0918"/>
        </w:tc>
        <w:tc>
          <w:tcPr>
            <w:tcW w:w="3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tabs>
                <w:tab w:val="right" w:pos="3060"/>
              </w:tabs>
              <w:spacing w:after="0"/>
            </w:pPr>
            <w:r>
              <w:rPr>
                <w:rFonts w:ascii="Segoe UI Symbol" w:eastAsia="Segoe UI Symbol" w:hAnsi="Segoe UI Symbol" w:cs="Segoe UI Symbol"/>
                <w:sz w:val="24"/>
              </w:rPr>
              <w:t>•</w:t>
            </w:r>
            <w:r>
              <w:rPr>
                <w:rFonts w:ascii="Arial" w:eastAsia="Arial" w:hAnsi="Arial" w:cs="Arial"/>
                <w:sz w:val="24"/>
              </w:rPr>
              <w:t xml:space="preserve"> </w:t>
            </w:r>
            <w:r>
              <w:rPr>
                <w:rFonts w:ascii="Arial" w:eastAsia="Arial" w:hAnsi="Arial" w:cs="Arial"/>
                <w:sz w:val="24"/>
              </w:rP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>улучшение отхожде-</w:t>
            </w:r>
          </w:p>
          <w:p w:rsidR="003A0918" w:rsidRDefault="00D87DBB">
            <w:pPr>
              <w:spacing w:after="0"/>
              <w:ind w:left="19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ния мокроты  </w:t>
            </w:r>
          </w:p>
        </w:tc>
        <w:tc>
          <w:tcPr>
            <w:tcW w:w="3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3A0918"/>
        </w:tc>
      </w:tr>
      <w:tr w:rsidR="003A0918">
        <w:trPr>
          <w:trHeight w:val="1699"/>
        </w:trPr>
        <w:tc>
          <w:tcPr>
            <w:tcW w:w="3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Применение экспираторных тренажеров с положительным давлением на выдохе и осцилляцией </w:t>
            </w:r>
          </w:p>
        </w:tc>
        <w:tc>
          <w:tcPr>
            <w:tcW w:w="3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numPr>
                <w:ilvl w:val="0"/>
                <w:numId w:val="74"/>
              </w:numPr>
              <w:spacing w:after="24" w:line="239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Улучшение экспекторации мокроты </w:t>
            </w:r>
          </w:p>
          <w:p w:rsidR="003A0918" w:rsidRDefault="00D87DBB">
            <w:pPr>
              <w:numPr>
                <w:ilvl w:val="0"/>
                <w:numId w:val="74"/>
              </w:num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Ликвидация воздушных ловушек </w:t>
            </w:r>
          </w:p>
          <w:p w:rsidR="003A0918" w:rsidRDefault="00D87DBB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Повышение равномерности вентиляции легких </w:t>
            </w:r>
          </w:p>
        </w:tc>
        <w:tc>
          <w:tcPr>
            <w:tcW w:w="3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оРЕР-тренажеры </w:t>
            </w:r>
          </w:p>
        </w:tc>
      </w:tr>
      <w:tr w:rsidR="003A0918">
        <w:trPr>
          <w:trHeight w:val="857"/>
        </w:trPr>
        <w:tc>
          <w:tcPr>
            <w:tcW w:w="3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Применение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откашливателей </w:t>
            </w:r>
          </w:p>
        </w:tc>
        <w:tc>
          <w:tcPr>
            <w:tcW w:w="3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190" w:right="59"/>
              <w:jc w:val="both"/>
            </w:pPr>
            <w:r>
              <w:rPr>
                <w:rFonts w:ascii="Segoe UI Symbol" w:eastAsia="Segoe UI Symbol" w:hAnsi="Segoe UI Symbol" w:cs="Segoe UI Symbol"/>
                <w:sz w:val="24"/>
              </w:rPr>
              <w:t>•</w:t>
            </w:r>
            <w:r>
              <w:rPr>
                <w:rFonts w:ascii="Arial" w:eastAsia="Arial" w:hAnsi="Arial" w:cs="Arial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Повышение эффективности кашлевого клиренса </w:t>
            </w:r>
          </w:p>
        </w:tc>
        <w:tc>
          <w:tcPr>
            <w:tcW w:w="3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откашливатели </w:t>
            </w:r>
          </w:p>
        </w:tc>
      </w:tr>
      <w:tr w:rsidR="003A0918">
        <w:trPr>
          <w:trHeight w:val="4253"/>
        </w:trPr>
        <w:tc>
          <w:tcPr>
            <w:tcW w:w="3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  <w:ind w:left="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Применение интрапульмональной перкуссионной вентиляции легких </w:t>
            </w:r>
          </w:p>
        </w:tc>
        <w:tc>
          <w:tcPr>
            <w:tcW w:w="3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numPr>
                <w:ilvl w:val="0"/>
                <w:numId w:val="75"/>
              </w:numPr>
              <w:spacing w:after="24" w:line="239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Улучшение экспекторации мокроты </w:t>
            </w:r>
          </w:p>
          <w:p w:rsidR="003A0918" w:rsidRDefault="00D87DBB">
            <w:pPr>
              <w:numPr>
                <w:ilvl w:val="0"/>
                <w:numId w:val="75"/>
              </w:numPr>
              <w:spacing w:after="23" w:line="239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Ликвидация воздушных ловушек </w:t>
            </w:r>
          </w:p>
          <w:p w:rsidR="003A0918" w:rsidRDefault="00D87DBB">
            <w:pPr>
              <w:numPr>
                <w:ilvl w:val="0"/>
                <w:numId w:val="75"/>
              </w:numPr>
              <w:spacing w:after="46" w:line="239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Повышение равномерности вентиляции легких </w:t>
            </w:r>
          </w:p>
          <w:p w:rsidR="003A0918" w:rsidRDefault="00D87DBB">
            <w:pPr>
              <w:numPr>
                <w:ilvl w:val="0"/>
                <w:numId w:val="75"/>
              </w:num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«Рекрутирование» </w:t>
            </w:r>
          </w:p>
          <w:p w:rsidR="003A0918" w:rsidRDefault="00D87DBB">
            <w:pPr>
              <w:spacing w:after="40" w:line="244" w:lineRule="auto"/>
              <w:ind w:left="19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плохо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вентилируемых участков легких </w:t>
            </w:r>
          </w:p>
          <w:p w:rsidR="003A0918" w:rsidRDefault="00D87DBB">
            <w:pPr>
              <w:numPr>
                <w:ilvl w:val="0"/>
                <w:numId w:val="75"/>
              </w:numPr>
              <w:spacing w:after="43" w:line="241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Нормализация вентиляционно-перфузионных отношений </w:t>
            </w:r>
          </w:p>
          <w:p w:rsidR="003A0918" w:rsidRDefault="00D87DBB">
            <w:pPr>
              <w:numPr>
                <w:ilvl w:val="0"/>
                <w:numId w:val="75"/>
              </w:num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Неинвазивная венти-</w:t>
            </w:r>
          </w:p>
          <w:p w:rsidR="003A0918" w:rsidRDefault="00D87DBB">
            <w:pPr>
              <w:spacing w:after="0"/>
              <w:ind w:left="19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ляция легких </w:t>
            </w:r>
          </w:p>
        </w:tc>
        <w:tc>
          <w:tcPr>
            <w:tcW w:w="3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918" w:rsidRDefault="00D87DB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перкуссионер </w:t>
            </w:r>
          </w:p>
        </w:tc>
      </w:tr>
    </w:tbl>
    <w:p w:rsidR="003A0918" w:rsidRDefault="00D87DBB">
      <w:pPr>
        <w:spacing w:after="0"/>
        <w:ind w:left="185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numPr>
          <w:ilvl w:val="0"/>
          <w:numId w:val="69"/>
        </w:numPr>
        <w:spacing w:after="5" w:line="238" w:lineRule="auto"/>
        <w:ind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Белевский А.С. Реабилитация в пульмонологии. Consilium Medicum. 2006;8(10):8082 </w:t>
      </w:r>
    </w:p>
    <w:p w:rsidR="003A0918" w:rsidRDefault="00D87DBB">
      <w:pPr>
        <w:numPr>
          <w:ilvl w:val="0"/>
          <w:numId w:val="69"/>
        </w:numPr>
        <w:spacing w:after="5" w:line="238" w:lineRule="auto"/>
        <w:ind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Мещерякова Н.Н., Белевский А.С., Черняк А.В. Основные принципы реабилитации для больных с хронической обструктивной болезнью легких. </w:t>
      </w:r>
      <w:r>
        <w:rPr>
          <w:rFonts w:ascii="Times New Roman" w:eastAsia="Times New Roman" w:hAnsi="Times New Roman" w:cs="Times New Roman"/>
          <w:i/>
          <w:sz w:val="24"/>
        </w:rPr>
        <w:t>Медицинский Совет</w:t>
      </w:r>
      <w:r>
        <w:rPr>
          <w:rFonts w:ascii="Times New Roman" w:eastAsia="Times New Roman" w:hAnsi="Times New Roman" w:cs="Times New Roman"/>
          <w:sz w:val="24"/>
        </w:rPr>
        <w:t xml:space="preserve">. </w:t>
      </w:r>
    </w:p>
    <w:p w:rsidR="003A0918" w:rsidRDefault="00D87DBB">
      <w:pPr>
        <w:spacing w:after="0"/>
        <w:ind w:left="1133"/>
      </w:pPr>
      <w:r>
        <w:rPr>
          <w:rFonts w:ascii="Times New Roman" w:eastAsia="Times New Roman" w:hAnsi="Times New Roman" w:cs="Times New Roman"/>
          <w:sz w:val="24"/>
        </w:rPr>
        <w:t>2014;(16):61-64.</w:t>
      </w:r>
      <w:hyperlink r:id="rId105">
        <w:r>
          <w:rPr>
            <w:rFonts w:ascii="Times New Roman" w:eastAsia="Times New Roman" w:hAnsi="Times New Roman" w:cs="Times New Roman"/>
            <w:sz w:val="24"/>
          </w:rPr>
          <w:t xml:space="preserve"> </w:t>
        </w:r>
      </w:hyperlink>
      <w:hyperlink r:id="rId106">
        <w:r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https://doi.org/10.21518/2079</w:t>
        </w:r>
      </w:hyperlink>
      <w:hyperlink r:id="rId107">
        <w:r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-</w:t>
        </w:r>
      </w:hyperlink>
      <w:hyperlink r:id="rId108">
        <w:r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701X</w:t>
        </w:r>
      </w:hyperlink>
      <w:hyperlink r:id="rId109">
        <w:r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-</w:t>
        </w:r>
      </w:hyperlink>
      <w:hyperlink r:id="rId110">
        <w:r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2014</w:t>
        </w:r>
      </w:hyperlink>
      <w:hyperlink r:id="rId111">
        <w:r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-</w:t>
        </w:r>
      </w:hyperlink>
      <w:hyperlink r:id="rId112">
        <w:r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16</w:t>
        </w:r>
      </w:hyperlink>
      <w:hyperlink r:id="rId113">
        <w:r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-</w:t>
        </w:r>
      </w:hyperlink>
      <w:hyperlink r:id="rId114">
        <w:r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61</w:t>
        </w:r>
      </w:hyperlink>
      <w:hyperlink r:id="rId115">
        <w:r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-</w:t>
        </w:r>
      </w:hyperlink>
      <w:hyperlink r:id="rId116">
        <w:r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64</w:t>
        </w:r>
      </w:hyperlink>
      <w:hyperlink r:id="rId117">
        <w:r>
          <w:rPr>
            <w:rFonts w:ascii="Times New Roman" w:eastAsia="Times New Roman" w:hAnsi="Times New Roman" w:cs="Times New Roman"/>
            <w:sz w:val="24"/>
          </w:rPr>
          <w:t xml:space="preserve"> </w:t>
        </w:r>
      </w:hyperlink>
    </w:p>
    <w:p w:rsidR="003A0918" w:rsidRDefault="00D87DBB">
      <w:pPr>
        <w:numPr>
          <w:ilvl w:val="0"/>
          <w:numId w:val="69"/>
        </w:numPr>
        <w:spacing w:after="5" w:line="238" w:lineRule="auto"/>
        <w:ind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>Белевский А.С., Мещерякова Н.Н. Реабилитация больных ХОБЛ // Клинические рекомендации. Хроническая обструктивная болезнь легких / под ред. А.Г. Чучалина. М.: Атмосфера, 2007. С</w:t>
      </w:r>
      <w:r>
        <w:rPr>
          <w:rFonts w:ascii="Times New Roman" w:eastAsia="Times New Roman" w:hAnsi="Times New Roman" w:cs="Times New Roman"/>
          <w:sz w:val="24"/>
        </w:rPr>
        <w:t xml:space="preserve">. 221–232. </w:t>
      </w:r>
    </w:p>
    <w:p w:rsidR="003A0918" w:rsidRDefault="00D87DBB">
      <w:pPr>
        <w:numPr>
          <w:ilvl w:val="0"/>
          <w:numId w:val="69"/>
        </w:numPr>
        <w:spacing w:after="28" w:line="238" w:lineRule="auto"/>
        <w:ind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Малявин А.Г., Бабак С.Л., Горбунова М.В. Физиотерапия и кислородотерапия пациентов с дыхательными расстройствами и нарушением мукоцилиарного клиренса. Клинические рекомендации. Терапия,2019,5(приложение):101-152 </w:t>
      </w:r>
    </w:p>
    <w:p w:rsidR="003A0918" w:rsidRDefault="00D87DBB">
      <w:pPr>
        <w:tabs>
          <w:tab w:val="center" w:pos="1223"/>
          <w:tab w:val="center" w:pos="1841"/>
        </w:tabs>
        <w:spacing w:after="4"/>
      </w:pPr>
      <w:r>
        <w:tab/>
      </w:r>
      <w:r>
        <w:rPr>
          <w:rFonts w:ascii="Times New Roman" w:eastAsia="Times New Roman" w:hAnsi="Times New Roman" w:cs="Times New Roman"/>
          <w:sz w:val="24"/>
        </w:rPr>
        <w:t>5.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ab/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51"/>
        <w:ind w:left="1133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pStyle w:val="Heading1"/>
        <w:spacing w:after="92"/>
        <w:ind w:left="1493" w:right="22"/>
        <w:jc w:val="left"/>
      </w:pPr>
      <w:r>
        <w:t>Приложение Г7.</w:t>
      </w:r>
      <w:r>
        <w:t xml:space="preserve"> </w:t>
      </w:r>
      <w:r>
        <w:t xml:space="preserve">ХОБЛ у пациентов пожилого и старческого возраста </w:t>
      </w:r>
      <w:r>
        <w:t xml:space="preserve">[1-4] </w:t>
      </w:r>
    </w:p>
    <w:p w:rsidR="003A0918" w:rsidRDefault="00D87DBB">
      <w:pPr>
        <w:spacing w:after="5" w:line="364" w:lineRule="auto"/>
        <w:ind w:left="1128" w:right="560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Рекомендуется проактивное выявление синдрома старческой астении у пациентов пожилого и старческого возраста с ХОБЛ с целью выделения групп пациентов с высоким риском неблагоприятного прогноза жизни и </w:t>
      </w:r>
      <w:r>
        <w:rPr>
          <w:rFonts w:ascii="Times New Roman" w:eastAsia="Times New Roman" w:hAnsi="Times New Roman" w:cs="Times New Roman"/>
          <w:sz w:val="24"/>
        </w:rPr>
        <w:t xml:space="preserve">течения заболевания и формирования индивидуального плана ведения [1-4]. </w:t>
      </w:r>
    </w:p>
    <w:p w:rsidR="003A0918" w:rsidRDefault="00D87DBB">
      <w:pPr>
        <w:pStyle w:val="Heading2"/>
        <w:ind w:left="1143" w:right="551"/>
      </w:pPr>
      <w:r>
        <w:t>Уровень убедительности рекомендаций –</w:t>
      </w:r>
      <w:r>
        <w:t xml:space="preserve"> </w:t>
      </w:r>
      <w:r>
        <w:t>А (уровень достоверности доказательств –</w:t>
      </w:r>
      <w:r>
        <w:t xml:space="preserve"> </w:t>
      </w:r>
    </w:p>
    <w:p w:rsidR="003A0918" w:rsidRDefault="00D87DBB">
      <w:pPr>
        <w:spacing w:after="124" w:line="249" w:lineRule="auto"/>
        <w:ind w:left="1143" w:right="209" w:hanging="10"/>
      </w:pPr>
      <w:r>
        <w:rPr>
          <w:rFonts w:ascii="Times New Roman" w:eastAsia="Times New Roman" w:hAnsi="Times New Roman" w:cs="Times New Roman"/>
          <w:b/>
          <w:sz w:val="24"/>
        </w:rPr>
        <w:t>1)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3A0918" w:rsidRDefault="00D87DBB">
      <w:pPr>
        <w:spacing w:after="7" w:line="355" w:lineRule="auto"/>
        <w:ind w:left="1143" w:right="560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Комментарий: </w:t>
      </w:r>
      <w:r>
        <w:rPr>
          <w:rFonts w:ascii="Times New Roman" w:eastAsia="Times New Roman" w:hAnsi="Times New Roman" w:cs="Times New Roman"/>
          <w:i/>
          <w:sz w:val="24"/>
        </w:rPr>
        <w:t>ХОБЛ болезнь легких ассоциирована со значительным повышением риска развития гериатриче</w:t>
      </w:r>
      <w:r>
        <w:rPr>
          <w:rFonts w:ascii="Times New Roman" w:eastAsia="Times New Roman" w:hAnsi="Times New Roman" w:cs="Times New Roman"/>
          <w:i/>
          <w:sz w:val="24"/>
        </w:rPr>
        <w:t>ских синдромов и синдрома старческой астении, что затрудняет адекватное лечение ХОБЛ, ухудшает качество жизни, повышает риск госпитализаций, утраты автономности и смерти [1-4]. Достижение контроля ХОБЛ имеется важное значение для профилактики и лечения ста</w:t>
      </w:r>
      <w:r>
        <w:rPr>
          <w:rFonts w:ascii="Times New Roman" w:eastAsia="Times New Roman" w:hAnsi="Times New Roman" w:cs="Times New Roman"/>
          <w:i/>
          <w:sz w:val="24"/>
        </w:rPr>
        <w:t>рческой астении. Скрининг синдрома старческой астении у пациентов пожилого и старческого возраста с ХОБЛ и их длительное наблюдение должны осуществляться в соответствии с клиническими рекомендациями «Старческая астения» и другими клиническими рекомендациям</w:t>
      </w:r>
      <w:r>
        <w:rPr>
          <w:rFonts w:ascii="Times New Roman" w:eastAsia="Times New Roman" w:hAnsi="Times New Roman" w:cs="Times New Roman"/>
          <w:i/>
          <w:sz w:val="24"/>
        </w:rPr>
        <w:t xml:space="preserve">и по профилю «гериатрия» в зависимости от выявленных гериатрических синдромов.  </w:t>
      </w:r>
    </w:p>
    <w:p w:rsidR="003A0918" w:rsidRDefault="00D87DBB">
      <w:pPr>
        <w:numPr>
          <w:ilvl w:val="0"/>
          <w:numId w:val="70"/>
        </w:numPr>
        <w:spacing w:after="4" w:line="238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Hanlon P, Guo X, McGhee E, Lewsey J, McAllister D, Mair FS. Systematic review and meta-analysis of prevalence, trajectories, and clinical outcomes for frailty in COPD. NPJ Pri</w:t>
      </w:r>
      <w:r>
        <w:rPr>
          <w:rFonts w:ascii="Times New Roman" w:eastAsia="Times New Roman" w:hAnsi="Times New Roman" w:cs="Times New Roman"/>
          <w:sz w:val="24"/>
        </w:rPr>
        <w:t xml:space="preserve">m </w:t>
      </w:r>
    </w:p>
    <w:p w:rsidR="003A0918" w:rsidRDefault="00D87DBB">
      <w:pPr>
        <w:spacing w:after="4"/>
        <w:ind w:left="1128"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Care Respir Med. 2023 Jan 5;33(1):1. doi: 10.1038/s41533-022-00324-5 </w:t>
      </w:r>
    </w:p>
    <w:p w:rsidR="003A0918" w:rsidRDefault="00D87DBB">
      <w:pPr>
        <w:numPr>
          <w:ilvl w:val="0"/>
          <w:numId w:val="70"/>
        </w:numPr>
        <w:spacing w:after="4" w:line="238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Hanlon P, Lewsey J, Quint JK, Jani BD, Nicholl BI, McAllister DA, Mair FS. Frailty in COPD: an analysis of prevalence and clinical impact using UK Biobank. BMJ Open Respir Res. 2022 J</w:t>
      </w:r>
      <w:r>
        <w:rPr>
          <w:rFonts w:ascii="Times New Roman" w:eastAsia="Times New Roman" w:hAnsi="Times New Roman" w:cs="Times New Roman"/>
          <w:sz w:val="24"/>
        </w:rPr>
        <w:t xml:space="preserve">ul;9(1):e001314. </w:t>
      </w:r>
    </w:p>
    <w:p w:rsidR="003A0918" w:rsidRDefault="00D87DBB">
      <w:pPr>
        <w:numPr>
          <w:ilvl w:val="0"/>
          <w:numId w:val="70"/>
        </w:numPr>
        <w:spacing w:after="4" w:line="238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Witt LJ, Beyond the Lung: Geriatric Conditions Afflict Community-Dwelling Older Adults With Self-Reported Chronic Obstructive Pulmonary Disease. Front. Med. (2022) 9:814606. doi: 10.3389/fmed.2022.814606 </w:t>
      </w:r>
    </w:p>
    <w:p w:rsidR="003A0918" w:rsidRDefault="00D87DBB">
      <w:pPr>
        <w:numPr>
          <w:ilvl w:val="0"/>
          <w:numId w:val="70"/>
        </w:numPr>
        <w:spacing w:after="6449" w:line="238" w:lineRule="auto"/>
        <w:ind w:right="563" w:hanging="10"/>
        <w:jc w:val="both"/>
      </w:pPr>
      <w:r>
        <w:rPr>
          <w:rFonts w:ascii="Times New Roman" w:eastAsia="Times New Roman" w:hAnsi="Times New Roman" w:cs="Times New Roman"/>
          <w:sz w:val="24"/>
        </w:rPr>
        <w:t>Roberts MH, Mapel DW, Ganvir N, D</w:t>
      </w:r>
      <w:r>
        <w:rPr>
          <w:rFonts w:ascii="Times New Roman" w:eastAsia="Times New Roman" w:hAnsi="Times New Roman" w:cs="Times New Roman"/>
          <w:sz w:val="24"/>
        </w:rPr>
        <w:t xml:space="preserve">odd MA. Frailty Among Older Individuals with and without COPD: A Cohort Study of Prevalence and Association with Adverse Outcomes. Int J Chron Obstruct Pulmon Dis. 2022;17:701-717/ </w:t>
      </w:r>
    </w:p>
    <w:p w:rsidR="003A0918" w:rsidRDefault="00D87DBB">
      <w:pPr>
        <w:spacing w:after="0"/>
        <w:ind w:left="984"/>
        <w:jc w:val="center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sectPr w:rsidR="003A0918">
      <w:footerReference w:type="even" r:id="rId118"/>
      <w:footerReference w:type="default" r:id="rId119"/>
      <w:footerReference w:type="first" r:id="rId120"/>
      <w:pgSz w:w="11906" w:h="16838"/>
      <w:pgMar w:top="1261" w:right="225" w:bottom="985" w:left="569" w:header="720" w:footer="70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D87DBB">
      <w:pPr>
        <w:spacing w:after="0" w:line="240" w:lineRule="auto"/>
      </w:pPr>
      <w:r>
        <w:separator/>
      </w:r>
    </w:p>
  </w:endnote>
  <w:endnote w:type="continuationSeparator" w:id="0">
    <w:p w:rsidR="00000000" w:rsidRDefault="00D87D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0918" w:rsidRDefault="00D87DBB">
    <w:pPr>
      <w:spacing w:after="0"/>
      <w:ind w:left="564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imes New Roman" w:eastAsia="Times New Roman" w:hAnsi="Times New Roman" w:cs="Times New Roman"/>
        <w:sz w:val="24"/>
      </w:rPr>
      <w:t>1</w:t>
    </w:r>
    <w:r>
      <w:rPr>
        <w:rFonts w:ascii="Times New Roman" w:eastAsia="Times New Roman" w:hAnsi="Times New Roman" w:cs="Times New Roman"/>
        <w:sz w:val="24"/>
      </w:rPr>
      <w:fldChar w:fldCharType="end"/>
    </w:r>
    <w:r>
      <w:rPr>
        <w:rFonts w:ascii="Times New Roman" w:eastAsia="Times New Roman" w:hAnsi="Times New Roman" w:cs="Times New Roman"/>
        <w:sz w:val="24"/>
      </w:rPr>
      <w:t xml:space="preserve"> </w:t>
    </w:r>
  </w:p>
  <w:p w:rsidR="003A0918" w:rsidRDefault="00D87DBB">
    <w:pPr>
      <w:spacing w:after="0"/>
      <w:ind w:left="1133"/>
    </w:pPr>
    <w:r>
      <w:rPr>
        <w:rFonts w:ascii="Times New Roman" w:eastAsia="Times New Roman" w:hAnsi="Times New Roman" w:cs="Times New Roman"/>
        <w:sz w:val="24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0918" w:rsidRDefault="00D87DBB">
    <w:pPr>
      <w:spacing w:after="0"/>
      <w:ind w:left="564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Pr="00D87DBB">
      <w:rPr>
        <w:rFonts w:ascii="Times New Roman" w:eastAsia="Times New Roman" w:hAnsi="Times New Roman" w:cs="Times New Roman"/>
        <w:noProof/>
        <w:sz w:val="24"/>
      </w:rPr>
      <w:t>1</w:t>
    </w:r>
    <w:r>
      <w:rPr>
        <w:rFonts w:ascii="Times New Roman" w:eastAsia="Times New Roman" w:hAnsi="Times New Roman" w:cs="Times New Roman"/>
        <w:sz w:val="24"/>
      </w:rPr>
      <w:fldChar w:fldCharType="end"/>
    </w:r>
    <w:r>
      <w:rPr>
        <w:rFonts w:ascii="Times New Roman" w:eastAsia="Times New Roman" w:hAnsi="Times New Roman" w:cs="Times New Roman"/>
        <w:sz w:val="24"/>
      </w:rPr>
      <w:t xml:space="preserve"> </w:t>
    </w:r>
  </w:p>
  <w:p w:rsidR="003A0918" w:rsidRDefault="00D87DBB">
    <w:pPr>
      <w:spacing w:after="0"/>
      <w:ind w:left="1133"/>
    </w:pPr>
    <w:r>
      <w:rPr>
        <w:rFonts w:ascii="Times New Roman" w:eastAsia="Times New Roman" w:hAnsi="Times New Roman" w:cs="Times New Roman"/>
        <w:sz w:val="24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0918" w:rsidRDefault="00D87DBB">
    <w:pPr>
      <w:spacing w:after="0"/>
      <w:ind w:left="564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imes New Roman" w:eastAsia="Times New Roman" w:hAnsi="Times New Roman" w:cs="Times New Roman"/>
        <w:sz w:val="24"/>
      </w:rPr>
      <w:t>1</w:t>
    </w:r>
    <w:r>
      <w:rPr>
        <w:rFonts w:ascii="Times New Roman" w:eastAsia="Times New Roman" w:hAnsi="Times New Roman" w:cs="Times New Roman"/>
        <w:sz w:val="24"/>
      </w:rPr>
      <w:fldChar w:fldCharType="end"/>
    </w:r>
    <w:r>
      <w:rPr>
        <w:rFonts w:ascii="Times New Roman" w:eastAsia="Times New Roman" w:hAnsi="Times New Roman" w:cs="Times New Roman"/>
        <w:sz w:val="24"/>
      </w:rPr>
      <w:t xml:space="preserve"> </w:t>
    </w:r>
  </w:p>
  <w:p w:rsidR="003A0918" w:rsidRDefault="00D87DBB">
    <w:pPr>
      <w:spacing w:after="0"/>
      <w:ind w:left="1133"/>
    </w:pPr>
    <w:r>
      <w:rPr>
        <w:rFonts w:ascii="Times New Roman" w:eastAsia="Times New Roman" w:hAnsi="Times New Roman" w:cs="Times New Roman"/>
        <w:sz w:val="24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D87DBB">
      <w:pPr>
        <w:spacing w:after="0" w:line="240" w:lineRule="auto"/>
      </w:pPr>
      <w:r>
        <w:separator/>
      </w:r>
    </w:p>
  </w:footnote>
  <w:footnote w:type="continuationSeparator" w:id="0">
    <w:p w:rsidR="00000000" w:rsidRDefault="00D87D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375070"/>
    <w:multiLevelType w:val="hybridMultilevel"/>
    <w:tmpl w:val="5220EA16"/>
    <w:lvl w:ilvl="0" w:tplc="E36E88FC">
      <w:start w:val="1"/>
      <w:numFmt w:val="bullet"/>
      <w:lvlText w:val="•"/>
      <w:lvlJc w:val="left"/>
      <w:pPr>
        <w:ind w:left="225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BEE7EB2">
      <w:start w:val="1"/>
      <w:numFmt w:val="bullet"/>
      <w:lvlText w:val="-"/>
      <w:lvlJc w:val="left"/>
      <w:pPr>
        <w:ind w:left="29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E64FA20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3545CB6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3D6E8C4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340EA7E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1FEDE00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BA8176C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928842C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5FD6D42"/>
    <w:multiLevelType w:val="hybridMultilevel"/>
    <w:tmpl w:val="78246570"/>
    <w:lvl w:ilvl="0" w:tplc="F0EA02BA">
      <w:start w:val="1"/>
      <w:numFmt w:val="bullet"/>
      <w:lvlText w:val="➢"/>
      <w:lvlJc w:val="left"/>
      <w:pPr>
        <w:ind w:left="255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F04593C">
      <w:start w:val="1"/>
      <w:numFmt w:val="bullet"/>
      <w:lvlText w:val="o"/>
      <w:lvlJc w:val="left"/>
      <w:pPr>
        <w:ind w:left="21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3F28D4A">
      <w:start w:val="1"/>
      <w:numFmt w:val="bullet"/>
      <w:lvlText w:val="▪"/>
      <w:lvlJc w:val="left"/>
      <w:pPr>
        <w:ind w:left="28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3EE0750">
      <w:start w:val="1"/>
      <w:numFmt w:val="bullet"/>
      <w:lvlText w:val="•"/>
      <w:lvlJc w:val="left"/>
      <w:pPr>
        <w:ind w:left="357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9A2ED44">
      <w:start w:val="1"/>
      <w:numFmt w:val="bullet"/>
      <w:lvlText w:val="o"/>
      <w:lvlJc w:val="left"/>
      <w:pPr>
        <w:ind w:left="429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7E07982">
      <w:start w:val="1"/>
      <w:numFmt w:val="bullet"/>
      <w:lvlText w:val="▪"/>
      <w:lvlJc w:val="left"/>
      <w:pPr>
        <w:ind w:left="501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8C40844">
      <w:start w:val="1"/>
      <w:numFmt w:val="bullet"/>
      <w:lvlText w:val="•"/>
      <w:lvlJc w:val="left"/>
      <w:pPr>
        <w:ind w:left="57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AAC5972">
      <w:start w:val="1"/>
      <w:numFmt w:val="bullet"/>
      <w:lvlText w:val="o"/>
      <w:lvlJc w:val="left"/>
      <w:pPr>
        <w:ind w:left="64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F4C0900">
      <w:start w:val="1"/>
      <w:numFmt w:val="bullet"/>
      <w:lvlText w:val="▪"/>
      <w:lvlJc w:val="left"/>
      <w:pPr>
        <w:ind w:left="717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95F4107"/>
    <w:multiLevelType w:val="hybridMultilevel"/>
    <w:tmpl w:val="FBAC94C6"/>
    <w:lvl w:ilvl="0" w:tplc="D6D64FD2">
      <w:start w:val="1"/>
      <w:numFmt w:val="bullet"/>
      <w:lvlText w:val="-"/>
      <w:lvlJc w:val="left"/>
      <w:pPr>
        <w:ind w:left="29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08857C4">
      <w:start w:val="1"/>
      <w:numFmt w:val="bullet"/>
      <w:lvlText w:val="o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18207F2">
      <w:start w:val="1"/>
      <w:numFmt w:val="bullet"/>
      <w:lvlText w:val="▪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8D89740">
      <w:start w:val="1"/>
      <w:numFmt w:val="bullet"/>
      <w:lvlText w:val="•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A281138">
      <w:start w:val="1"/>
      <w:numFmt w:val="bullet"/>
      <w:lvlText w:val="o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F30C7BA">
      <w:start w:val="1"/>
      <w:numFmt w:val="bullet"/>
      <w:lvlText w:val="▪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45E74EC">
      <w:start w:val="1"/>
      <w:numFmt w:val="bullet"/>
      <w:lvlText w:val="•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63E9D18">
      <w:start w:val="1"/>
      <w:numFmt w:val="bullet"/>
      <w:lvlText w:val="o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A90F1F6">
      <w:start w:val="1"/>
      <w:numFmt w:val="bullet"/>
      <w:lvlText w:val="▪"/>
      <w:lvlJc w:val="left"/>
      <w:pPr>
        <w:ind w:left="75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A7E4743"/>
    <w:multiLevelType w:val="hybridMultilevel"/>
    <w:tmpl w:val="3EA49C3A"/>
    <w:lvl w:ilvl="0" w:tplc="FF3087A6">
      <w:start w:val="155"/>
      <w:numFmt w:val="decimal"/>
      <w:lvlText w:val="%1."/>
      <w:lvlJc w:val="left"/>
      <w:pPr>
        <w:ind w:left="1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C88845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73E4EF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B12805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CD2257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470461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B5A6DA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08638C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A9CD83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C3874C3"/>
    <w:multiLevelType w:val="hybridMultilevel"/>
    <w:tmpl w:val="5B0E818E"/>
    <w:lvl w:ilvl="0" w:tplc="B4E2EB80">
      <w:start w:val="1"/>
      <w:numFmt w:val="bullet"/>
      <w:lvlText w:val="•"/>
      <w:lvlJc w:val="left"/>
      <w:pPr>
        <w:ind w:left="182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8D6EB88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98A35EC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8DC2926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2500EDC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9A6402C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330D52C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986769A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5BAD59E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0D367557"/>
    <w:multiLevelType w:val="hybridMultilevel"/>
    <w:tmpl w:val="A7D416AC"/>
    <w:lvl w:ilvl="0" w:tplc="44FE229C">
      <w:start w:val="1"/>
      <w:numFmt w:val="decimal"/>
      <w:lvlText w:val="%1."/>
      <w:lvlJc w:val="left"/>
      <w:pPr>
        <w:ind w:left="22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9E8EFF4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C4AB728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2DA2326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C1CADF2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E485AB0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53E209E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E20F48E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1DE70CE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0DF8267F"/>
    <w:multiLevelType w:val="hybridMultilevel"/>
    <w:tmpl w:val="31EA4746"/>
    <w:lvl w:ilvl="0" w:tplc="ACD4CF90">
      <w:start w:val="1"/>
      <w:numFmt w:val="bullet"/>
      <w:lvlText w:val="•"/>
      <w:lvlJc w:val="left"/>
      <w:pPr>
        <w:ind w:left="220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A126FA0">
      <w:start w:val="1"/>
      <w:numFmt w:val="bullet"/>
      <w:lvlText w:val="o"/>
      <w:lvlJc w:val="left"/>
      <w:pPr>
        <w:ind w:left="17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4F4967E">
      <w:start w:val="1"/>
      <w:numFmt w:val="bullet"/>
      <w:lvlText w:val="▪"/>
      <w:lvlJc w:val="left"/>
      <w:pPr>
        <w:ind w:left="25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AAECA28">
      <w:start w:val="1"/>
      <w:numFmt w:val="bullet"/>
      <w:lvlText w:val="•"/>
      <w:lvlJc w:val="left"/>
      <w:pPr>
        <w:ind w:left="3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99614E0">
      <w:start w:val="1"/>
      <w:numFmt w:val="bullet"/>
      <w:lvlText w:val="o"/>
      <w:lvlJc w:val="left"/>
      <w:pPr>
        <w:ind w:left="39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A96D90E">
      <w:start w:val="1"/>
      <w:numFmt w:val="bullet"/>
      <w:lvlText w:val="▪"/>
      <w:lvlJc w:val="left"/>
      <w:pPr>
        <w:ind w:left="46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904053A">
      <w:start w:val="1"/>
      <w:numFmt w:val="bullet"/>
      <w:lvlText w:val="•"/>
      <w:lvlJc w:val="left"/>
      <w:pPr>
        <w:ind w:left="5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5A09FC8">
      <w:start w:val="1"/>
      <w:numFmt w:val="bullet"/>
      <w:lvlText w:val="o"/>
      <w:lvlJc w:val="left"/>
      <w:pPr>
        <w:ind w:left="61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3F80742">
      <w:start w:val="1"/>
      <w:numFmt w:val="bullet"/>
      <w:lvlText w:val="▪"/>
      <w:lvlJc w:val="left"/>
      <w:pPr>
        <w:ind w:left="68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0E157491"/>
    <w:multiLevelType w:val="hybridMultilevel"/>
    <w:tmpl w:val="83FCFBC4"/>
    <w:lvl w:ilvl="0" w:tplc="14185B66">
      <w:start w:val="1"/>
      <w:numFmt w:val="bullet"/>
      <w:lvlText w:val="•"/>
      <w:lvlJc w:val="left"/>
      <w:pPr>
        <w:ind w:left="254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F30CEDE">
      <w:start w:val="1"/>
      <w:numFmt w:val="bullet"/>
      <w:lvlText w:val="o"/>
      <w:lvlJc w:val="left"/>
      <w:pPr>
        <w:ind w:left="22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07ADD84">
      <w:start w:val="1"/>
      <w:numFmt w:val="bullet"/>
      <w:lvlText w:val="▪"/>
      <w:lvlJc w:val="left"/>
      <w:pPr>
        <w:ind w:left="293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67E77A2">
      <w:start w:val="1"/>
      <w:numFmt w:val="bullet"/>
      <w:lvlText w:val="•"/>
      <w:lvlJc w:val="left"/>
      <w:pPr>
        <w:ind w:left="365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764A9A6">
      <w:start w:val="1"/>
      <w:numFmt w:val="bullet"/>
      <w:lvlText w:val="o"/>
      <w:lvlJc w:val="left"/>
      <w:pPr>
        <w:ind w:left="437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23238A8">
      <w:start w:val="1"/>
      <w:numFmt w:val="bullet"/>
      <w:lvlText w:val="▪"/>
      <w:lvlJc w:val="left"/>
      <w:pPr>
        <w:ind w:left="509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B9E0E76">
      <w:start w:val="1"/>
      <w:numFmt w:val="bullet"/>
      <w:lvlText w:val="•"/>
      <w:lvlJc w:val="left"/>
      <w:pPr>
        <w:ind w:left="58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18E656E">
      <w:start w:val="1"/>
      <w:numFmt w:val="bullet"/>
      <w:lvlText w:val="o"/>
      <w:lvlJc w:val="left"/>
      <w:pPr>
        <w:ind w:left="653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17CBA2C">
      <w:start w:val="1"/>
      <w:numFmt w:val="bullet"/>
      <w:lvlText w:val="▪"/>
      <w:lvlJc w:val="left"/>
      <w:pPr>
        <w:ind w:left="725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0F9B5726"/>
    <w:multiLevelType w:val="hybridMultilevel"/>
    <w:tmpl w:val="38AA3876"/>
    <w:lvl w:ilvl="0" w:tplc="93269C2E">
      <w:start w:val="1"/>
      <w:numFmt w:val="bullet"/>
      <w:lvlText w:val="•"/>
      <w:lvlJc w:val="left"/>
      <w:pPr>
        <w:ind w:left="9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3D0BF4E">
      <w:start w:val="1"/>
      <w:numFmt w:val="bullet"/>
      <w:lvlText w:val="o"/>
      <w:lvlJc w:val="left"/>
      <w:pPr>
        <w:ind w:left="137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26EADD0">
      <w:start w:val="1"/>
      <w:numFmt w:val="bullet"/>
      <w:lvlText w:val="▪"/>
      <w:lvlJc w:val="left"/>
      <w:pPr>
        <w:ind w:left="209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460A136">
      <w:start w:val="1"/>
      <w:numFmt w:val="bullet"/>
      <w:lvlText w:val="•"/>
      <w:lvlJc w:val="left"/>
      <w:pPr>
        <w:ind w:left="281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89687D8">
      <w:start w:val="1"/>
      <w:numFmt w:val="bullet"/>
      <w:lvlText w:val="o"/>
      <w:lvlJc w:val="left"/>
      <w:pPr>
        <w:ind w:left="353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25CBC14">
      <w:start w:val="1"/>
      <w:numFmt w:val="bullet"/>
      <w:lvlText w:val="▪"/>
      <w:lvlJc w:val="left"/>
      <w:pPr>
        <w:ind w:left="425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1F8F14A">
      <w:start w:val="1"/>
      <w:numFmt w:val="bullet"/>
      <w:lvlText w:val="•"/>
      <w:lvlJc w:val="left"/>
      <w:pPr>
        <w:ind w:left="497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686B032">
      <w:start w:val="1"/>
      <w:numFmt w:val="bullet"/>
      <w:lvlText w:val="o"/>
      <w:lvlJc w:val="left"/>
      <w:pPr>
        <w:ind w:left="569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84212AA">
      <w:start w:val="1"/>
      <w:numFmt w:val="bullet"/>
      <w:lvlText w:val="▪"/>
      <w:lvlJc w:val="left"/>
      <w:pPr>
        <w:ind w:left="641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131C54A7"/>
    <w:multiLevelType w:val="hybridMultilevel"/>
    <w:tmpl w:val="C540A41E"/>
    <w:lvl w:ilvl="0" w:tplc="A502DF98">
      <w:start w:val="1"/>
      <w:numFmt w:val="bullet"/>
      <w:lvlText w:val="•"/>
      <w:lvlJc w:val="left"/>
      <w:pPr>
        <w:ind w:left="11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7DA33FE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B62F890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4365B5A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EF85CB2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F663E3C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2B65742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29615C4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3368060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147C03A5"/>
    <w:multiLevelType w:val="hybridMultilevel"/>
    <w:tmpl w:val="DE3AD124"/>
    <w:lvl w:ilvl="0" w:tplc="D5EEA79A">
      <w:start w:val="33"/>
      <w:numFmt w:val="decimal"/>
      <w:lvlText w:val="%1."/>
      <w:lvlJc w:val="left"/>
      <w:pPr>
        <w:ind w:left="18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BACB16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8E024C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98CC0D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BD0DBE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C0A37C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04CC17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1743C2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E784AD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155A4153"/>
    <w:multiLevelType w:val="hybridMultilevel"/>
    <w:tmpl w:val="C0946B1E"/>
    <w:lvl w:ilvl="0" w:tplc="B4281A10">
      <w:start w:val="212"/>
      <w:numFmt w:val="decimal"/>
      <w:lvlText w:val="%1."/>
      <w:lvlJc w:val="left"/>
      <w:pPr>
        <w:ind w:left="1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49E051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1846D6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E1E77F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BBAC05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3EA825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1480FE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328341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93EC25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17E55E2A"/>
    <w:multiLevelType w:val="hybridMultilevel"/>
    <w:tmpl w:val="8FFC4F62"/>
    <w:lvl w:ilvl="0" w:tplc="E80C9346">
      <w:start w:val="1"/>
      <w:numFmt w:val="bullet"/>
      <w:lvlText w:val="➢"/>
      <w:lvlJc w:val="left"/>
      <w:pPr>
        <w:ind w:left="297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BBCFFBE">
      <w:start w:val="1"/>
      <w:numFmt w:val="bullet"/>
      <w:lvlText w:val="o"/>
      <w:lvlJc w:val="left"/>
      <w:pPr>
        <w:ind w:left="249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262B4A8">
      <w:start w:val="1"/>
      <w:numFmt w:val="bullet"/>
      <w:lvlText w:val="▪"/>
      <w:lvlJc w:val="left"/>
      <w:pPr>
        <w:ind w:left="321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3BE7C78">
      <w:start w:val="1"/>
      <w:numFmt w:val="bullet"/>
      <w:lvlText w:val="•"/>
      <w:lvlJc w:val="left"/>
      <w:pPr>
        <w:ind w:left="39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6DEC930">
      <w:start w:val="1"/>
      <w:numFmt w:val="bullet"/>
      <w:lvlText w:val="o"/>
      <w:lvlJc w:val="left"/>
      <w:pPr>
        <w:ind w:left="46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FB87866">
      <w:start w:val="1"/>
      <w:numFmt w:val="bullet"/>
      <w:lvlText w:val="▪"/>
      <w:lvlJc w:val="left"/>
      <w:pPr>
        <w:ind w:left="537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180960C">
      <w:start w:val="1"/>
      <w:numFmt w:val="bullet"/>
      <w:lvlText w:val="•"/>
      <w:lvlJc w:val="left"/>
      <w:pPr>
        <w:ind w:left="609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DCC82CC">
      <w:start w:val="1"/>
      <w:numFmt w:val="bullet"/>
      <w:lvlText w:val="o"/>
      <w:lvlJc w:val="left"/>
      <w:pPr>
        <w:ind w:left="681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61631B4">
      <w:start w:val="1"/>
      <w:numFmt w:val="bullet"/>
      <w:lvlText w:val="▪"/>
      <w:lvlJc w:val="left"/>
      <w:pPr>
        <w:ind w:left="75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1A710661"/>
    <w:multiLevelType w:val="hybridMultilevel"/>
    <w:tmpl w:val="E168F456"/>
    <w:lvl w:ilvl="0" w:tplc="2E32A2A4">
      <w:start w:val="181"/>
      <w:numFmt w:val="decimal"/>
      <w:lvlText w:val="%1."/>
      <w:lvlJc w:val="left"/>
      <w:pPr>
        <w:ind w:left="18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45070C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7F21CE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66ECEB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4A4EBC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E26012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D5A083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AE8C2C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E5C618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1A8477E2"/>
    <w:multiLevelType w:val="hybridMultilevel"/>
    <w:tmpl w:val="CFD47100"/>
    <w:lvl w:ilvl="0" w:tplc="6ED2E828">
      <w:start w:val="1"/>
      <w:numFmt w:val="decimal"/>
      <w:lvlText w:val="%1."/>
      <w:lvlJc w:val="left"/>
      <w:pPr>
        <w:ind w:left="1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30A8FB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EF4E0B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E1EE7B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09695F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CA2DEC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14CCCB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DB61D2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9D0DAE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1B18172F"/>
    <w:multiLevelType w:val="hybridMultilevel"/>
    <w:tmpl w:val="12B05EAE"/>
    <w:lvl w:ilvl="0" w:tplc="92902DBE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7C40CAE">
      <w:start w:val="1"/>
      <w:numFmt w:val="bullet"/>
      <w:lvlRestart w:val="0"/>
      <w:lvlText w:val="-"/>
      <w:lvlJc w:val="left"/>
      <w:pPr>
        <w:ind w:left="29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7903552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788378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75A586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B4651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C06ADF2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E8C3076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40EBBE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1D7E1ADC"/>
    <w:multiLevelType w:val="hybridMultilevel"/>
    <w:tmpl w:val="21564484"/>
    <w:lvl w:ilvl="0" w:tplc="DDB64B58">
      <w:start w:val="1"/>
      <w:numFmt w:val="bullet"/>
      <w:lvlText w:val="➢"/>
      <w:lvlJc w:val="left"/>
      <w:pPr>
        <w:ind w:left="255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A203864">
      <w:start w:val="1"/>
      <w:numFmt w:val="bullet"/>
      <w:lvlText w:val="o"/>
      <w:lvlJc w:val="left"/>
      <w:pPr>
        <w:ind w:left="221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BFA1B40">
      <w:start w:val="1"/>
      <w:numFmt w:val="bullet"/>
      <w:lvlText w:val="▪"/>
      <w:lvlJc w:val="left"/>
      <w:pPr>
        <w:ind w:left="293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1BA3FAA">
      <w:start w:val="1"/>
      <w:numFmt w:val="bullet"/>
      <w:lvlText w:val="•"/>
      <w:lvlJc w:val="left"/>
      <w:pPr>
        <w:ind w:left="365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EC88C24">
      <w:start w:val="1"/>
      <w:numFmt w:val="bullet"/>
      <w:lvlText w:val="o"/>
      <w:lvlJc w:val="left"/>
      <w:pPr>
        <w:ind w:left="437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BAC0E66">
      <w:start w:val="1"/>
      <w:numFmt w:val="bullet"/>
      <w:lvlText w:val="▪"/>
      <w:lvlJc w:val="left"/>
      <w:pPr>
        <w:ind w:left="509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72C3226">
      <w:start w:val="1"/>
      <w:numFmt w:val="bullet"/>
      <w:lvlText w:val="•"/>
      <w:lvlJc w:val="left"/>
      <w:pPr>
        <w:ind w:left="581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FF4B9C0">
      <w:start w:val="1"/>
      <w:numFmt w:val="bullet"/>
      <w:lvlText w:val="o"/>
      <w:lvlJc w:val="left"/>
      <w:pPr>
        <w:ind w:left="653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5F8C4F8">
      <w:start w:val="1"/>
      <w:numFmt w:val="bullet"/>
      <w:lvlText w:val="▪"/>
      <w:lvlJc w:val="left"/>
      <w:pPr>
        <w:ind w:left="725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1D881293"/>
    <w:multiLevelType w:val="hybridMultilevel"/>
    <w:tmpl w:val="9508D62E"/>
    <w:lvl w:ilvl="0" w:tplc="4364E092">
      <w:start w:val="1"/>
      <w:numFmt w:val="bullet"/>
      <w:lvlText w:val="•"/>
      <w:lvlJc w:val="left"/>
      <w:pPr>
        <w:ind w:left="2213"/>
      </w:pPr>
      <w:rPr>
        <w:rFonts w:ascii="Arial" w:eastAsia="Arial" w:hAnsi="Arial" w:cs="Arial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D6C24EC">
      <w:start w:val="1"/>
      <w:numFmt w:val="bullet"/>
      <w:lvlText w:val="o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200BE50">
      <w:start w:val="1"/>
      <w:numFmt w:val="bullet"/>
      <w:lvlText w:val="▪"/>
      <w:lvlJc w:val="left"/>
      <w:pPr>
        <w:ind w:left="25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70401B4">
      <w:start w:val="1"/>
      <w:numFmt w:val="bullet"/>
      <w:lvlText w:val="•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E12EFC0">
      <w:start w:val="1"/>
      <w:numFmt w:val="bullet"/>
      <w:lvlText w:val="o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1F091B0">
      <w:start w:val="1"/>
      <w:numFmt w:val="bullet"/>
      <w:lvlText w:val="▪"/>
      <w:lvlJc w:val="left"/>
      <w:pPr>
        <w:ind w:left="46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90C720E">
      <w:start w:val="1"/>
      <w:numFmt w:val="bullet"/>
      <w:lvlText w:val="•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386E510">
      <w:start w:val="1"/>
      <w:numFmt w:val="bullet"/>
      <w:lvlText w:val="o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1DC7ECE">
      <w:start w:val="1"/>
      <w:numFmt w:val="bullet"/>
      <w:lvlText w:val="▪"/>
      <w:lvlJc w:val="left"/>
      <w:pPr>
        <w:ind w:left="68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1F71577A"/>
    <w:multiLevelType w:val="hybridMultilevel"/>
    <w:tmpl w:val="56185854"/>
    <w:lvl w:ilvl="0" w:tplc="E794BE9C">
      <w:start w:val="1"/>
      <w:numFmt w:val="decimal"/>
      <w:lvlText w:val="%1"/>
      <w:lvlJc w:val="left"/>
      <w:pPr>
        <w:ind w:left="1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superscript"/>
      </w:rPr>
    </w:lvl>
    <w:lvl w:ilvl="1" w:tplc="D7D8228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superscript"/>
      </w:rPr>
    </w:lvl>
    <w:lvl w:ilvl="2" w:tplc="2D0C9ED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superscript"/>
      </w:rPr>
    </w:lvl>
    <w:lvl w:ilvl="3" w:tplc="0412889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superscript"/>
      </w:rPr>
    </w:lvl>
    <w:lvl w:ilvl="4" w:tplc="BCDCDE8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superscript"/>
      </w:rPr>
    </w:lvl>
    <w:lvl w:ilvl="5" w:tplc="50AAE66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superscript"/>
      </w:rPr>
    </w:lvl>
    <w:lvl w:ilvl="6" w:tplc="9894E0F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superscript"/>
      </w:rPr>
    </w:lvl>
    <w:lvl w:ilvl="7" w:tplc="D8FCB59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superscript"/>
      </w:rPr>
    </w:lvl>
    <w:lvl w:ilvl="8" w:tplc="2810718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superscript"/>
      </w:rPr>
    </w:lvl>
  </w:abstractNum>
  <w:abstractNum w:abstractNumId="19" w15:restartNumberingAfterBreak="0">
    <w:nsid w:val="21F439CB"/>
    <w:multiLevelType w:val="hybridMultilevel"/>
    <w:tmpl w:val="AFD4C312"/>
    <w:lvl w:ilvl="0" w:tplc="12ACA902">
      <w:start w:val="1"/>
      <w:numFmt w:val="bullet"/>
      <w:lvlText w:val="-"/>
      <w:lvlJc w:val="left"/>
      <w:pPr>
        <w:ind w:left="2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B1604A0">
      <w:start w:val="1"/>
      <w:numFmt w:val="bullet"/>
      <w:lvlText w:val="o"/>
      <w:lvlJc w:val="left"/>
      <w:pPr>
        <w:ind w:left="17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D262E22">
      <w:start w:val="1"/>
      <w:numFmt w:val="bullet"/>
      <w:lvlText w:val="▪"/>
      <w:lvlJc w:val="left"/>
      <w:pPr>
        <w:ind w:left="24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9B2ED42">
      <w:start w:val="1"/>
      <w:numFmt w:val="bullet"/>
      <w:lvlText w:val="•"/>
      <w:lvlJc w:val="left"/>
      <w:pPr>
        <w:ind w:left="31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236CC10">
      <w:start w:val="1"/>
      <w:numFmt w:val="bullet"/>
      <w:lvlText w:val="o"/>
      <w:lvlJc w:val="left"/>
      <w:pPr>
        <w:ind w:left="38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570D978">
      <w:start w:val="1"/>
      <w:numFmt w:val="bullet"/>
      <w:lvlText w:val="▪"/>
      <w:lvlJc w:val="left"/>
      <w:pPr>
        <w:ind w:left="46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A7234BC">
      <w:start w:val="1"/>
      <w:numFmt w:val="bullet"/>
      <w:lvlText w:val="•"/>
      <w:lvlJc w:val="left"/>
      <w:pPr>
        <w:ind w:left="53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5B8A4C2">
      <w:start w:val="1"/>
      <w:numFmt w:val="bullet"/>
      <w:lvlText w:val="o"/>
      <w:lvlJc w:val="left"/>
      <w:pPr>
        <w:ind w:left="60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D323C02">
      <w:start w:val="1"/>
      <w:numFmt w:val="bullet"/>
      <w:lvlText w:val="▪"/>
      <w:lvlJc w:val="left"/>
      <w:pPr>
        <w:ind w:left="67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21F86CF8"/>
    <w:multiLevelType w:val="hybridMultilevel"/>
    <w:tmpl w:val="5818F488"/>
    <w:lvl w:ilvl="0" w:tplc="B68492BC">
      <w:start w:val="1"/>
      <w:numFmt w:val="bullet"/>
      <w:lvlText w:val="•"/>
      <w:lvlJc w:val="left"/>
      <w:pPr>
        <w:ind w:left="225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E0297E6">
      <w:start w:val="1"/>
      <w:numFmt w:val="bullet"/>
      <w:lvlText w:val="o"/>
      <w:lvlJc w:val="left"/>
      <w:pPr>
        <w:ind w:left="131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7484CFE">
      <w:start w:val="1"/>
      <w:numFmt w:val="bullet"/>
      <w:lvlText w:val="▪"/>
      <w:lvlJc w:val="left"/>
      <w:pPr>
        <w:ind w:left="203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B566450">
      <w:start w:val="1"/>
      <w:numFmt w:val="bullet"/>
      <w:lvlText w:val="•"/>
      <w:lvlJc w:val="left"/>
      <w:pPr>
        <w:ind w:left="27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E52F19C">
      <w:start w:val="1"/>
      <w:numFmt w:val="bullet"/>
      <w:lvlText w:val="o"/>
      <w:lvlJc w:val="left"/>
      <w:pPr>
        <w:ind w:left="347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9DE9A80">
      <w:start w:val="1"/>
      <w:numFmt w:val="bullet"/>
      <w:lvlText w:val="▪"/>
      <w:lvlJc w:val="left"/>
      <w:pPr>
        <w:ind w:left="419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146B752">
      <w:start w:val="1"/>
      <w:numFmt w:val="bullet"/>
      <w:lvlText w:val="•"/>
      <w:lvlJc w:val="left"/>
      <w:pPr>
        <w:ind w:left="4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C42D8A2">
      <w:start w:val="1"/>
      <w:numFmt w:val="bullet"/>
      <w:lvlText w:val="o"/>
      <w:lvlJc w:val="left"/>
      <w:pPr>
        <w:ind w:left="563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F5031FE">
      <w:start w:val="1"/>
      <w:numFmt w:val="bullet"/>
      <w:lvlText w:val="▪"/>
      <w:lvlJc w:val="left"/>
      <w:pPr>
        <w:ind w:left="63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24A15DB6"/>
    <w:multiLevelType w:val="hybridMultilevel"/>
    <w:tmpl w:val="B3287A72"/>
    <w:lvl w:ilvl="0" w:tplc="D0E213D2">
      <w:start w:val="1"/>
      <w:numFmt w:val="bullet"/>
      <w:lvlText w:val="•"/>
      <w:lvlJc w:val="left"/>
      <w:pPr>
        <w:ind w:left="182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CFE3844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37E46DE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2000320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A0E673C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5C63EC0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86AA598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36EE0C8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6D657C2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29C77746"/>
    <w:multiLevelType w:val="hybridMultilevel"/>
    <w:tmpl w:val="0062F278"/>
    <w:lvl w:ilvl="0" w:tplc="A85A018E">
      <w:start w:val="1"/>
      <w:numFmt w:val="decimal"/>
      <w:lvlText w:val="%1."/>
      <w:lvlJc w:val="left"/>
      <w:pPr>
        <w:ind w:left="22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B38CDB8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2BE92A8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F462D78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8FE2208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B947A9E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9D872D0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AC8ED9E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ACCDBFE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2A761E61"/>
    <w:multiLevelType w:val="hybridMultilevel"/>
    <w:tmpl w:val="5FEC6C4C"/>
    <w:lvl w:ilvl="0" w:tplc="2786CAE6">
      <w:start w:val="128"/>
      <w:numFmt w:val="decimal"/>
      <w:lvlText w:val="%1."/>
      <w:lvlJc w:val="left"/>
      <w:pPr>
        <w:ind w:left="1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21475D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896CA1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25297E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51250B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1E676A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5F05B8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6F2D74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3E6268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2D275BCE"/>
    <w:multiLevelType w:val="hybridMultilevel"/>
    <w:tmpl w:val="7D9676E4"/>
    <w:lvl w:ilvl="0" w:tplc="976EEFB4">
      <w:start w:val="1"/>
      <w:numFmt w:val="bullet"/>
      <w:lvlText w:val="-"/>
      <w:lvlJc w:val="left"/>
      <w:pPr>
        <w:ind w:left="2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1427048">
      <w:start w:val="1"/>
      <w:numFmt w:val="bullet"/>
      <w:lvlText w:val="o"/>
      <w:lvlJc w:val="left"/>
      <w:pPr>
        <w:ind w:left="17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460FBFC">
      <w:start w:val="1"/>
      <w:numFmt w:val="bullet"/>
      <w:lvlText w:val="▪"/>
      <w:lvlJc w:val="left"/>
      <w:pPr>
        <w:ind w:left="24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ADC44B8">
      <w:start w:val="1"/>
      <w:numFmt w:val="bullet"/>
      <w:lvlText w:val="•"/>
      <w:lvlJc w:val="left"/>
      <w:pPr>
        <w:ind w:left="31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02000B8">
      <w:start w:val="1"/>
      <w:numFmt w:val="bullet"/>
      <w:lvlText w:val="o"/>
      <w:lvlJc w:val="left"/>
      <w:pPr>
        <w:ind w:left="38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17E7FA8">
      <w:start w:val="1"/>
      <w:numFmt w:val="bullet"/>
      <w:lvlText w:val="▪"/>
      <w:lvlJc w:val="left"/>
      <w:pPr>
        <w:ind w:left="46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EFE872A">
      <w:start w:val="1"/>
      <w:numFmt w:val="bullet"/>
      <w:lvlText w:val="•"/>
      <w:lvlJc w:val="left"/>
      <w:pPr>
        <w:ind w:left="53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FA8E1A0">
      <w:start w:val="1"/>
      <w:numFmt w:val="bullet"/>
      <w:lvlText w:val="o"/>
      <w:lvlJc w:val="left"/>
      <w:pPr>
        <w:ind w:left="60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8887756">
      <w:start w:val="1"/>
      <w:numFmt w:val="bullet"/>
      <w:lvlText w:val="▪"/>
      <w:lvlJc w:val="left"/>
      <w:pPr>
        <w:ind w:left="67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2E535CC0"/>
    <w:multiLevelType w:val="hybridMultilevel"/>
    <w:tmpl w:val="083E9ADE"/>
    <w:lvl w:ilvl="0" w:tplc="AB08EE7C">
      <w:start w:val="164"/>
      <w:numFmt w:val="decimal"/>
      <w:lvlText w:val="%1."/>
      <w:lvlJc w:val="left"/>
      <w:pPr>
        <w:ind w:left="1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4B66F8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17AD30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5F6901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312D5D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1EA409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F60ED6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4D24BB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C5C53D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2FA45F45"/>
    <w:multiLevelType w:val="hybridMultilevel"/>
    <w:tmpl w:val="432A0910"/>
    <w:lvl w:ilvl="0" w:tplc="083C4224">
      <w:start w:val="2"/>
      <w:numFmt w:val="decimal"/>
      <w:lvlText w:val="%1."/>
      <w:lvlJc w:val="left"/>
      <w:pPr>
        <w:ind w:left="1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0C2694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2485E7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DCAF5A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278190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EFE25F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8CE987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4E2F6F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42E0BE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2FFB5E10"/>
    <w:multiLevelType w:val="hybridMultilevel"/>
    <w:tmpl w:val="92DCABE0"/>
    <w:lvl w:ilvl="0" w:tplc="36F6D92E">
      <w:start w:val="201"/>
      <w:numFmt w:val="decimal"/>
      <w:lvlText w:val="%1."/>
      <w:lvlJc w:val="left"/>
      <w:pPr>
        <w:ind w:left="1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DAE1F7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2D693A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63C7A2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1CCE9C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43A099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48E9DD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DFA4DB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ADE8FC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30CA61D0"/>
    <w:multiLevelType w:val="hybridMultilevel"/>
    <w:tmpl w:val="897CE4DE"/>
    <w:lvl w:ilvl="0" w:tplc="D02CB504">
      <w:start w:val="191"/>
      <w:numFmt w:val="decimal"/>
      <w:lvlText w:val="%1."/>
      <w:lvlJc w:val="left"/>
      <w:pPr>
        <w:ind w:left="1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2929A1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DEE775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BA284A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A92DB3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42A553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E58B2C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77694E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770386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337546DF"/>
    <w:multiLevelType w:val="hybridMultilevel"/>
    <w:tmpl w:val="2CDA2FE6"/>
    <w:lvl w:ilvl="0" w:tplc="EAC2A7F4">
      <w:start w:val="1"/>
      <w:numFmt w:val="bullet"/>
      <w:lvlText w:val="•"/>
      <w:lvlJc w:val="left"/>
      <w:pPr>
        <w:ind w:left="220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18466C4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194DBCC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D94A8B6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586CD6A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B6075B8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7E6DD74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F24B1C2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F9C1A60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37FB4FC5"/>
    <w:multiLevelType w:val="hybridMultilevel"/>
    <w:tmpl w:val="042ED206"/>
    <w:lvl w:ilvl="0" w:tplc="CABE66AC">
      <w:start w:val="1"/>
      <w:numFmt w:val="bullet"/>
      <w:lvlText w:val="•"/>
      <w:lvlJc w:val="left"/>
      <w:pPr>
        <w:ind w:left="220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0943DA8">
      <w:start w:val="1"/>
      <w:numFmt w:val="bullet"/>
      <w:lvlText w:val="o"/>
      <w:lvlJc w:val="left"/>
      <w:pPr>
        <w:ind w:left="17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9CC406A">
      <w:start w:val="1"/>
      <w:numFmt w:val="bullet"/>
      <w:lvlText w:val="▪"/>
      <w:lvlJc w:val="left"/>
      <w:pPr>
        <w:ind w:left="25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E388F9C">
      <w:start w:val="1"/>
      <w:numFmt w:val="bullet"/>
      <w:lvlText w:val="•"/>
      <w:lvlJc w:val="left"/>
      <w:pPr>
        <w:ind w:left="3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EF4B886">
      <w:start w:val="1"/>
      <w:numFmt w:val="bullet"/>
      <w:lvlText w:val="o"/>
      <w:lvlJc w:val="left"/>
      <w:pPr>
        <w:ind w:left="39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FE831E0">
      <w:start w:val="1"/>
      <w:numFmt w:val="bullet"/>
      <w:lvlText w:val="▪"/>
      <w:lvlJc w:val="left"/>
      <w:pPr>
        <w:ind w:left="46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718A17E">
      <w:start w:val="1"/>
      <w:numFmt w:val="bullet"/>
      <w:lvlText w:val="•"/>
      <w:lvlJc w:val="left"/>
      <w:pPr>
        <w:ind w:left="5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85CFC44">
      <w:start w:val="1"/>
      <w:numFmt w:val="bullet"/>
      <w:lvlText w:val="o"/>
      <w:lvlJc w:val="left"/>
      <w:pPr>
        <w:ind w:left="61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AF672A4">
      <w:start w:val="1"/>
      <w:numFmt w:val="bullet"/>
      <w:lvlText w:val="▪"/>
      <w:lvlJc w:val="left"/>
      <w:pPr>
        <w:ind w:left="68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386779D8"/>
    <w:multiLevelType w:val="hybridMultilevel"/>
    <w:tmpl w:val="2BC6A64A"/>
    <w:lvl w:ilvl="0" w:tplc="D9D8D70C">
      <w:start w:val="1"/>
      <w:numFmt w:val="decimal"/>
      <w:lvlText w:val="%1."/>
      <w:lvlJc w:val="left"/>
      <w:pPr>
        <w:ind w:left="18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3CAB83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9CED18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33CCDC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55E8BC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770245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25E82A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8283BD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04ED0E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3EE218CA"/>
    <w:multiLevelType w:val="hybridMultilevel"/>
    <w:tmpl w:val="813AF208"/>
    <w:lvl w:ilvl="0" w:tplc="A8CC370A">
      <w:start w:val="160"/>
      <w:numFmt w:val="decimal"/>
      <w:lvlText w:val="%1."/>
      <w:lvlJc w:val="left"/>
      <w:pPr>
        <w:ind w:left="1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EFCA38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84A1B4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38AFA7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4F27E7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ACAC00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F206EB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5ECC37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468F26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3F902E27"/>
    <w:multiLevelType w:val="hybridMultilevel"/>
    <w:tmpl w:val="89F625CE"/>
    <w:lvl w:ilvl="0" w:tplc="BD829C4E">
      <w:start w:val="1"/>
      <w:numFmt w:val="bullet"/>
      <w:lvlText w:val="•"/>
      <w:lvlJc w:val="left"/>
      <w:pPr>
        <w:ind w:left="11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BD6CA2E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33E7D46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9281086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61490D2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97882F0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74A8F48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1CEE0CA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708829C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40484F03"/>
    <w:multiLevelType w:val="hybridMultilevel"/>
    <w:tmpl w:val="FC06303E"/>
    <w:lvl w:ilvl="0" w:tplc="168C565C">
      <w:start w:val="1"/>
      <w:numFmt w:val="bullet"/>
      <w:lvlText w:val="-"/>
      <w:lvlJc w:val="left"/>
      <w:pPr>
        <w:ind w:left="29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3843D12">
      <w:start w:val="1"/>
      <w:numFmt w:val="bullet"/>
      <w:lvlText w:val="o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CA22852">
      <w:start w:val="1"/>
      <w:numFmt w:val="bullet"/>
      <w:lvlText w:val="▪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68E5FF8">
      <w:start w:val="1"/>
      <w:numFmt w:val="bullet"/>
      <w:lvlText w:val="•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96A6C72">
      <w:start w:val="1"/>
      <w:numFmt w:val="bullet"/>
      <w:lvlText w:val="o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114C54C">
      <w:start w:val="1"/>
      <w:numFmt w:val="bullet"/>
      <w:lvlText w:val="▪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F5E821E">
      <w:start w:val="1"/>
      <w:numFmt w:val="bullet"/>
      <w:lvlText w:val="•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FB6ED1A">
      <w:start w:val="1"/>
      <w:numFmt w:val="bullet"/>
      <w:lvlText w:val="o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140E342">
      <w:start w:val="1"/>
      <w:numFmt w:val="bullet"/>
      <w:lvlText w:val="▪"/>
      <w:lvlJc w:val="left"/>
      <w:pPr>
        <w:ind w:left="75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406765BC"/>
    <w:multiLevelType w:val="hybridMultilevel"/>
    <w:tmpl w:val="604E0BDA"/>
    <w:lvl w:ilvl="0" w:tplc="FBB286FE">
      <w:start w:val="1"/>
      <w:numFmt w:val="bullet"/>
      <w:lvlText w:val="•"/>
      <w:lvlJc w:val="left"/>
      <w:pPr>
        <w:ind w:left="220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D6E7E8E">
      <w:start w:val="1"/>
      <w:numFmt w:val="bullet"/>
      <w:lvlText w:val="o"/>
      <w:lvlJc w:val="left"/>
      <w:pPr>
        <w:ind w:left="17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2BEFA58">
      <w:start w:val="1"/>
      <w:numFmt w:val="bullet"/>
      <w:lvlText w:val="▪"/>
      <w:lvlJc w:val="left"/>
      <w:pPr>
        <w:ind w:left="25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85CEA18">
      <w:start w:val="1"/>
      <w:numFmt w:val="bullet"/>
      <w:lvlText w:val="•"/>
      <w:lvlJc w:val="left"/>
      <w:pPr>
        <w:ind w:left="3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0AC9414">
      <w:start w:val="1"/>
      <w:numFmt w:val="bullet"/>
      <w:lvlText w:val="o"/>
      <w:lvlJc w:val="left"/>
      <w:pPr>
        <w:ind w:left="39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832B1D2">
      <w:start w:val="1"/>
      <w:numFmt w:val="bullet"/>
      <w:lvlText w:val="▪"/>
      <w:lvlJc w:val="left"/>
      <w:pPr>
        <w:ind w:left="46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CFA8890">
      <w:start w:val="1"/>
      <w:numFmt w:val="bullet"/>
      <w:lvlText w:val="•"/>
      <w:lvlJc w:val="left"/>
      <w:pPr>
        <w:ind w:left="5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E2283D0">
      <w:start w:val="1"/>
      <w:numFmt w:val="bullet"/>
      <w:lvlText w:val="o"/>
      <w:lvlJc w:val="left"/>
      <w:pPr>
        <w:ind w:left="61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CA4E21C">
      <w:start w:val="1"/>
      <w:numFmt w:val="bullet"/>
      <w:lvlText w:val="▪"/>
      <w:lvlJc w:val="left"/>
      <w:pPr>
        <w:ind w:left="68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40B22C2B"/>
    <w:multiLevelType w:val="hybridMultilevel"/>
    <w:tmpl w:val="68620732"/>
    <w:lvl w:ilvl="0" w:tplc="5EC89812">
      <w:start w:val="1"/>
      <w:numFmt w:val="bullet"/>
      <w:lvlText w:val="•"/>
      <w:lvlJc w:val="left"/>
      <w:pPr>
        <w:ind w:left="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5047B04">
      <w:start w:val="1"/>
      <w:numFmt w:val="bullet"/>
      <w:lvlText w:val="o"/>
      <w:lvlJc w:val="left"/>
      <w:pPr>
        <w:ind w:left="137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DBC883E">
      <w:start w:val="1"/>
      <w:numFmt w:val="bullet"/>
      <w:lvlText w:val="▪"/>
      <w:lvlJc w:val="left"/>
      <w:pPr>
        <w:ind w:left="209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34E9716">
      <w:start w:val="1"/>
      <w:numFmt w:val="bullet"/>
      <w:lvlText w:val="•"/>
      <w:lvlJc w:val="left"/>
      <w:pPr>
        <w:ind w:left="281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AB4319E">
      <w:start w:val="1"/>
      <w:numFmt w:val="bullet"/>
      <w:lvlText w:val="o"/>
      <w:lvlJc w:val="left"/>
      <w:pPr>
        <w:ind w:left="353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DCE9004">
      <w:start w:val="1"/>
      <w:numFmt w:val="bullet"/>
      <w:lvlText w:val="▪"/>
      <w:lvlJc w:val="left"/>
      <w:pPr>
        <w:ind w:left="425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DC42B0E">
      <w:start w:val="1"/>
      <w:numFmt w:val="bullet"/>
      <w:lvlText w:val="•"/>
      <w:lvlJc w:val="left"/>
      <w:pPr>
        <w:ind w:left="497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0EE76E4">
      <w:start w:val="1"/>
      <w:numFmt w:val="bullet"/>
      <w:lvlText w:val="o"/>
      <w:lvlJc w:val="left"/>
      <w:pPr>
        <w:ind w:left="569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1229D72">
      <w:start w:val="1"/>
      <w:numFmt w:val="bullet"/>
      <w:lvlText w:val="▪"/>
      <w:lvlJc w:val="left"/>
      <w:pPr>
        <w:ind w:left="641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41C67B05"/>
    <w:multiLevelType w:val="multilevel"/>
    <w:tmpl w:val="6304290E"/>
    <w:lvl w:ilvl="0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5"/>
      <w:numFmt w:val="decimal"/>
      <w:lvlText w:val="%1.%2"/>
      <w:lvlJc w:val="left"/>
      <w:pPr>
        <w:ind w:left="17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8" w15:restartNumberingAfterBreak="0">
    <w:nsid w:val="42836CE2"/>
    <w:multiLevelType w:val="hybridMultilevel"/>
    <w:tmpl w:val="B486F39C"/>
    <w:lvl w:ilvl="0" w:tplc="460CBD0C">
      <w:start w:val="1"/>
      <w:numFmt w:val="bullet"/>
      <w:lvlText w:val="•"/>
      <w:lvlJc w:val="left"/>
      <w:pPr>
        <w:ind w:left="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7489532">
      <w:start w:val="1"/>
      <w:numFmt w:val="bullet"/>
      <w:lvlText w:val="o"/>
      <w:lvlJc w:val="left"/>
      <w:pPr>
        <w:ind w:left="137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FECE656">
      <w:start w:val="1"/>
      <w:numFmt w:val="bullet"/>
      <w:lvlText w:val="▪"/>
      <w:lvlJc w:val="left"/>
      <w:pPr>
        <w:ind w:left="209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C8ED7D2">
      <w:start w:val="1"/>
      <w:numFmt w:val="bullet"/>
      <w:lvlText w:val="•"/>
      <w:lvlJc w:val="left"/>
      <w:pPr>
        <w:ind w:left="281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D3CCE1C">
      <w:start w:val="1"/>
      <w:numFmt w:val="bullet"/>
      <w:lvlText w:val="o"/>
      <w:lvlJc w:val="left"/>
      <w:pPr>
        <w:ind w:left="353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8A6AA4A">
      <w:start w:val="1"/>
      <w:numFmt w:val="bullet"/>
      <w:lvlText w:val="▪"/>
      <w:lvlJc w:val="left"/>
      <w:pPr>
        <w:ind w:left="425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A74CF56">
      <w:start w:val="1"/>
      <w:numFmt w:val="bullet"/>
      <w:lvlText w:val="•"/>
      <w:lvlJc w:val="left"/>
      <w:pPr>
        <w:ind w:left="497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6367C86">
      <w:start w:val="1"/>
      <w:numFmt w:val="bullet"/>
      <w:lvlText w:val="o"/>
      <w:lvlJc w:val="left"/>
      <w:pPr>
        <w:ind w:left="569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1CE51BE">
      <w:start w:val="1"/>
      <w:numFmt w:val="bullet"/>
      <w:lvlText w:val="▪"/>
      <w:lvlJc w:val="left"/>
      <w:pPr>
        <w:ind w:left="641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43C51EFB"/>
    <w:multiLevelType w:val="hybridMultilevel"/>
    <w:tmpl w:val="91643D3A"/>
    <w:lvl w:ilvl="0" w:tplc="31724D6A">
      <w:start w:val="111"/>
      <w:numFmt w:val="decimal"/>
      <w:lvlText w:val="%1."/>
      <w:lvlJc w:val="left"/>
      <w:pPr>
        <w:ind w:left="18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426CCB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BB8A97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EA6406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9FE890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F74FD9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59E182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BE8358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D589D0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0" w15:restartNumberingAfterBreak="0">
    <w:nsid w:val="44972283"/>
    <w:multiLevelType w:val="hybridMultilevel"/>
    <w:tmpl w:val="6E3EE0A6"/>
    <w:lvl w:ilvl="0" w:tplc="F8F200C8">
      <w:start w:val="1"/>
      <w:numFmt w:val="bullet"/>
      <w:lvlText w:val="•"/>
      <w:lvlJc w:val="left"/>
      <w:pPr>
        <w:ind w:left="220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8DEE50A">
      <w:start w:val="1"/>
      <w:numFmt w:val="bullet"/>
      <w:lvlText w:val="▪"/>
      <w:lvlJc w:val="left"/>
      <w:pPr>
        <w:ind w:left="256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DF04524">
      <w:start w:val="1"/>
      <w:numFmt w:val="bullet"/>
      <w:lvlText w:val="▪"/>
      <w:lvlJc w:val="left"/>
      <w:pPr>
        <w:ind w:left="214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752BD80">
      <w:start w:val="1"/>
      <w:numFmt w:val="bullet"/>
      <w:lvlText w:val="•"/>
      <w:lvlJc w:val="left"/>
      <w:pPr>
        <w:ind w:left="286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4C65BC6">
      <w:start w:val="1"/>
      <w:numFmt w:val="bullet"/>
      <w:lvlText w:val="o"/>
      <w:lvlJc w:val="left"/>
      <w:pPr>
        <w:ind w:left="35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C50ECC2">
      <w:start w:val="1"/>
      <w:numFmt w:val="bullet"/>
      <w:lvlText w:val="▪"/>
      <w:lvlJc w:val="left"/>
      <w:pPr>
        <w:ind w:left="43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E2AEC92">
      <w:start w:val="1"/>
      <w:numFmt w:val="bullet"/>
      <w:lvlText w:val="•"/>
      <w:lvlJc w:val="left"/>
      <w:pPr>
        <w:ind w:left="50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B6CBC76">
      <w:start w:val="1"/>
      <w:numFmt w:val="bullet"/>
      <w:lvlText w:val="o"/>
      <w:lvlJc w:val="left"/>
      <w:pPr>
        <w:ind w:left="574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288F1A2">
      <w:start w:val="1"/>
      <w:numFmt w:val="bullet"/>
      <w:lvlText w:val="▪"/>
      <w:lvlJc w:val="left"/>
      <w:pPr>
        <w:ind w:left="646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1" w15:restartNumberingAfterBreak="0">
    <w:nsid w:val="45767750"/>
    <w:multiLevelType w:val="hybridMultilevel"/>
    <w:tmpl w:val="0FACB13C"/>
    <w:lvl w:ilvl="0" w:tplc="EA9274F8">
      <w:start w:val="1"/>
      <w:numFmt w:val="decimal"/>
      <w:lvlText w:val="%1."/>
      <w:lvlJc w:val="left"/>
      <w:pPr>
        <w:ind w:left="22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6203ED2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A20C262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A48C940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6CA3BBE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6A69D12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3BE602A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F96D1C4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772AEA4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46684973"/>
    <w:multiLevelType w:val="hybridMultilevel"/>
    <w:tmpl w:val="0FCA3CD6"/>
    <w:lvl w:ilvl="0" w:tplc="3BE63F8A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5E0A3E6">
      <w:start w:val="1"/>
      <w:numFmt w:val="bullet"/>
      <w:lvlText w:val="o"/>
      <w:lvlJc w:val="left"/>
      <w:pPr>
        <w:ind w:left="10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A32C9DC">
      <w:start w:val="1"/>
      <w:numFmt w:val="bullet"/>
      <w:lvlRestart w:val="0"/>
      <w:lvlText w:val="-"/>
      <w:lvlJc w:val="left"/>
      <w:pPr>
        <w:ind w:left="2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17087B0">
      <w:start w:val="1"/>
      <w:numFmt w:val="bullet"/>
      <w:lvlText w:val="•"/>
      <w:lvlJc w:val="left"/>
      <w:pPr>
        <w:ind w:left="24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C02FA1E">
      <w:start w:val="1"/>
      <w:numFmt w:val="bullet"/>
      <w:lvlText w:val="o"/>
      <w:lvlJc w:val="left"/>
      <w:pPr>
        <w:ind w:left="31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D5CACF8">
      <w:start w:val="1"/>
      <w:numFmt w:val="bullet"/>
      <w:lvlText w:val="▪"/>
      <w:lvlJc w:val="left"/>
      <w:pPr>
        <w:ind w:left="38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8925E58">
      <w:start w:val="1"/>
      <w:numFmt w:val="bullet"/>
      <w:lvlText w:val="•"/>
      <w:lvlJc w:val="left"/>
      <w:pPr>
        <w:ind w:left="46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4A46CF6">
      <w:start w:val="1"/>
      <w:numFmt w:val="bullet"/>
      <w:lvlText w:val="o"/>
      <w:lvlJc w:val="left"/>
      <w:pPr>
        <w:ind w:left="53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39216CE">
      <w:start w:val="1"/>
      <w:numFmt w:val="bullet"/>
      <w:lvlText w:val="▪"/>
      <w:lvlJc w:val="left"/>
      <w:pPr>
        <w:ind w:left="60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3" w15:restartNumberingAfterBreak="0">
    <w:nsid w:val="4A195C17"/>
    <w:multiLevelType w:val="hybridMultilevel"/>
    <w:tmpl w:val="2BEC5628"/>
    <w:lvl w:ilvl="0" w:tplc="B9045576">
      <w:start w:val="1"/>
      <w:numFmt w:val="bullet"/>
      <w:lvlText w:val="•"/>
      <w:lvlJc w:val="left"/>
      <w:pPr>
        <w:ind w:left="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0301508">
      <w:start w:val="1"/>
      <w:numFmt w:val="bullet"/>
      <w:lvlText w:val="o"/>
      <w:lvlJc w:val="left"/>
      <w:pPr>
        <w:ind w:left="137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4C88BCE">
      <w:start w:val="1"/>
      <w:numFmt w:val="bullet"/>
      <w:lvlText w:val="▪"/>
      <w:lvlJc w:val="left"/>
      <w:pPr>
        <w:ind w:left="209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5E27E30">
      <w:start w:val="1"/>
      <w:numFmt w:val="bullet"/>
      <w:lvlText w:val="•"/>
      <w:lvlJc w:val="left"/>
      <w:pPr>
        <w:ind w:left="281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97C68FC">
      <w:start w:val="1"/>
      <w:numFmt w:val="bullet"/>
      <w:lvlText w:val="o"/>
      <w:lvlJc w:val="left"/>
      <w:pPr>
        <w:ind w:left="353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E6A6C7C">
      <w:start w:val="1"/>
      <w:numFmt w:val="bullet"/>
      <w:lvlText w:val="▪"/>
      <w:lvlJc w:val="left"/>
      <w:pPr>
        <w:ind w:left="425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AD64470">
      <w:start w:val="1"/>
      <w:numFmt w:val="bullet"/>
      <w:lvlText w:val="•"/>
      <w:lvlJc w:val="left"/>
      <w:pPr>
        <w:ind w:left="497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B90DFE2">
      <w:start w:val="1"/>
      <w:numFmt w:val="bullet"/>
      <w:lvlText w:val="o"/>
      <w:lvlJc w:val="left"/>
      <w:pPr>
        <w:ind w:left="569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D128314">
      <w:start w:val="1"/>
      <w:numFmt w:val="bullet"/>
      <w:lvlText w:val="▪"/>
      <w:lvlJc w:val="left"/>
      <w:pPr>
        <w:ind w:left="641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4" w15:restartNumberingAfterBreak="0">
    <w:nsid w:val="4A5615A4"/>
    <w:multiLevelType w:val="hybridMultilevel"/>
    <w:tmpl w:val="F064B6DC"/>
    <w:lvl w:ilvl="0" w:tplc="AC1410F8">
      <w:start w:val="1"/>
      <w:numFmt w:val="bullet"/>
      <w:lvlText w:val="•"/>
      <w:lvlJc w:val="left"/>
      <w:pPr>
        <w:ind w:left="212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16253E0">
      <w:start w:val="1"/>
      <w:numFmt w:val="bullet"/>
      <w:lvlText w:val="o"/>
      <w:lvlJc w:val="left"/>
      <w:pPr>
        <w:ind w:left="140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90AAE4C">
      <w:start w:val="1"/>
      <w:numFmt w:val="bullet"/>
      <w:lvlText w:val="▪"/>
      <w:lvlJc w:val="left"/>
      <w:pPr>
        <w:ind w:left="212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B48DA5A">
      <w:start w:val="1"/>
      <w:numFmt w:val="bullet"/>
      <w:lvlText w:val="•"/>
      <w:lvlJc w:val="left"/>
      <w:pPr>
        <w:ind w:left="284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2CA4D1A">
      <w:start w:val="1"/>
      <w:numFmt w:val="bullet"/>
      <w:lvlText w:val="o"/>
      <w:lvlJc w:val="left"/>
      <w:pPr>
        <w:ind w:left="356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CF8479A">
      <w:start w:val="1"/>
      <w:numFmt w:val="bullet"/>
      <w:lvlText w:val="▪"/>
      <w:lvlJc w:val="left"/>
      <w:pPr>
        <w:ind w:left="428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3FEE8FA">
      <w:start w:val="1"/>
      <w:numFmt w:val="bullet"/>
      <w:lvlText w:val="•"/>
      <w:lvlJc w:val="left"/>
      <w:pPr>
        <w:ind w:left="50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74AE702">
      <w:start w:val="1"/>
      <w:numFmt w:val="bullet"/>
      <w:lvlText w:val="o"/>
      <w:lvlJc w:val="left"/>
      <w:pPr>
        <w:ind w:left="572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42C6B92">
      <w:start w:val="1"/>
      <w:numFmt w:val="bullet"/>
      <w:lvlText w:val="▪"/>
      <w:lvlJc w:val="left"/>
      <w:pPr>
        <w:ind w:left="644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5" w15:restartNumberingAfterBreak="0">
    <w:nsid w:val="4B890C32"/>
    <w:multiLevelType w:val="hybridMultilevel"/>
    <w:tmpl w:val="12CECD86"/>
    <w:lvl w:ilvl="0" w:tplc="49BAD368">
      <w:start w:val="104"/>
      <w:numFmt w:val="decimal"/>
      <w:lvlText w:val="%1."/>
      <w:lvlJc w:val="left"/>
      <w:pPr>
        <w:ind w:left="1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144040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BA6AAC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C0ED2D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EC8C15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1F23F7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652745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572A1E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5F0A67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6" w15:restartNumberingAfterBreak="0">
    <w:nsid w:val="4CAA6A90"/>
    <w:multiLevelType w:val="hybridMultilevel"/>
    <w:tmpl w:val="CCB4AC62"/>
    <w:lvl w:ilvl="0" w:tplc="C5F26638">
      <w:start w:val="1"/>
      <w:numFmt w:val="bullet"/>
      <w:lvlText w:val="•"/>
      <w:lvlJc w:val="left"/>
      <w:pPr>
        <w:ind w:left="1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A2896E2">
      <w:start w:val="1"/>
      <w:numFmt w:val="bullet"/>
      <w:lvlText w:val="o"/>
      <w:lvlJc w:val="left"/>
      <w:pPr>
        <w:ind w:left="137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696DA9E">
      <w:start w:val="1"/>
      <w:numFmt w:val="bullet"/>
      <w:lvlText w:val="▪"/>
      <w:lvlJc w:val="left"/>
      <w:pPr>
        <w:ind w:left="209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5CEAA2A">
      <w:start w:val="1"/>
      <w:numFmt w:val="bullet"/>
      <w:lvlText w:val="•"/>
      <w:lvlJc w:val="left"/>
      <w:pPr>
        <w:ind w:left="281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19AAC88">
      <w:start w:val="1"/>
      <w:numFmt w:val="bullet"/>
      <w:lvlText w:val="o"/>
      <w:lvlJc w:val="left"/>
      <w:pPr>
        <w:ind w:left="353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BACC130">
      <w:start w:val="1"/>
      <w:numFmt w:val="bullet"/>
      <w:lvlText w:val="▪"/>
      <w:lvlJc w:val="left"/>
      <w:pPr>
        <w:ind w:left="425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BD89724">
      <w:start w:val="1"/>
      <w:numFmt w:val="bullet"/>
      <w:lvlText w:val="•"/>
      <w:lvlJc w:val="left"/>
      <w:pPr>
        <w:ind w:left="497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0D6F98C">
      <w:start w:val="1"/>
      <w:numFmt w:val="bullet"/>
      <w:lvlText w:val="o"/>
      <w:lvlJc w:val="left"/>
      <w:pPr>
        <w:ind w:left="569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806E4A8">
      <w:start w:val="1"/>
      <w:numFmt w:val="bullet"/>
      <w:lvlText w:val="▪"/>
      <w:lvlJc w:val="left"/>
      <w:pPr>
        <w:ind w:left="641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7" w15:restartNumberingAfterBreak="0">
    <w:nsid w:val="4CB741CF"/>
    <w:multiLevelType w:val="hybridMultilevel"/>
    <w:tmpl w:val="E1C62CF2"/>
    <w:lvl w:ilvl="0" w:tplc="B83E9F14">
      <w:start w:val="1"/>
      <w:numFmt w:val="bullet"/>
      <w:lvlText w:val="-"/>
      <w:lvlJc w:val="left"/>
      <w:pPr>
        <w:ind w:left="2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31AE6E0">
      <w:start w:val="1"/>
      <w:numFmt w:val="bullet"/>
      <w:lvlText w:val="o"/>
      <w:lvlJc w:val="left"/>
      <w:pPr>
        <w:ind w:left="17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F043942">
      <w:start w:val="1"/>
      <w:numFmt w:val="bullet"/>
      <w:lvlText w:val="▪"/>
      <w:lvlJc w:val="left"/>
      <w:pPr>
        <w:ind w:left="24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158ED1A">
      <w:start w:val="1"/>
      <w:numFmt w:val="bullet"/>
      <w:lvlText w:val="•"/>
      <w:lvlJc w:val="left"/>
      <w:pPr>
        <w:ind w:left="31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9F6223C">
      <w:start w:val="1"/>
      <w:numFmt w:val="bullet"/>
      <w:lvlText w:val="o"/>
      <w:lvlJc w:val="left"/>
      <w:pPr>
        <w:ind w:left="38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6287068">
      <w:start w:val="1"/>
      <w:numFmt w:val="bullet"/>
      <w:lvlText w:val="▪"/>
      <w:lvlJc w:val="left"/>
      <w:pPr>
        <w:ind w:left="46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63C4112">
      <w:start w:val="1"/>
      <w:numFmt w:val="bullet"/>
      <w:lvlText w:val="•"/>
      <w:lvlJc w:val="left"/>
      <w:pPr>
        <w:ind w:left="53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7DAD79A">
      <w:start w:val="1"/>
      <w:numFmt w:val="bullet"/>
      <w:lvlText w:val="o"/>
      <w:lvlJc w:val="left"/>
      <w:pPr>
        <w:ind w:left="60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7A49356">
      <w:start w:val="1"/>
      <w:numFmt w:val="bullet"/>
      <w:lvlText w:val="▪"/>
      <w:lvlJc w:val="left"/>
      <w:pPr>
        <w:ind w:left="67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8" w15:restartNumberingAfterBreak="0">
    <w:nsid w:val="4D6439B4"/>
    <w:multiLevelType w:val="hybridMultilevel"/>
    <w:tmpl w:val="BEC40A40"/>
    <w:lvl w:ilvl="0" w:tplc="91FA9B14">
      <w:start w:val="125"/>
      <w:numFmt w:val="decimal"/>
      <w:lvlText w:val="%1."/>
      <w:lvlJc w:val="left"/>
      <w:pPr>
        <w:ind w:left="1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A2E75D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D34FC9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BC4717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454242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E9A126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962119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6DAE82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6B6974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9" w15:restartNumberingAfterBreak="0">
    <w:nsid w:val="53BD304B"/>
    <w:multiLevelType w:val="hybridMultilevel"/>
    <w:tmpl w:val="C7B40060"/>
    <w:lvl w:ilvl="0" w:tplc="A6CA2CDC">
      <w:start w:val="1"/>
      <w:numFmt w:val="bullet"/>
      <w:lvlText w:val="•"/>
      <w:lvlJc w:val="left"/>
      <w:pPr>
        <w:ind w:left="147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2645958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F5C4970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ECE6B96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646A830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D00A27E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CEA2850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DBE7388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E4A116C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0" w15:restartNumberingAfterBreak="0">
    <w:nsid w:val="54213A75"/>
    <w:multiLevelType w:val="hybridMultilevel"/>
    <w:tmpl w:val="C0667FA8"/>
    <w:lvl w:ilvl="0" w:tplc="F6F84E96">
      <w:start w:val="23"/>
      <w:numFmt w:val="decimal"/>
      <w:lvlText w:val="%1."/>
      <w:lvlJc w:val="left"/>
      <w:pPr>
        <w:ind w:left="18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1E23AD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E9E129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068CFA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56CCD0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C285BB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F4687B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E1E805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ED428B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1" w15:restartNumberingAfterBreak="0">
    <w:nsid w:val="56431656"/>
    <w:multiLevelType w:val="hybridMultilevel"/>
    <w:tmpl w:val="4FC805D8"/>
    <w:lvl w:ilvl="0" w:tplc="A630F1E6">
      <w:start w:val="1"/>
      <w:numFmt w:val="bullet"/>
      <w:lvlText w:val="➢"/>
      <w:lvlJc w:val="left"/>
      <w:pPr>
        <w:ind w:left="213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49E1212">
      <w:start w:val="1"/>
      <w:numFmt w:val="bullet"/>
      <w:lvlText w:val="o"/>
      <w:lvlJc w:val="left"/>
      <w:pPr>
        <w:ind w:left="17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FC4E0F2">
      <w:start w:val="1"/>
      <w:numFmt w:val="bullet"/>
      <w:lvlText w:val="▪"/>
      <w:lvlJc w:val="left"/>
      <w:pPr>
        <w:ind w:left="24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8A0B59C">
      <w:start w:val="1"/>
      <w:numFmt w:val="bullet"/>
      <w:lvlText w:val="•"/>
      <w:lvlJc w:val="left"/>
      <w:pPr>
        <w:ind w:left="31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764BB86">
      <w:start w:val="1"/>
      <w:numFmt w:val="bullet"/>
      <w:lvlText w:val="o"/>
      <w:lvlJc w:val="left"/>
      <w:pPr>
        <w:ind w:left="38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6A673F0">
      <w:start w:val="1"/>
      <w:numFmt w:val="bullet"/>
      <w:lvlText w:val="▪"/>
      <w:lvlJc w:val="left"/>
      <w:pPr>
        <w:ind w:left="46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58A3694">
      <w:start w:val="1"/>
      <w:numFmt w:val="bullet"/>
      <w:lvlText w:val="•"/>
      <w:lvlJc w:val="left"/>
      <w:pPr>
        <w:ind w:left="53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852EF26">
      <w:start w:val="1"/>
      <w:numFmt w:val="bullet"/>
      <w:lvlText w:val="o"/>
      <w:lvlJc w:val="left"/>
      <w:pPr>
        <w:ind w:left="60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9A85938">
      <w:start w:val="1"/>
      <w:numFmt w:val="bullet"/>
      <w:lvlText w:val="▪"/>
      <w:lvlJc w:val="left"/>
      <w:pPr>
        <w:ind w:left="67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2" w15:restartNumberingAfterBreak="0">
    <w:nsid w:val="579A6FAB"/>
    <w:multiLevelType w:val="hybridMultilevel"/>
    <w:tmpl w:val="74F410C4"/>
    <w:lvl w:ilvl="0" w:tplc="B3765A16">
      <w:start w:val="1"/>
      <w:numFmt w:val="bullet"/>
      <w:lvlText w:val="•"/>
      <w:lvlJc w:val="left"/>
      <w:pPr>
        <w:ind w:left="205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96805E6">
      <w:start w:val="1"/>
      <w:numFmt w:val="bullet"/>
      <w:lvlText w:val="o"/>
      <w:lvlJc w:val="left"/>
      <w:pPr>
        <w:ind w:left="128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DB6CFC0">
      <w:start w:val="1"/>
      <w:numFmt w:val="bullet"/>
      <w:lvlText w:val="▪"/>
      <w:lvlJc w:val="left"/>
      <w:pPr>
        <w:ind w:left="200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D322D54">
      <w:start w:val="1"/>
      <w:numFmt w:val="bullet"/>
      <w:lvlText w:val="•"/>
      <w:lvlJc w:val="left"/>
      <w:pPr>
        <w:ind w:left="272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FFCDC72">
      <w:start w:val="1"/>
      <w:numFmt w:val="bullet"/>
      <w:lvlText w:val="o"/>
      <w:lvlJc w:val="left"/>
      <w:pPr>
        <w:ind w:left="344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B14688E">
      <w:start w:val="1"/>
      <w:numFmt w:val="bullet"/>
      <w:lvlText w:val="▪"/>
      <w:lvlJc w:val="left"/>
      <w:pPr>
        <w:ind w:left="416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ACCF1DC">
      <w:start w:val="1"/>
      <w:numFmt w:val="bullet"/>
      <w:lvlText w:val="•"/>
      <w:lvlJc w:val="left"/>
      <w:pPr>
        <w:ind w:left="488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3D6EADC">
      <w:start w:val="1"/>
      <w:numFmt w:val="bullet"/>
      <w:lvlText w:val="o"/>
      <w:lvlJc w:val="left"/>
      <w:pPr>
        <w:ind w:left="560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1CC0D16">
      <w:start w:val="1"/>
      <w:numFmt w:val="bullet"/>
      <w:lvlText w:val="▪"/>
      <w:lvlJc w:val="left"/>
      <w:pPr>
        <w:ind w:left="632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3" w15:restartNumberingAfterBreak="0">
    <w:nsid w:val="58CB237C"/>
    <w:multiLevelType w:val="hybridMultilevel"/>
    <w:tmpl w:val="EC64757C"/>
    <w:lvl w:ilvl="0" w:tplc="A0BE465E">
      <w:start w:val="1"/>
      <w:numFmt w:val="bullet"/>
      <w:lvlText w:val="•"/>
      <w:lvlJc w:val="left"/>
      <w:pPr>
        <w:ind w:left="185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BB056BC">
      <w:start w:val="1"/>
      <w:numFmt w:val="bullet"/>
      <w:lvlText w:val="o"/>
      <w:lvlJc w:val="left"/>
      <w:pPr>
        <w:ind w:left="14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8800FD6">
      <w:start w:val="1"/>
      <w:numFmt w:val="bullet"/>
      <w:lvlText w:val="▪"/>
      <w:lvlJc w:val="left"/>
      <w:pPr>
        <w:ind w:left="21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47E2234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9AEAD52">
      <w:start w:val="1"/>
      <w:numFmt w:val="bullet"/>
      <w:lvlText w:val="o"/>
      <w:lvlJc w:val="left"/>
      <w:pPr>
        <w:ind w:left="36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81E463E">
      <w:start w:val="1"/>
      <w:numFmt w:val="bullet"/>
      <w:lvlText w:val="▪"/>
      <w:lvlJc w:val="left"/>
      <w:pPr>
        <w:ind w:left="43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B6807F0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BE2E06C">
      <w:start w:val="1"/>
      <w:numFmt w:val="bullet"/>
      <w:lvlText w:val="o"/>
      <w:lvlJc w:val="left"/>
      <w:pPr>
        <w:ind w:left="57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340A8CA">
      <w:start w:val="1"/>
      <w:numFmt w:val="bullet"/>
      <w:lvlText w:val="▪"/>
      <w:lvlJc w:val="left"/>
      <w:pPr>
        <w:ind w:left="64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4" w15:restartNumberingAfterBreak="0">
    <w:nsid w:val="58E753B6"/>
    <w:multiLevelType w:val="hybridMultilevel"/>
    <w:tmpl w:val="5ED21536"/>
    <w:lvl w:ilvl="0" w:tplc="0FC20B16">
      <w:start w:val="204"/>
      <w:numFmt w:val="decimal"/>
      <w:lvlText w:val="%1."/>
      <w:lvlJc w:val="left"/>
      <w:pPr>
        <w:ind w:left="1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B200CE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8E0C46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C10289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6D2F8E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1B0FA1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FBCE4A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2ACCB1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DF28A3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5" w15:restartNumberingAfterBreak="0">
    <w:nsid w:val="59473DB5"/>
    <w:multiLevelType w:val="hybridMultilevel"/>
    <w:tmpl w:val="1040AF86"/>
    <w:lvl w:ilvl="0" w:tplc="3F8EC072">
      <w:start w:val="143"/>
      <w:numFmt w:val="decimal"/>
      <w:lvlText w:val="%1."/>
      <w:lvlJc w:val="left"/>
      <w:pPr>
        <w:ind w:left="1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53A47F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C7A07E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7BE72F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3FC56D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05829B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C52C5A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13A9B3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D58A9B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6" w15:restartNumberingAfterBreak="0">
    <w:nsid w:val="5AE97561"/>
    <w:multiLevelType w:val="hybridMultilevel"/>
    <w:tmpl w:val="A0427CB2"/>
    <w:lvl w:ilvl="0" w:tplc="1EA060F4">
      <w:start w:val="1"/>
      <w:numFmt w:val="decimal"/>
      <w:lvlText w:val="%1."/>
      <w:lvlJc w:val="left"/>
      <w:pPr>
        <w:ind w:left="22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BDA7442">
      <w:start w:val="1"/>
      <w:numFmt w:val="lowerLetter"/>
      <w:lvlText w:val="%2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752F1C4">
      <w:start w:val="1"/>
      <w:numFmt w:val="lowerRoman"/>
      <w:lvlText w:val="%3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FD6EF6C">
      <w:start w:val="1"/>
      <w:numFmt w:val="decimal"/>
      <w:lvlText w:val="%4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9709A12">
      <w:start w:val="1"/>
      <w:numFmt w:val="lowerLetter"/>
      <w:lvlText w:val="%5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020BB4E">
      <w:start w:val="1"/>
      <w:numFmt w:val="lowerRoman"/>
      <w:lvlText w:val="%6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E5AFB50">
      <w:start w:val="1"/>
      <w:numFmt w:val="decimal"/>
      <w:lvlText w:val="%7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9B65E00">
      <w:start w:val="1"/>
      <w:numFmt w:val="lowerLetter"/>
      <w:lvlText w:val="%8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D6889A8">
      <w:start w:val="1"/>
      <w:numFmt w:val="lowerRoman"/>
      <w:lvlText w:val="%9"/>
      <w:lvlJc w:val="left"/>
      <w:pPr>
        <w:ind w:left="6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7" w15:restartNumberingAfterBreak="0">
    <w:nsid w:val="5BFC1567"/>
    <w:multiLevelType w:val="hybridMultilevel"/>
    <w:tmpl w:val="7CFAF1AC"/>
    <w:lvl w:ilvl="0" w:tplc="F9F82806">
      <w:start w:val="1"/>
      <w:numFmt w:val="bullet"/>
      <w:lvlText w:val="➢"/>
      <w:lvlJc w:val="left"/>
      <w:pPr>
        <w:ind w:left="22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5623634">
      <w:start w:val="1"/>
      <w:numFmt w:val="bullet"/>
      <w:lvlText w:val="o"/>
      <w:lvlJc w:val="left"/>
      <w:pPr>
        <w:ind w:left="17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D020F3E">
      <w:start w:val="1"/>
      <w:numFmt w:val="bullet"/>
      <w:lvlText w:val="▪"/>
      <w:lvlJc w:val="left"/>
      <w:pPr>
        <w:ind w:left="25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B6C1F86">
      <w:start w:val="1"/>
      <w:numFmt w:val="bullet"/>
      <w:lvlText w:val="•"/>
      <w:lvlJc w:val="left"/>
      <w:pPr>
        <w:ind w:left="32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618E4D6">
      <w:start w:val="1"/>
      <w:numFmt w:val="bullet"/>
      <w:lvlText w:val="o"/>
      <w:lvlJc w:val="left"/>
      <w:pPr>
        <w:ind w:left="394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44CBAE8">
      <w:start w:val="1"/>
      <w:numFmt w:val="bullet"/>
      <w:lvlText w:val="▪"/>
      <w:lvlJc w:val="left"/>
      <w:pPr>
        <w:ind w:left="466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8BA1DB4">
      <w:start w:val="1"/>
      <w:numFmt w:val="bullet"/>
      <w:lvlText w:val="•"/>
      <w:lvlJc w:val="left"/>
      <w:pPr>
        <w:ind w:left="53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4A8C056">
      <w:start w:val="1"/>
      <w:numFmt w:val="bullet"/>
      <w:lvlText w:val="o"/>
      <w:lvlJc w:val="left"/>
      <w:pPr>
        <w:ind w:left="61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A8A8D38">
      <w:start w:val="1"/>
      <w:numFmt w:val="bullet"/>
      <w:lvlText w:val="▪"/>
      <w:lvlJc w:val="left"/>
      <w:pPr>
        <w:ind w:left="68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8" w15:restartNumberingAfterBreak="0">
    <w:nsid w:val="5EF05F79"/>
    <w:multiLevelType w:val="hybridMultilevel"/>
    <w:tmpl w:val="EC2C12DA"/>
    <w:lvl w:ilvl="0" w:tplc="B6A2DF90">
      <w:start w:val="1"/>
      <w:numFmt w:val="bullet"/>
      <w:lvlText w:val="•"/>
      <w:lvlJc w:val="left"/>
      <w:pPr>
        <w:ind w:left="183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DB4DE24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E2EC9A2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9AADD36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9C6E2F8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938CC78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99A1700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AB2E4B6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4FE0660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9" w15:restartNumberingAfterBreak="0">
    <w:nsid w:val="636024FF"/>
    <w:multiLevelType w:val="hybridMultilevel"/>
    <w:tmpl w:val="F3B651AE"/>
    <w:lvl w:ilvl="0" w:tplc="00AC1C7C">
      <w:start w:val="134"/>
      <w:numFmt w:val="decimal"/>
      <w:lvlText w:val="%1."/>
      <w:lvlJc w:val="left"/>
      <w:pPr>
        <w:ind w:left="18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3AC255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3843AA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7508E4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FD4674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C3E336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A30B2E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60AECF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9766ED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0" w15:restartNumberingAfterBreak="0">
    <w:nsid w:val="63A44C8D"/>
    <w:multiLevelType w:val="hybridMultilevel"/>
    <w:tmpl w:val="F89E7258"/>
    <w:lvl w:ilvl="0" w:tplc="26F4DD18">
      <w:start w:val="1"/>
      <w:numFmt w:val="bullet"/>
      <w:lvlText w:val="•"/>
      <w:lvlJc w:val="left"/>
      <w:pPr>
        <w:ind w:left="147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3364D70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604F098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9383910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48A34C8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E96007E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0D26BCE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88C650E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A5A2938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1" w15:restartNumberingAfterBreak="0">
    <w:nsid w:val="64BA7074"/>
    <w:multiLevelType w:val="hybridMultilevel"/>
    <w:tmpl w:val="D53C0842"/>
    <w:lvl w:ilvl="0" w:tplc="4496B6AA">
      <w:start w:val="1"/>
      <w:numFmt w:val="bullet"/>
      <w:lvlText w:val="•"/>
      <w:lvlJc w:val="left"/>
      <w:pPr>
        <w:ind w:left="220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A12AC8A">
      <w:start w:val="1"/>
      <w:numFmt w:val="bullet"/>
      <w:lvlText w:val="o"/>
      <w:lvlJc w:val="left"/>
      <w:pPr>
        <w:ind w:left="17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1A24A48">
      <w:start w:val="1"/>
      <w:numFmt w:val="bullet"/>
      <w:lvlText w:val="▪"/>
      <w:lvlJc w:val="left"/>
      <w:pPr>
        <w:ind w:left="25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868A612">
      <w:start w:val="1"/>
      <w:numFmt w:val="bullet"/>
      <w:lvlText w:val="•"/>
      <w:lvlJc w:val="left"/>
      <w:pPr>
        <w:ind w:left="3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77A1564">
      <w:start w:val="1"/>
      <w:numFmt w:val="bullet"/>
      <w:lvlText w:val="o"/>
      <w:lvlJc w:val="left"/>
      <w:pPr>
        <w:ind w:left="39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DB0629E">
      <w:start w:val="1"/>
      <w:numFmt w:val="bullet"/>
      <w:lvlText w:val="▪"/>
      <w:lvlJc w:val="left"/>
      <w:pPr>
        <w:ind w:left="46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A90D180">
      <w:start w:val="1"/>
      <w:numFmt w:val="bullet"/>
      <w:lvlText w:val="•"/>
      <w:lvlJc w:val="left"/>
      <w:pPr>
        <w:ind w:left="5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C4E4E0E">
      <w:start w:val="1"/>
      <w:numFmt w:val="bullet"/>
      <w:lvlText w:val="o"/>
      <w:lvlJc w:val="left"/>
      <w:pPr>
        <w:ind w:left="61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A85638">
      <w:start w:val="1"/>
      <w:numFmt w:val="bullet"/>
      <w:lvlText w:val="▪"/>
      <w:lvlJc w:val="left"/>
      <w:pPr>
        <w:ind w:left="68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2" w15:restartNumberingAfterBreak="0">
    <w:nsid w:val="666574C0"/>
    <w:multiLevelType w:val="hybridMultilevel"/>
    <w:tmpl w:val="59E88D54"/>
    <w:lvl w:ilvl="0" w:tplc="45FC4408">
      <w:start w:val="1"/>
      <w:numFmt w:val="decimal"/>
      <w:lvlText w:val="%1."/>
      <w:lvlJc w:val="left"/>
      <w:pPr>
        <w:ind w:left="1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12E0D3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334F9D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BC66A9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578328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2BE1DE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FF239D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B10D14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9940CF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3" w15:restartNumberingAfterBreak="0">
    <w:nsid w:val="68B36FA8"/>
    <w:multiLevelType w:val="hybridMultilevel"/>
    <w:tmpl w:val="929A9FCC"/>
    <w:lvl w:ilvl="0" w:tplc="BF909B76">
      <w:start w:val="121"/>
      <w:numFmt w:val="decimal"/>
      <w:lvlText w:val="%1."/>
      <w:lvlJc w:val="left"/>
      <w:pPr>
        <w:ind w:left="1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9B4594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048AC0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DDABC3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74ED22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3BEAB3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968109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44AAC4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9D0A18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4" w15:restartNumberingAfterBreak="0">
    <w:nsid w:val="6A63356F"/>
    <w:multiLevelType w:val="hybridMultilevel"/>
    <w:tmpl w:val="412C9670"/>
    <w:lvl w:ilvl="0" w:tplc="D2C0B962">
      <w:start w:val="1"/>
      <w:numFmt w:val="bullet"/>
      <w:lvlText w:val="➢"/>
      <w:lvlJc w:val="left"/>
      <w:pPr>
        <w:ind w:left="22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5220518">
      <w:start w:val="1"/>
      <w:numFmt w:val="bullet"/>
      <w:lvlText w:val="o"/>
      <w:lvlJc w:val="left"/>
      <w:pPr>
        <w:ind w:left="17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A10B034">
      <w:start w:val="1"/>
      <w:numFmt w:val="bullet"/>
      <w:lvlText w:val="▪"/>
      <w:lvlJc w:val="left"/>
      <w:pPr>
        <w:ind w:left="25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296FC8A">
      <w:start w:val="1"/>
      <w:numFmt w:val="bullet"/>
      <w:lvlText w:val="•"/>
      <w:lvlJc w:val="left"/>
      <w:pPr>
        <w:ind w:left="32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E18AAEE">
      <w:start w:val="1"/>
      <w:numFmt w:val="bullet"/>
      <w:lvlText w:val="o"/>
      <w:lvlJc w:val="left"/>
      <w:pPr>
        <w:ind w:left="394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B3AC7D2">
      <w:start w:val="1"/>
      <w:numFmt w:val="bullet"/>
      <w:lvlText w:val="▪"/>
      <w:lvlJc w:val="left"/>
      <w:pPr>
        <w:ind w:left="466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698051E">
      <w:start w:val="1"/>
      <w:numFmt w:val="bullet"/>
      <w:lvlText w:val="•"/>
      <w:lvlJc w:val="left"/>
      <w:pPr>
        <w:ind w:left="53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8DC5548">
      <w:start w:val="1"/>
      <w:numFmt w:val="bullet"/>
      <w:lvlText w:val="o"/>
      <w:lvlJc w:val="left"/>
      <w:pPr>
        <w:ind w:left="61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26A0030">
      <w:start w:val="1"/>
      <w:numFmt w:val="bullet"/>
      <w:lvlText w:val="▪"/>
      <w:lvlJc w:val="left"/>
      <w:pPr>
        <w:ind w:left="68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5" w15:restartNumberingAfterBreak="0">
    <w:nsid w:val="6F3752C1"/>
    <w:multiLevelType w:val="hybridMultilevel"/>
    <w:tmpl w:val="FD2ADF96"/>
    <w:lvl w:ilvl="0" w:tplc="06506654">
      <w:start w:val="1"/>
      <w:numFmt w:val="bullet"/>
      <w:lvlText w:val="➢"/>
      <w:lvlJc w:val="left"/>
      <w:pPr>
        <w:ind w:left="212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D245B58">
      <w:start w:val="1"/>
      <w:numFmt w:val="bullet"/>
      <w:lvlText w:val="o"/>
      <w:lvlJc w:val="left"/>
      <w:pPr>
        <w:ind w:left="17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74CC100">
      <w:start w:val="1"/>
      <w:numFmt w:val="bullet"/>
      <w:lvlText w:val="▪"/>
      <w:lvlJc w:val="left"/>
      <w:pPr>
        <w:ind w:left="25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DF6073A">
      <w:start w:val="1"/>
      <w:numFmt w:val="bullet"/>
      <w:lvlText w:val="•"/>
      <w:lvlJc w:val="left"/>
      <w:pPr>
        <w:ind w:left="32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9D879D4">
      <w:start w:val="1"/>
      <w:numFmt w:val="bullet"/>
      <w:lvlText w:val="o"/>
      <w:lvlJc w:val="left"/>
      <w:pPr>
        <w:ind w:left="394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61086A2">
      <w:start w:val="1"/>
      <w:numFmt w:val="bullet"/>
      <w:lvlText w:val="▪"/>
      <w:lvlJc w:val="left"/>
      <w:pPr>
        <w:ind w:left="466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87A1662">
      <w:start w:val="1"/>
      <w:numFmt w:val="bullet"/>
      <w:lvlText w:val="•"/>
      <w:lvlJc w:val="left"/>
      <w:pPr>
        <w:ind w:left="53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51C1BC6">
      <w:start w:val="1"/>
      <w:numFmt w:val="bullet"/>
      <w:lvlText w:val="o"/>
      <w:lvlJc w:val="left"/>
      <w:pPr>
        <w:ind w:left="61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ABCD9FC">
      <w:start w:val="1"/>
      <w:numFmt w:val="bullet"/>
      <w:lvlText w:val="▪"/>
      <w:lvlJc w:val="left"/>
      <w:pPr>
        <w:ind w:left="68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6" w15:restartNumberingAfterBreak="0">
    <w:nsid w:val="6FAB45F0"/>
    <w:multiLevelType w:val="hybridMultilevel"/>
    <w:tmpl w:val="7460F828"/>
    <w:lvl w:ilvl="0" w:tplc="9DE01CDC">
      <w:start w:val="208"/>
      <w:numFmt w:val="decimal"/>
      <w:lvlText w:val="%1."/>
      <w:lvlJc w:val="left"/>
      <w:pPr>
        <w:ind w:left="1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83C8C3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8C89D9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9E8DDA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552240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5D8E56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40AB3A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A9E673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9AE155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7" w15:restartNumberingAfterBreak="0">
    <w:nsid w:val="6FBC40EC"/>
    <w:multiLevelType w:val="multilevel"/>
    <w:tmpl w:val="C0DC6120"/>
    <w:lvl w:ilvl="0">
      <w:start w:val="1"/>
      <w:numFmt w:val="decimal"/>
      <w:lvlText w:val="%1."/>
      <w:lvlJc w:val="left"/>
      <w:pPr>
        <w:ind w:left="15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"/>
      <w:lvlJc w:val="left"/>
      <w:pPr>
        <w:ind w:left="17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8" w15:restartNumberingAfterBreak="0">
    <w:nsid w:val="73027355"/>
    <w:multiLevelType w:val="hybridMultilevel"/>
    <w:tmpl w:val="9692DA28"/>
    <w:lvl w:ilvl="0" w:tplc="D0C82122">
      <w:start w:val="170"/>
      <w:numFmt w:val="decimal"/>
      <w:lvlText w:val="%1."/>
      <w:lvlJc w:val="left"/>
      <w:pPr>
        <w:ind w:left="1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C36E16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8F8E67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7D8581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5C4FAC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B0AA6E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94E1A8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094DF5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0FC5D3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9" w15:restartNumberingAfterBreak="0">
    <w:nsid w:val="76C37849"/>
    <w:multiLevelType w:val="hybridMultilevel"/>
    <w:tmpl w:val="9C9A31D0"/>
    <w:lvl w:ilvl="0" w:tplc="49F802B0">
      <w:start w:val="137"/>
      <w:numFmt w:val="decimal"/>
      <w:lvlText w:val="%1."/>
      <w:lvlJc w:val="left"/>
      <w:pPr>
        <w:ind w:left="1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426658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F4CC80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68E22D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0C08BF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406AF0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8A8542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0E268E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236C0A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0" w15:restartNumberingAfterBreak="0">
    <w:nsid w:val="78E70BED"/>
    <w:multiLevelType w:val="hybridMultilevel"/>
    <w:tmpl w:val="525616BE"/>
    <w:lvl w:ilvl="0" w:tplc="F3FCCC50">
      <w:start w:val="1"/>
      <w:numFmt w:val="bullet"/>
      <w:lvlText w:val="•"/>
      <w:lvlJc w:val="left"/>
      <w:pPr>
        <w:ind w:left="205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78A1E78">
      <w:start w:val="1"/>
      <w:numFmt w:val="bullet"/>
      <w:lvlText w:val="o"/>
      <w:lvlJc w:val="left"/>
      <w:pPr>
        <w:ind w:left="16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8E49D12">
      <w:start w:val="1"/>
      <w:numFmt w:val="bullet"/>
      <w:lvlText w:val="▪"/>
      <w:lvlJc w:val="left"/>
      <w:pPr>
        <w:ind w:left="23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CF8EE1E">
      <w:start w:val="1"/>
      <w:numFmt w:val="bullet"/>
      <w:lvlText w:val="•"/>
      <w:lvlJc w:val="left"/>
      <w:pPr>
        <w:ind w:left="3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7BE8CC2">
      <w:start w:val="1"/>
      <w:numFmt w:val="bullet"/>
      <w:lvlText w:val="o"/>
      <w:lvlJc w:val="left"/>
      <w:pPr>
        <w:ind w:left="3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EA43344">
      <w:start w:val="1"/>
      <w:numFmt w:val="bullet"/>
      <w:lvlText w:val="▪"/>
      <w:lvlJc w:val="left"/>
      <w:pPr>
        <w:ind w:left="45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0908916">
      <w:start w:val="1"/>
      <w:numFmt w:val="bullet"/>
      <w:lvlText w:val="•"/>
      <w:lvlJc w:val="left"/>
      <w:pPr>
        <w:ind w:left="5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DBEC406">
      <w:start w:val="1"/>
      <w:numFmt w:val="bullet"/>
      <w:lvlText w:val="o"/>
      <w:lvlJc w:val="left"/>
      <w:pPr>
        <w:ind w:left="5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3149736">
      <w:start w:val="1"/>
      <w:numFmt w:val="bullet"/>
      <w:lvlText w:val="▪"/>
      <w:lvlJc w:val="left"/>
      <w:pPr>
        <w:ind w:left="66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1" w15:restartNumberingAfterBreak="0">
    <w:nsid w:val="7B391895"/>
    <w:multiLevelType w:val="hybridMultilevel"/>
    <w:tmpl w:val="96CC783E"/>
    <w:lvl w:ilvl="0" w:tplc="69D810C6">
      <w:start w:val="1"/>
      <w:numFmt w:val="bullet"/>
      <w:lvlText w:val="➢"/>
      <w:lvlJc w:val="left"/>
      <w:pPr>
        <w:ind w:left="297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B326BFC">
      <w:start w:val="1"/>
      <w:numFmt w:val="bullet"/>
      <w:lvlText w:val="o"/>
      <w:lvlJc w:val="left"/>
      <w:pPr>
        <w:ind w:left="256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C5AF6B4">
      <w:start w:val="1"/>
      <w:numFmt w:val="bullet"/>
      <w:lvlText w:val="▪"/>
      <w:lvlJc w:val="left"/>
      <w:pPr>
        <w:ind w:left="328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E7CF642">
      <w:start w:val="1"/>
      <w:numFmt w:val="bullet"/>
      <w:lvlText w:val="•"/>
      <w:lvlJc w:val="left"/>
      <w:pPr>
        <w:ind w:left="400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338E70E">
      <w:start w:val="1"/>
      <w:numFmt w:val="bullet"/>
      <w:lvlText w:val="o"/>
      <w:lvlJc w:val="left"/>
      <w:pPr>
        <w:ind w:left="472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7B6C0BC">
      <w:start w:val="1"/>
      <w:numFmt w:val="bullet"/>
      <w:lvlText w:val="▪"/>
      <w:lvlJc w:val="left"/>
      <w:pPr>
        <w:ind w:left="544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D2E0B1A">
      <w:start w:val="1"/>
      <w:numFmt w:val="bullet"/>
      <w:lvlText w:val="•"/>
      <w:lvlJc w:val="left"/>
      <w:pPr>
        <w:ind w:left="616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484CEAA">
      <w:start w:val="1"/>
      <w:numFmt w:val="bullet"/>
      <w:lvlText w:val="o"/>
      <w:lvlJc w:val="left"/>
      <w:pPr>
        <w:ind w:left="688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FBE686A">
      <w:start w:val="1"/>
      <w:numFmt w:val="bullet"/>
      <w:lvlText w:val="▪"/>
      <w:lvlJc w:val="left"/>
      <w:pPr>
        <w:ind w:left="760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2" w15:restartNumberingAfterBreak="0">
    <w:nsid w:val="7BE84F19"/>
    <w:multiLevelType w:val="hybridMultilevel"/>
    <w:tmpl w:val="6BDE8B98"/>
    <w:lvl w:ilvl="0" w:tplc="ED1E5BF0">
      <w:start w:val="223"/>
      <w:numFmt w:val="decimal"/>
      <w:lvlText w:val="%1."/>
      <w:lvlJc w:val="left"/>
      <w:pPr>
        <w:ind w:left="1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C248FF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8CE160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806282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C4A40B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536815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9FA2A3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FA222A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6E8F3F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3" w15:restartNumberingAfterBreak="0">
    <w:nsid w:val="7D3A75CD"/>
    <w:multiLevelType w:val="hybridMultilevel"/>
    <w:tmpl w:val="13E6A262"/>
    <w:lvl w:ilvl="0" w:tplc="28860708">
      <w:start w:val="1"/>
      <w:numFmt w:val="bullet"/>
      <w:lvlText w:val="•"/>
      <w:lvlJc w:val="left"/>
      <w:pPr>
        <w:ind w:left="11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16A5860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77EB432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4988A84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4962706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32A393C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B807366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5627822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2B07A4C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4" w15:restartNumberingAfterBreak="0">
    <w:nsid w:val="7EA6064E"/>
    <w:multiLevelType w:val="hybridMultilevel"/>
    <w:tmpl w:val="1D64EA4E"/>
    <w:lvl w:ilvl="0" w:tplc="48A0ACC6">
      <w:start w:val="1"/>
      <w:numFmt w:val="decimal"/>
      <w:lvlText w:val="%1."/>
      <w:lvlJc w:val="left"/>
      <w:pPr>
        <w:ind w:left="1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B44F182">
      <w:start w:val="1"/>
      <w:numFmt w:val="lowerLetter"/>
      <w:lvlText w:val="%2"/>
      <w:lvlJc w:val="left"/>
      <w:pPr>
        <w:ind w:left="10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E2E7B4E">
      <w:start w:val="1"/>
      <w:numFmt w:val="lowerRoman"/>
      <w:lvlText w:val="%3"/>
      <w:lvlJc w:val="left"/>
      <w:pPr>
        <w:ind w:left="18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EA0C50E">
      <w:start w:val="1"/>
      <w:numFmt w:val="decimal"/>
      <w:lvlText w:val="%4"/>
      <w:lvlJc w:val="left"/>
      <w:pPr>
        <w:ind w:left="25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9747860">
      <w:start w:val="1"/>
      <w:numFmt w:val="lowerLetter"/>
      <w:lvlText w:val="%5"/>
      <w:lvlJc w:val="left"/>
      <w:pPr>
        <w:ind w:left="32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ABCBDD2">
      <w:start w:val="1"/>
      <w:numFmt w:val="lowerRoman"/>
      <w:lvlText w:val="%6"/>
      <w:lvlJc w:val="left"/>
      <w:pPr>
        <w:ind w:left="39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96EA218">
      <w:start w:val="1"/>
      <w:numFmt w:val="decimal"/>
      <w:lvlText w:val="%7"/>
      <w:lvlJc w:val="left"/>
      <w:pPr>
        <w:ind w:left="46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3BC1CDE">
      <w:start w:val="1"/>
      <w:numFmt w:val="lowerLetter"/>
      <w:lvlText w:val="%8"/>
      <w:lvlJc w:val="left"/>
      <w:pPr>
        <w:ind w:left="54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8FAB566">
      <w:start w:val="1"/>
      <w:numFmt w:val="lowerRoman"/>
      <w:lvlText w:val="%9"/>
      <w:lvlJc w:val="left"/>
      <w:pPr>
        <w:ind w:left="61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67"/>
  </w:num>
  <w:num w:numId="2">
    <w:abstractNumId w:val="37"/>
  </w:num>
  <w:num w:numId="3">
    <w:abstractNumId w:val="24"/>
  </w:num>
  <w:num w:numId="4">
    <w:abstractNumId w:val="51"/>
  </w:num>
  <w:num w:numId="5">
    <w:abstractNumId w:val="19"/>
  </w:num>
  <w:num w:numId="6">
    <w:abstractNumId w:val="47"/>
  </w:num>
  <w:num w:numId="7">
    <w:abstractNumId w:val="61"/>
  </w:num>
  <w:num w:numId="8">
    <w:abstractNumId w:val="17"/>
  </w:num>
  <w:num w:numId="9">
    <w:abstractNumId w:val="9"/>
  </w:num>
  <w:num w:numId="10">
    <w:abstractNumId w:val="33"/>
  </w:num>
  <w:num w:numId="11">
    <w:abstractNumId w:val="73"/>
  </w:num>
  <w:num w:numId="12">
    <w:abstractNumId w:val="4"/>
  </w:num>
  <w:num w:numId="13">
    <w:abstractNumId w:val="58"/>
  </w:num>
  <w:num w:numId="14">
    <w:abstractNumId w:val="64"/>
  </w:num>
  <w:num w:numId="15">
    <w:abstractNumId w:val="44"/>
  </w:num>
  <w:num w:numId="16">
    <w:abstractNumId w:val="21"/>
  </w:num>
  <w:num w:numId="17">
    <w:abstractNumId w:val="7"/>
  </w:num>
  <w:num w:numId="18">
    <w:abstractNumId w:val="60"/>
  </w:num>
  <w:num w:numId="19">
    <w:abstractNumId w:val="57"/>
  </w:num>
  <w:num w:numId="20">
    <w:abstractNumId w:val="6"/>
  </w:num>
  <w:num w:numId="21">
    <w:abstractNumId w:val="53"/>
  </w:num>
  <w:num w:numId="22">
    <w:abstractNumId w:val="65"/>
  </w:num>
  <w:num w:numId="23">
    <w:abstractNumId w:val="12"/>
  </w:num>
  <w:num w:numId="24">
    <w:abstractNumId w:val="16"/>
  </w:num>
  <w:num w:numId="25">
    <w:abstractNumId w:val="71"/>
  </w:num>
  <w:num w:numId="26">
    <w:abstractNumId w:val="1"/>
  </w:num>
  <w:num w:numId="27">
    <w:abstractNumId w:val="49"/>
  </w:num>
  <w:num w:numId="28">
    <w:abstractNumId w:val="56"/>
  </w:num>
  <w:num w:numId="29">
    <w:abstractNumId w:val="41"/>
  </w:num>
  <w:num w:numId="30">
    <w:abstractNumId w:val="22"/>
  </w:num>
  <w:num w:numId="31">
    <w:abstractNumId w:val="5"/>
  </w:num>
  <w:num w:numId="32">
    <w:abstractNumId w:val="74"/>
  </w:num>
  <w:num w:numId="33">
    <w:abstractNumId w:val="50"/>
  </w:num>
  <w:num w:numId="34">
    <w:abstractNumId w:val="10"/>
  </w:num>
  <w:num w:numId="35">
    <w:abstractNumId w:val="45"/>
  </w:num>
  <w:num w:numId="36">
    <w:abstractNumId w:val="39"/>
  </w:num>
  <w:num w:numId="37">
    <w:abstractNumId w:val="63"/>
  </w:num>
  <w:num w:numId="38">
    <w:abstractNumId w:val="48"/>
  </w:num>
  <w:num w:numId="39">
    <w:abstractNumId w:val="23"/>
  </w:num>
  <w:num w:numId="40">
    <w:abstractNumId w:val="59"/>
  </w:num>
  <w:num w:numId="41">
    <w:abstractNumId w:val="69"/>
  </w:num>
  <w:num w:numId="42">
    <w:abstractNumId w:val="55"/>
  </w:num>
  <w:num w:numId="43">
    <w:abstractNumId w:val="3"/>
  </w:num>
  <w:num w:numId="44">
    <w:abstractNumId w:val="32"/>
  </w:num>
  <w:num w:numId="45">
    <w:abstractNumId w:val="25"/>
  </w:num>
  <w:num w:numId="46">
    <w:abstractNumId w:val="68"/>
  </w:num>
  <w:num w:numId="47">
    <w:abstractNumId w:val="13"/>
  </w:num>
  <w:num w:numId="48">
    <w:abstractNumId w:val="28"/>
  </w:num>
  <w:num w:numId="49">
    <w:abstractNumId w:val="27"/>
  </w:num>
  <w:num w:numId="50">
    <w:abstractNumId w:val="54"/>
  </w:num>
  <w:num w:numId="51">
    <w:abstractNumId w:val="66"/>
  </w:num>
  <w:num w:numId="52">
    <w:abstractNumId w:val="11"/>
  </w:num>
  <w:num w:numId="53">
    <w:abstractNumId w:val="72"/>
  </w:num>
  <w:num w:numId="54">
    <w:abstractNumId w:val="31"/>
  </w:num>
  <w:num w:numId="55">
    <w:abstractNumId w:val="18"/>
  </w:num>
  <w:num w:numId="56">
    <w:abstractNumId w:val="26"/>
  </w:num>
  <w:num w:numId="57">
    <w:abstractNumId w:val="30"/>
  </w:num>
  <w:num w:numId="58">
    <w:abstractNumId w:val="34"/>
  </w:num>
  <w:num w:numId="59">
    <w:abstractNumId w:val="70"/>
  </w:num>
  <w:num w:numId="60">
    <w:abstractNumId w:val="40"/>
  </w:num>
  <w:num w:numId="61">
    <w:abstractNumId w:val="42"/>
  </w:num>
  <w:num w:numId="62">
    <w:abstractNumId w:val="20"/>
  </w:num>
  <w:num w:numId="63">
    <w:abstractNumId w:val="29"/>
  </w:num>
  <w:num w:numId="64">
    <w:abstractNumId w:val="15"/>
  </w:num>
  <w:num w:numId="65">
    <w:abstractNumId w:val="52"/>
  </w:num>
  <w:num w:numId="66">
    <w:abstractNumId w:val="35"/>
  </w:num>
  <w:num w:numId="67">
    <w:abstractNumId w:val="2"/>
  </w:num>
  <w:num w:numId="68">
    <w:abstractNumId w:val="0"/>
  </w:num>
  <w:num w:numId="69">
    <w:abstractNumId w:val="14"/>
  </w:num>
  <w:num w:numId="70">
    <w:abstractNumId w:val="62"/>
  </w:num>
  <w:num w:numId="71">
    <w:abstractNumId w:val="46"/>
  </w:num>
  <w:num w:numId="72">
    <w:abstractNumId w:val="43"/>
  </w:num>
  <w:num w:numId="73">
    <w:abstractNumId w:val="8"/>
  </w:num>
  <w:num w:numId="74">
    <w:abstractNumId w:val="36"/>
  </w:num>
  <w:num w:numId="75">
    <w:abstractNumId w:val="38"/>
  </w:num>
  <w:numIdMacAtCleanup w:val="7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0918"/>
    <w:rsid w:val="003A0918"/>
    <w:rsid w:val="00D87D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CBBD812C-0BD6-46BB-882A-D76D5B236B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paragraph" w:styleId="Heading1">
    <w:name w:val="heading 1"/>
    <w:next w:val="Normal"/>
    <w:link w:val="Heading1Char"/>
    <w:uiPriority w:val="9"/>
    <w:unhideWhenUsed/>
    <w:qFormat/>
    <w:pPr>
      <w:keepNext/>
      <w:keepLines/>
      <w:spacing w:after="0" w:line="249" w:lineRule="auto"/>
      <w:ind w:left="572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32"/>
    </w:rPr>
  </w:style>
  <w:style w:type="paragraph" w:styleId="Heading2">
    <w:name w:val="heading 2"/>
    <w:next w:val="Normal"/>
    <w:link w:val="Heading2Char"/>
    <w:uiPriority w:val="9"/>
    <w:unhideWhenUsed/>
    <w:qFormat/>
    <w:pPr>
      <w:keepNext/>
      <w:keepLines/>
      <w:spacing w:after="125" w:line="249" w:lineRule="auto"/>
      <w:ind w:left="1851" w:hanging="10"/>
      <w:outlineLvl w:val="1"/>
    </w:pPr>
    <w:rPr>
      <w:rFonts w:ascii="Times New Roman" w:eastAsia="Times New Roman" w:hAnsi="Times New Roman" w:cs="Times New Roman"/>
      <w:b/>
      <w:color w:val="000000"/>
      <w:sz w:val="24"/>
    </w:rPr>
  </w:style>
  <w:style w:type="paragraph" w:styleId="Heading3">
    <w:name w:val="heading 3"/>
    <w:next w:val="Normal"/>
    <w:link w:val="Heading3Char"/>
    <w:uiPriority w:val="9"/>
    <w:unhideWhenUsed/>
    <w:qFormat/>
    <w:pPr>
      <w:keepNext/>
      <w:keepLines/>
      <w:spacing w:after="125" w:line="249" w:lineRule="auto"/>
      <w:ind w:left="1851" w:hanging="10"/>
      <w:outlineLvl w:val="2"/>
    </w:pPr>
    <w:rPr>
      <w:rFonts w:ascii="Times New Roman" w:eastAsia="Times New Roman" w:hAnsi="Times New Roman" w:cs="Times New Roman"/>
      <w:b/>
      <w:color w:val="000000"/>
      <w:sz w:val="24"/>
    </w:rPr>
  </w:style>
  <w:style w:type="paragraph" w:styleId="Heading4">
    <w:name w:val="heading 4"/>
    <w:next w:val="Normal"/>
    <w:link w:val="Heading4Char"/>
    <w:uiPriority w:val="9"/>
    <w:unhideWhenUsed/>
    <w:qFormat/>
    <w:pPr>
      <w:keepNext/>
      <w:keepLines/>
      <w:spacing w:after="125" w:line="249" w:lineRule="auto"/>
      <w:ind w:left="1851" w:hanging="10"/>
      <w:outlineLvl w:val="3"/>
    </w:pPr>
    <w:rPr>
      <w:rFonts w:ascii="Times New Roman" w:eastAsia="Times New Roman" w:hAnsi="Times New Roman" w:cs="Times New Roman"/>
      <w:b/>
      <w:color w:val="000000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Pr>
      <w:rFonts w:ascii="Times New Roman" w:eastAsia="Times New Roman" w:hAnsi="Times New Roman" w:cs="Times New Roman"/>
      <w:b/>
      <w:color w:val="000000"/>
      <w:sz w:val="32"/>
    </w:rPr>
  </w:style>
  <w:style w:type="character" w:customStyle="1" w:styleId="Heading2Char">
    <w:name w:val="Heading 2 Char"/>
    <w:link w:val="Heading2"/>
    <w:rPr>
      <w:rFonts w:ascii="Times New Roman" w:eastAsia="Times New Roman" w:hAnsi="Times New Roman" w:cs="Times New Roman"/>
      <w:b/>
      <w:color w:val="000000"/>
      <w:sz w:val="24"/>
    </w:rPr>
  </w:style>
  <w:style w:type="character" w:customStyle="1" w:styleId="Heading3Char">
    <w:name w:val="Heading 3 Char"/>
    <w:link w:val="Heading3"/>
    <w:rPr>
      <w:rFonts w:ascii="Times New Roman" w:eastAsia="Times New Roman" w:hAnsi="Times New Roman" w:cs="Times New Roman"/>
      <w:b/>
      <w:color w:val="000000"/>
      <w:sz w:val="24"/>
    </w:rPr>
  </w:style>
  <w:style w:type="character" w:customStyle="1" w:styleId="Heading4Char">
    <w:name w:val="Heading 4 Char"/>
    <w:link w:val="Heading4"/>
    <w:rPr>
      <w:rFonts w:ascii="Times New Roman" w:eastAsia="Times New Roman" w:hAnsi="Times New Roman" w:cs="Times New Roman"/>
      <w:b/>
      <w:color w:val="000000"/>
      <w:sz w:val="2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doi.org/10.1186/s40248-018-0152-5" TargetMode="External"/><Relationship Id="rId117" Type="http://schemas.openxmlformats.org/officeDocument/2006/relationships/hyperlink" Target="https://doi.org/10.21518/2079-701X-2014-16-61-64" TargetMode="External"/><Relationship Id="rId21" Type="http://schemas.openxmlformats.org/officeDocument/2006/relationships/hyperlink" Target="https://doi.org/10.1186/s40248-018-0152-5" TargetMode="External"/><Relationship Id="rId42" Type="http://schemas.openxmlformats.org/officeDocument/2006/relationships/hyperlink" Target="https://doi.org/10.1164/rccm.202006-2618oc" TargetMode="External"/><Relationship Id="rId47" Type="http://schemas.openxmlformats.org/officeDocument/2006/relationships/hyperlink" Target="https://doi.org/10.7326/0003-4819-142-4-200502150-00005" TargetMode="External"/><Relationship Id="rId63" Type="http://schemas.openxmlformats.org/officeDocument/2006/relationships/hyperlink" Target="https://doi.org/10.7326/0003-4819-93-3-391" TargetMode="External"/><Relationship Id="rId68" Type="http://schemas.openxmlformats.org/officeDocument/2006/relationships/hyperlink" Target="https://doi.org/10.1136/thx.31.4.414" TargetMode="External"/><Relationship Id="rId84" Type="http://schemas.openxmlformats.org/officeDocument/2006/relationships/hyperlink" Target="https://ru.cc-inc.org/bode-index-copd-definition-914734-11607" TargetMode="External"/><Relationship Id="rId89" Type="http://schemas.openxmlformats.org/officeDocument/2006/relationships/hyperlink" Target="https://ru.cc-inc.org/bode-index-copd-definition-914734-11607" TargetMode="External"/><Relationship Id="rId112" Type="http://schemas.openxmlformats.org/officeDocument/2006/relationships/hyperlink" Target="https://doi.org/10.21518/2079-701X-2014-16-61-64" TargetMode="External"/><Relationship Id="rId16" Type="http://schemas.openxmlformats.org/officeDocument/2006/relationships/image" Target="media/image9.jpg"/><Relationship Id="rId107" Type="http://schemas.openxmlformats.org/officeDocument/2006/relationships/hyperlink" Target="https://doi.org/10.21518/2079-701X-2014-16-61-64" TargetMode="External"/><Relationship Id="rId11" Type="http://schemas.openxmlformats.org/officeDocument/2006/relationships/image" Target="media/image4.png"/><Relationship Id="rId32" Type="http://schemas.openxmlformats.org/officeDocument/2006/relationships/hyperlink" Target="https://doi.org/10.1186/s12931-020-01398-w" TargetMode="External"/><Relationship Id="rId37" Type="http://schemas.openxmlformats.org/officeDocument/2006/relationships/hyperlink" Target="https://doi.org/10.1186/s12931-020-01398-w" TargetMode="External"/><Relationship Id="rId53" Type="http://schemas.openxmlformats.org/officeDocument/2006/relationships/hyperlink" Target="https://doi.org/10.7326/0003-4819-142-4-200502150-00005" TargetMode="External"/><Relationship Id="rId58" Type="http://schemas.openxmlformats.org/officeDocument/2006/relationships/hyperlink" Target="https://doi.org/10.7326/0003-4819-93-3-391" TargetMode="External"/><Relationship Id="rId74" Type="http://schemas.openxmlformats.org/officeDocument/2006/relationships/hyperlink" Target="https://doi.org/10.1056/nejmoa030287" TargetMode="External"/><Relationship Id="rId79" Type="http://schemas.openxmlformats.org/officeDocument/2006/relationships/hyperlink" Target="https://ru.cc-inc.org/bode-index-copd-definition-914734-11607" TargetMode="External"/><Relationship Id="rId102" Type="http://schemas.openxmlformats.org/officeDocument/2006/relationships/hyperlink" Target="https://ru.cc-inc.org/bode-index-copd-definition-914734-11607" TargetMode="External"/><Relationship Id="rId5" Type="http://schemas.openxmlformats.org/officeDocument/2006/relationships/footnotes" Target="footnotes.xml"/><Relationship Id="rId90" Type="http://schemas.openxmlformats.org/officeDocument/2006/relationships/hyperlink" Target="https://ru.cc-inc.org/bode-index-copd-definition-914734-11607" TargetMode="External"/><Relationship Id="rId95" Type="http://schemas.openxmlformats.org/officeDocument/2006/relationships/hyperlink" Target="https://ru.cc-inc.org/bode-index-copd-definition-914734-11607" TargetMode="External"/><Relationship Id="rId22" Type="http://schemas.openxmlformats.org/officeDocument/2006/relationships/hyperlink" Target="https://doi.org/10.1186/s40248-018-0152-5" TargetMode="External"/><Relationship Id="rId27" Type="http://schemas.openxmlformats.org/officeDocument/2006/relationships/hyperlink" Target="http://grls.rosminzdrav.ru/" TargetMode="External"/><Relationship Id="rId43" Type="http://schemas.openxmlformats.org/officeDocument/2006/relationships/hyperlink" Target="https://doi.org/10.1164/rccm.202006-2618oc" TargetMode="External"/><Relationship Id="rId48" Type="http://schemas.openxmlformats.org/officeDocument/2006/relationships/hyperlink" Target="https://doi.org/10.7326/0003-4819-142-4-200502150-00005" TargetMode="External"/><Relationship Id="rId64" Type="http://schemas.openxmlformats.org/officeDocument/2006/relationships/hyperlink" Target="https://doi.org/10.7326/0003-4819-93-3-391" TargetMode="External"/><Relationship Id="rId69" Type="http://schemas.openxmlformats.org/officeDocument/2006/relationships/hyperlink" Target="https://doi.org/10.1136/thx.31.4.414" TargetMode="External"/><Relationship Id="rId113" Type="http://schemas.openxmlformats.org/officeDocument/2006/relationships/hyperlink" Target="https://doi.org/10.21518/2079-701X-2014-16-61-64" TargetMode="External"/><Relationship Id="rId118" Type="http://schemas.openxmlformats.org/officeDocument/2006/relationships/footer" Target="footer1.xml"/><Relationship Id="rId80" Type="http://schemas.openxmlformats.org/officeDocument/2006/relationships/hyperlink" Target="https://ru.cc-inc.org/bode-index-copd-definition-914734-11607" TargetMode="External"/><Relationship Id="rId85" Type="http://schemas.openxmlformats.org/officeDocument/2006/relationships/hyperlink" Target="https://ru.cc-inc.org/bode-index-copd-definition-914734-11607" TargetMode="External"/><Relationship Id="rId12" Type="http://schemas.openxmlformats.org/officeDocument/2006/relationships/image" Target="media/image5.jpg"/><Relationship Id="rId17" Type="http://schemas.openxmlformats.org/officeDocument/2006/relationships/hyperlink" Target="https://doi.org/10.1016/j.diagmicrobio.2008.06.007" TargetMode="External"/><Relationship Id="rId33" Type="http://schemas.openxmlformats.org/officeDocument/2006/relationships/hyperlink" Target="https://doi.org/10.1186/s12931-020-01398-w" TargetMode="External"/><Relationship Id="rId38" Type="http://schemas.openxmlformats.org/officeDocument/2006/relationships/hyperlink" Target="https://doi.org/10.1186/s12931-020-01398-w" TargetMode="External"/><Relationship Id="rId59" Type="http://schemas.openxmlformats.org/officeDocument/2006/relationships/hyperlink" Target="https://doi.org/10.7326/0003-4819-93-3-391" TargetMode="External"/><Relationship Id="rId103" Type="http://schemas.openxmlformats.org/officeDocument/2006/relationships/hyperlink" Target="https://ru.cc-inc.org/bode-index-copd-definition-914734-11607" TargetMode="External"/><Relationship Id="rId108" Type="http://schemas.openxmlformats.org/officeDocument/2006/relationships/hyperlink" Target="https://doi.org/10.21518/2079-701X-2014-16-61-64" TargetMode="External"/><Relationship Id="rId54" Type="http://schemas.openxmlformats.org/officeDocument/2006/relationships/hyperlink" Target="https://doi.org/10.7326/0003-4819-142-4-200502150-00005" TargetMode="External"/><Relationship Id="rId70" Type="http://schemas.openxmlformats.org/officeDocument/2006/relationships/hyperlink" Target="https://doi.org/10.1136/thx.31.4.414" TargetMode="External"/><Relationship Id="rId75" Type="http://schemas.openxmlformats.org/officeDocument/2006/relationships/hyperlink" Target="https://doi.org/10.1056/nejmoa030287" TargetMode="External"/><Relationship Id="rId91" Type="http://schemas.openxmlformats.org/officeDocument/2006/relationships/hyperlink" Target="https://ru.cc-inc.org/bode-index-copd-definition-914734-11607" TargetMode="External"/><Relationship Id="rId96" Type="http://schemas.openxmlformats.org/officeDocument/2006/relationships/hyperlink" Target="https://ru.cc-inc.org/bode-index-copd-definition-914734-11607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hyperlink" Target="https://doi.org/10.1186/s40248-018-0152-5" TargetMode="External"/><Relationship Id="rId28" Type="http://schemas.openxmlformats.org/officeDocument/2006/relationships/hyperlink" Target="http://grls.rosminzdrav.ru/" TargetMode="External"/><Relationship Id="rId49" Type="http://schemas.openxmlformats.org/officeDocument/2006/relationships/hyperlink" Target="https://doi.org/10.7326/0003-4819-142-4-200502150-00005" TargetMode="External"/><Relationship Id="rId114" Type="http://schemas.openxmlformats.org/officeDocument/2006/relationships/hyperlink" Target="https://doi.org/10.21518/2079-701X-2014-16-61-64" TargetMode="External"/><Relationship Id="rId119" Type="http://schemas.openxmlformats.org/officeDocument/2006/relationships/footer" Target="footer2.xml"/><Relationship Id="rId44" Type="http://schemas.openxmlformats.org/officeDocument/2006/relationships/hyperlink" Target="https://doi.org/10.1164/rccm.202006-2618oc" TargetMode="External"/><Relationship Id="rId60" Type="http://schemas.openxmlformats.org/officeDocument/2006/relationships/hyperlink" Target="https://doi.org/10.7326/0003-4819-93-3-391" TargetMode="External"/><Relationship Id="rId65" Type="http://schemas.openxmlformats.org/officeDocument/2006/relationships/hyperlink" Target="https://doi.org/10.7326/0003-4819-93-3-391" TargetMode="External"/><Relationship Id="rId81" Type="http://schemas.openxmlformats.org/officeDocument/2006/relationships/hyperlink" Target="https://ru.cc-inc.org/bode-index-copd-definition-914734-11607" TargetMode="External"/><Relationship Id="rId86" Type="http://schemas.openxmlformats.org/officeDocument/2006/relationships/hyperlink" Target="https://ru.cc-inc.org/bode-index-copd-definition-914734-11607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hyperlink" Target="https://doi.org/10.1016/j.diagmicrobio.2008.06.007" TargetMode="External"/><Relationship Id="rId39" Type="http://schemas.openxmlformats.org/officeDocument/2006/relationships/hyperlink" Target="https://doi.org/10.1186/s12931-020-01398-w" TargetMode="External"/><Relationship Id="rId109" Type="http://schemas.openxmlformats.org/officeDocument/2006/relationships/hyperlink" Target="https://doi.org/10.21518/2079-701X-2014-16-61-64" TargetMode="External"/><Relationship Id="rId34" Type="http://schemas.openxmlformats.org/officeDocument/2006/relationships/hyperlink" Target="https://doi.org/10.1186/s12931-020-01398-w" TargetMode="External"/><Relationship Id="rId50" Type="http://schemas.openxmlformats.org/officeDocument/2006/relationships/hyperlink" Target="https://doi.org/10.7326/0003-4819-142-4-200502150-00005" TargetMode="External"/><Relationship Id="rId55" Type="http://schemas.openxmlformats.org/officeDocument/2006/relationships/hyperlink" Target="https://doi.org/10.7326/0003-4819-142-4-200502150-00005" TargetMode="External"/><Relationship Id="rId76" Type="http://schemas.openxmlformats.org/officeDocument/2006/relationships/image" Target="media/image12.jpg"/><Relationship Id="rId97" Type="http://schemas.openxmlformats.org/officeDocument/2006/relationships/hyperlink" Target="https://ru.cc-inc.org/bode-index-copd-definition-914734-11607" TargetMode="External"/><Relationship Id="rId104" Type="http://schemas.openxmlformats.org/officeDocument/2006/relationships/hyperlink" Target="https://ru.cc-inc.org/bode-index-copd-definition-914734-11607" TargetMode="External"/><Relationship Id="rId120" Type="http://schemas.openxmlformats.org/officeDocument/2006/relationships/footer" Target="footer3.xml"/><Relationship Id="rId7" Type="http://schemas.openxmlformats.org/officeDocument/2006/relationships/image" Target="media/image1.png"/><Relationship Id="rId71" Type="http://schemas.openxmlformats.org/officeDocument/2006/relationships/hyperlink" Target="https://doi.org/10.1056/nejmoa030287" TargetMode="External"/><Relationship Id="rId92" Type="http://schemas.openxmlformats.org/officeDocument/2006/relationships/hyperlink" Target="https://ru.cc-inc.org/bode-index-copd-definition-914734-11607" TargetMode="External"/><Relationship Id="rId2" Type="http://schemas.openxmlformats.org/officeDocument/2006/relationships/styles" Target="styles.xml"/><Relationship Id="rId29" Type="http://schemas.openxmlformats.org/officeDocument/2006/relationships/image" Target="media/image10.png"/><Relationship Id="rId24" Type="http://schemas.openxmlformats.org/officeDocument/2006/relationships/hyperlink" Target="https://doi.org/10.1186/s40248-018-0152-5" TargetMode="External"/><Relationship Id="rId40" Type="http://schemas.openxmlformats.org/officeDocument/2006/relationships/hyperlink" Target="https://doi.org/10.1164/rccm.202006-2618oc" TargetMode="External"/><Relationship Id="rId45" Type="http://schemas.openxmlformats.org/officeDocument/2006/relationships/hyperlink" Target="https://doi.org/10.1164/rccm.202006-2618oc" TargetMode="External"/><Relationship Id="rId66" Type="http://schemas.openxmlformats.org/officeDocument/2006/relationships/hyperlink" Target="https://doi.org/10.7326/0003-4819-93-3-391" TargetMode="External"/><Relationship Id="rId87" Type="http://schemas.openxmlformats.org/officeDocument/2006/relationships/hyperlink" Target="https://ru.cc-inc.org/bode-index-copd-definition-914734-11607" TargetMode="External"/><Relationship Id="rId110" Type="http://schemas.openxmlformats.org/officeDocument/2006/relationships/hyperlink" Target="https://doi.org/10.21518/2079-701X-2014-16-61-64" TargetMode="External"/><Relationship Id="rId115" Type="http://schemas.openxmlformats.org/officeDocument/2006/relationships/hyperlink" Target="https://doi.org/10.21518/2079-701X-2014-16-61-64" TargetMode="External"/><Relationship Id="rId61" Type="http://schemas.openxmlformats.org/officeDocument/2006/relationships/hyperlink" Target="https://doi.org/10.7326/0003-4819-93-3-391" TargetMode="External"/><Relationship Id="rId82" Type="http://schemas.openxmlformats.org/officeDocument/2006/relationships/hyperlink" Target="https://ru.cc-inc.org/bode-index-copd-definition-914734-11607" TargetMode="External"/><Relationship Id="rId19" Type="http://schemas.openxmlformats.org/officeDocument/2006/relationships/hyperlink" Target="https://doi.org/10.1186/s40248-018-0152-5" TargetMode="External"/><Relationship Id="rId14" Type="http://schemas.openxmlformats.org/officeDocument/2006/relationships/image" Target="media/image7.jpg"/><Relationship Id="rId30" Type="http://schemas.openxmlformats.org/officeDocument/2006/relationships/image" Target="media/image11.jpg"/><Relationship Id="rId35" Type="http://schemas.openxmlformats.org/officeDocument/2006/relationships/hyperlink" Target="https://doi.org/10.1186/s12931-020-01398-w" TargetMode="External"/><Relationship Id="rId56" Type="http://schemas.openxmlformats.org/officeDocument/2006/relationships/hyperlink" Target="https://doi.org/10.7326/0003-4819-142-4-200502150-00005" TargetMode="External"/><Relationship Id="rId77" Type="http://schemas.openxmlformats.org/officeDocument/2006/relationships/hyperlink" Target="https://ru.cc-inc.org/bode-index-copd-definition-914734-11607" TargetMode="External"/><Relationship Id="rId100" Type="http://schemas.openxmlformats.org/officeDocument/2006/relationships/hyperlink" Target="https://ru.cc-inc.org/bode-index-copd-definition-914734-11607" TargetMode="External"/><Relationship Id="rId105" Type="http://schemas.openxmlformats.org/officeDocument/2006/relationships/hyperlink" Target="https://doi.org/10.21518/2079-701X-2014-16-61-64" TargetMode="External"/><Relationship Id="rId8" Type="http://schemas.openxmlformats.org/officeDocument/2006/relationships/image" Target="media/image0.png"/><Relationship Id="rId51" Type="http://schemas.openxmlformats.org/officeDocument/2006/relationships/hyperlink" Target="https://doi.org/10.7326/0003-4819-142-4-200502150-00005" TargetMode="External"/><Relationship Id="rId72" Type="http://schemas.openxmlformats.org/officeDocument/2006/relationships/hyperlink" Target="https://doi.org/10.1056/nejmoa030287" TargetMode="External"/><Relationship Id="rId93" Type="http://schemas.openxmlformats.org/officeDocument/2006/relationships/hyperlink" Target="https://ru.cc-inc.org/bode-index-copd-definition-914734-11607" TargetMode="External"/><Relationship Id="rId98" Type="http://schemas.openxmlformats.org/officeDocument/2006/relationships/hyperlink" Target="https://ru.cc-inc.org/bode-index-copd-definition-914734-11607" TargetMode="External"/><Relationship Id="rId121" Type="http://schemas.openxmlformats.org/officeDocument/2006/relationships/fontTable" Target="fontTable.xml"/><Relationship Id="rId3" Type="http://schemas.openxmlformats.org/officeDocument/2006/relationships/settings" Target="settings.xml"/><Relationship Id="rId25" Type="http://schemas.openxmlformats.org/officeDocument/2006/relationships/hyperlink" Target="https://doi.org/10.1186/s40248-018-0152-5" TargetMode="External"/><Relationship Id="rId46" Type="http://schemas.openxmlformats.org/officeDocument/2006/relationships/hyperlink" Target="https://doi.org/10.7326/0003-4819-142-4-200502150-00005" TargetMode="External"/><Relationship Id="rId67" Type="http://schemas.openxmlformats.org/officeDocument/2006/relationships/hyperlink" Target="https://doi.org/10.7326/0003-4819-93-3-391" TargetMode="External"/><Relationship Id="rId116" Type="http://schemas.openxmlformats.org/officeDocument/2006/relationships/hyperlink" Target="https://doi.org/10.21518/2079-701X-2014-16-61-64" TargetMode="External"/><Relationship Id="rId20" Type="http://schemas.openxmlformats.org/officeDocument/2006/relationships/hyperlink" Target="https://doi.org/10.1186/s40248-018-0152-5" TargetMode="External"/><Relationship Id="rId41" Type="http://schemas.openxmlformats.org/officeDocument/2006/relationships/hyperlink" Target="https://doi.org/10.1164/rccm.202006-2618oc" TargetMode="External"/><Relationship Id="rId62" Type="http://schemas.openxmlformats.org/officeDocument/2006/relationships/hyperlink" Target="https://doi.org/10.7326/0003-4819-93-3-391" TargetMode="External"/><Relationship Id="rId83" Type="http://schemas.openxmlformats.org/officeDocument/2006/relationships/hyperlink" Target="https://ru.cc-inc.org/bode-index-copd-definition-914734-11607" TargetMode="External"/><Relationship Id="rId88" Type="http://schemas.openxmlformats.org/officeDocument/2006/relationships/hyperlink" Target="https://ru.cc-inc.org/bode-index-copd-definition-914734-11607" TargetMode="External"/><Relationship Id="rId111" Type="http://schemas.openxmlformats.org/officeDocument/2006/relationships/hyperlink" Target="https://doi.org/10.21518/2079-701X-2014-16-61-64" TargetMode="External"/><Relationship Id="rId15" Type="http://schemas.openxmlformats.org/officeDocument/2006/relationships/image" Target="media/image8.png"/><Relationship Id="rId36" Type="http://schemas.openxmlformats.org/officeDocument/2006/relationships/hyperlink" Target="https://doi.org/10.1186/s12931-020-01398-w" TargetMode="External"/><Relationship Id="rId57" Type="http://schemas.openxmlformats.org/officeDocument/2006/relationships/hyperlink" Target="https://doi.org/10.7326/0003-4819-142-4-200502150-00005" TargetMode="External"/><Relationship Id="rId106" Type="http://schemas.openxmlformats.org/officeDocument/2006/relationships/hyperlink" Target="https://doi.org/10.21518/2079-701X-2014-16-61-64" TargetMode="External"/><Relationship Id="rId10" Type="http://schemas.openxmlformats.org/officeDocument/2006/relationships/image" Target="media/image3.png"/><Relationship Id="rId31" Type="http://schemas.openxmlformats.org/officeDocument/2006/relationships/hyperlink" Target="https://doi.org/10.1186/s12931-020-01398-w" TargetMode="External"/><Relationship Id="rId52" Type="http://schemas.openxmlformats.org/officeDocument/2006/relationships/hyperlink" Target="https://doi.org/10.7326/0003-4819-142-4-200502150-00005" TargetMode="External"/><Relationship Id="rId73" Type="http://schemas.openxmlformats.org/officeDocument/2006/relationships/hyperlink" Target="https://doi.org/10.1056/nejmoa030287" TargetMode="External"/><Relationship Id="rId78" Type="http://schemas.openxmlformats.org/officeDocument/2006/relationships/hyperlink" Target="https://ru.cc-inc.org/bode-index-copd-definition-914734-11607" TargetMode="External"/><Relationship Id="rId94" Type="http://schemas.openxmlformats.org/officeDocument/2006/relationships/hyperlink" Target="https://ru.cc-inc.org/bode-index-copd-definition-914734-11607" TargetMode="External"/><Relationship Id="rId99" Type="http://schemas.openxmlformats.org/officeDocument/2006/relationships/hyperlink" Target="https://ru.cc-inc.org/bode-index-copd-definition-914734-11607" TargetMode="External"/><Relationship Id="rId101" Type="http://schemas.openxmlformats.org/officeDocument/2006/relationships/hyperlink" Target="https://ru.cc-inc.org/bode-index-copd-definition-914734-11607" TargetMode="External"/><Relationship Id="rId1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29490</Words>
  <Characters>168098</Characters>
  <Application>Microsoft Office Word</Application>
  <DocSecurity>4</DocSecurity>
  <Lines>1400</Lines>
  <Paragraphs>394</Paragraphs>
  <ScaleCrop>false</ScaleCrop>
  <Company/>
  <LinksUpToDate>false</LinksUpToDate>
  <CharactersWithSpaces>197194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Российское респираторное общество</dc:title>
  <dc:subject/>
  <dc:creator>Сергей</dc:creator>
  <cp:keywords/>
  <cp:lastModifiedBy>word</cp:lastModifiedBy>
  <cp:revision>2</cp:revision>
  <dcterms:created xsi:type="dcterms:W3CDTF">2023-10-23T14:55:00Z</dcterms:created>
  <dcterms:modified xsi:type="dcterms:W3CDTF">2023-10-23T14:55:00Z</dcterms:modified>
</cp:coreProperties>
</file>