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0C9" w:rsidRPr="002930C9" w:rsidRDefault="002930C9" w:rsidP="00293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>
            <wp:extent cx="3390900" cy="2263140"/>
            <wp:effectExtent l="0" t="0" r="0" b="381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0C9" w:rsidRPr="002930C9" w:rsidRDefault="002930C9" w:rsidP="00293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рекомендации</w:t>
      </w:r>
    </w:p>
    <w:p w:rsidR="002930C9" w:rsidRPr="002930C9" w:rsidRDefault="002930C9" w:rsidP="002930C9">
      <w:pPr>
        <w:shd w:val="clear" w:color="auto" w:fill="FFFFFF"/>
        <w:spacing w:before="750" w:after="16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Эритразма</w:t>
      </w:r>
    </w:p>
    <w:p w:rsidR="002930C9" w:rsidRPr="002930C9" w:rsidRDefault="002930C9" w:rsidP="002930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Кодирование по Международной статистической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  <w:t>классификации болезней и проблем, связанных со здоровьем:</w:t>
      </w: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L08.1</w:t>
      </w:r>
    </w:p>
    <w:p w:rsidR="002930C9" w:rsidRPr="002930C9" w:rsidRDefault="002930C9" w:rsidP="002930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Год утверждения (частота пересмотра):</w:t>
      </w: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2022</w:t>
      </w:r>
    </w:p>
    <w:p w:rsidR="002930C9" w:rsidRPr="002930C9" w:rsidRDefault="002930C9" w:rsidP="002930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Возрастная категория:</w:t>
      </w: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Взрослые,Дети</w:t>
      </w:r>
    </w:p>
    <w:p w:rsidR="002930C9" w:rsidRPr="002930C9" w:rsidRDefault="002930C9" w:rsidP="002930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Пересмотр не позднее:</w:t>
      </w: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2024</w:t>
      </w:r>
    </w:p>
    <w:p w:rsidR="002930C9" w:rsidRPr="002930C9" w:rsidRDefault="002930C9" w:rsidP="002930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ID:</w:t>
      </w: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200</w:t>
      </w:r>
    </w:p>
    <w:p w:rsidR="002930C9" w:rsidRPr="002930C9" w:rsidRDefault="002930C9" w:rsidP="002930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Разработчик клинической рекомендации</w:t>
      </w:r>
    </w:p>
    <w:p w:rsidR="002930C9" w:rsidRPr="002930C9" w:rsidRDefault="002930C9" w:rsidP="002930C9">
      <w:pPr>
        <w:numPr>
          <w:ilvl w:val="0"/>
          <w:numId w:val="1"/>
        </w:numPr>
        <w:shd w:val="clear" w:color="auto" w:fill="FFFFFF"/>
        <w:spacing w:after="15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Общероссийская общественная организация "Российское общество дерматовенерологов и косметологов"</w:t>
      </w:r>
    </w:p>
    <w:p w:rsidR="002930C9" w:rsidRPr="002930C9" w:rsidRDefault="002930C9" w:rsidP="002930C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Одобрено Научно-практическим Советом Минздрава РФ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Оглавление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сокращений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Термины и определения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1.1 Определение заболевания или состояния (группы заболеваний или состояний)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 Жалобы и анамнез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2.2 Физикальное обследование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2.3 Лабораторные диагностические исследования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2.4 Инструментальные диагностические исследования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2.5 Иные диагностические исследования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Организация оказания медицинской помощи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оценки качества медицинской помощи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литературы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Приложение А2. Методология разработки клинических рекомендаций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Б. Алгоритмы действий врача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В. Информация для пациента</w:t>
      </w:r>
    </w:p>
    <w:p w:rsidR="002930C9" w:rsidRPr="002930C9" w:rsidRDefault="002930C9" w:rsidP="002930C9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val="en-US"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</w:t>
      </w: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val="en-US" w:eastAsia="ru-RU"/>
        </w:rPr>
        <w:t xml:space="preserve"> </w:t>
      </w: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сокращений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</w:pP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>C. minutissimum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val="en-US" w:eastAsia="ru-RU"/>
        </w:rPr>
        <w:t> –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val="en-US" w:eastAsia="ru-RU"/>
        </w:rPr>
        <w:t>Corynebacterium minutissimum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Термины и определения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Лампа Вуда – это диагностическая лампа, излучающая преимущественно в длинноволновой части ультрафиолетового диапазона.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Эритразма – это бактериальное заболевание кожи, возбудителем которого является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C. minutissimum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1.2 Этиология и патогенез заболевания или состояния (группы заболеваний или состояний)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Возбудитель эритразмы – грамположительная палочка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Corynebacterium minutissimum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 которая определяется в составе нормальной микрофлоры кожных покровов человека, однако под влиянием предрасполагающих к развитию заболевания факторов микроорганизм проявляет патогенные свойства. Предрасполагающими факторами являются повышенная потливость, повышенная влажность, нарушения иммунитета, сахарный диабет, ожирение, несоблюдение мер личной гигиены [1].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Заболевание распространено повсеместно, однако наиболее часто встречается в регионах с жарким и влажным климатом. Болеют чаще мужчины. Контагиозность заболевания невысокая.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Другие местные инфекции кожи и подкожной клетчатки 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(L08):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L08.1 – Эритразма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1.5 Классификация заболевания или состояния (группы заболеваний или состояний)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Отсутствует.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Высыпания чаще всего локализуются на коже пахово-бедренных складок и примыкающей к ним коже бедер и в подмышечной области, возможно поражение кожи складок под молочными железами, живота и межпальцевых складок стоп.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Высыпания имеют вид красновато-коричневых и кирпично-красных пятен с четкими границами, которые, сливаясь, образуют крупные очаги поражения с фестончатыми очертаниями. В межпальцевых складках отмечаются длительно существующие мацерация, шелушение, трещины.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лучах лампы Вуда в очагах поражения при эритразме проявляется кораллово-красное свечение.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Заболевание может сопровождаться зудом.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Критерии установления диагноза: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Диагноз устанавливается на основании визуального исследования кожи и при необходимости подтверждается результатами лабораторных (микроскопическое исследование соскоба с кожи) и/или инструментальных (люминесцентная диагностика – осмотр под лампой Вуда) методов исследования: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2.1 Жалобы и анамнез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Пациенты могут предъявлять жалобы на зуд.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2.2 Физикальное обследование</w:t>
      </w:r>
    </w:p>
    <w:p w:rsidR="002930C9" w:rsidRPr="002930C9" w:rsidRDefault="002930C9" w:rsidP="002930C9">
      <w:pPr>
        <w:numPr>
          <w:ilvl w:val="0"/>
          <w:numId w:val="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</w:t>
      </w: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установления клинических признаков заболевания визуальное исследование кожи [1].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Определяются локализация высыпаний и их характер.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2930C9" w:rsidRPr="002930C9" w:rsidRDefault="002930C9" w:rsidP="002930C9">
      <w:pPr>
        <w:numPr>
          <w:ilvl w:val="0"/>
          <w:numId w:val="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микроскопическое исследование соскоба кожи для обнаружения возбудителя [1].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микроскопическом исследовании соскоба с кожи, предварительно окрашенного по Граму, обнаруживаются грамположительные изогнутые палочки C. minutissimum.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2.4 Инструментальные диагностические исследования</w:t>
      </w:r>
    </w:p>
    <w:p w:rsidR="002930C9" w:rsidRPr="002930C9" w:rsidRDefault="002930C9" w:rsidP="002930C9">
      <w:pPr>
        <w:numPr>
          <w:ilvl w:val="0"/>
          <w:numId w:val="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люминесцентная диагностика (осмотр под лампой Вуда) [1].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осмотре под лампой Вуда обнаруживается характерное для эритразмы кораллово-красное или кирпично-красное свечение, обусловленное продукцией порфиринов возбудителем заболевания C. minutissimum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 применяются.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2930C9" w:rsidRPr="002930C9" w:rsidRDefault="002930C9" w:rsidP="002930C9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3.1 Консервативное лечение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Для лечения пациентов с эритразмой может назначаться как наружная, так и системная терапия. Для наружной терапии используются прочие антибактериальные препараты для местного применения (фузидовая кислота), 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противомикробные препараты для лечения угревой сыпи (#эритромицин), противогрибковые препараты для местного применения (бифоназол, циклопирокс, изоконазол), при интенсивном зуде – 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кортикостероиды сильные в комбинации с другими препаратами (дифлукортолон + изоконазол). В случае поражения гладкой кожи пациентам с эритразмой показана системная терапия с использованием антибактериальных препаратов системного действия (эритромицин, тетрациклин).</w:t>
      </w:r>
    </w:p>
    <w:p w:rsidR="002930C9" w:rsidRPr="002930C9" w:rsidRDefault="002930C9" w:rsidP="002930C9">
      <w:pPr>
        <w:numPr>
          <w:ilvl w:val="0"/>
          <w:numId w:val="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при локализации очагов поражения в складках кожи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наружное применение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прочих антибактериальных препаратов для местного применения, 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противомикробных препаратов для лечения угревой сыпи, противогрибковых препаратов для местного применения: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фузидовая кислота, крем 2% наружно 3-4 раза в сутки в течение 2 недель [2].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В (уровень достоверности доказательств – 2)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или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#эритромицин 5% мазь 2 раза в сутки наружно, втирать в очаги поражения в течение 7 дней [3].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 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или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бифоназол крем 1 раза в сутки наружно на очаги поражения в течение 2 недель [4, 12, 13].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 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или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изоконазол крем наносят 1 раз в сутки наружно на пораженные участки кожи [8, 13, 14].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 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Комментарии: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Обычная продолжительность наружной терапии кремом изоконазол составляет 2–3 недели, в случае плохо поддающихся терапии инфекций – 4 недели. Возможно проведение и более длительного курса лечения.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 </w:t>
      </w:r>
    </w:p>
    <w:p w:rsidR="002930C9" w:rsidRPr="002930C9" w:rsidRDefault="002930C9" w:rsidP="002930C9">
      <w:pPr>
        <w:numPr>
          <w:ilvl w:val="0"/>
          <w:numId w:val="7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Рекомендуются при зуде в очагах поражения наружно наружно кортикостероиды сильные в комбинации с другими препаратами: 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дифлукортолон + изоконазол крем 2 раза в сутки наружно на очаги поражения в течение 5–7 дней, затем – изоконазол крем 1 раза в день на очаги поражения в течение 7 дней [7].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4) 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Комментарии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Препарат противопоказан детям до 2 лет.</w:t>
      </w:r>
    </w:p>
    <w:p w:rsidR="002930C9" w:rsidRPr="002930C9" w:rsidRDefault="002930C9" w:rsidP="002930C9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Рекомендуются при локализации очагов поражения на гладкой коже антибактериальные препараты системного действия: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эритромицин 0,25 г перорально 4 раза в сутки в течение 5–7 дней [2].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B (уровень достоверности доказательств – 2) 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Комментарии: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Системную терапию эритромицином следует проводить одновременно с наружной терапией. Препарат противопоказан детям до 14 лет.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или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#тетрациклин 0,25 г перорально 4 раза в сутки в течение 14 дней [1].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 </w:t>
      </w:r>
    </w:p>
    <w:p w:rsidR="002930C9" w:rsidRPr="002930C9" w:rsidRDefault="002930C9" w:rsidP="002930C9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3.2 Иное лечение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 применяется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4. Медицинская реабилитация и санаторно-курортное лечение, медицинские показания и противопоказания к применению методов </w:t>
      </w: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медицинской реабилитации, в том числе основанных на использовании природных лечебных факторов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 требуется.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2930C9" w:rsidRPr="002930C9" w:rsidRDefault="002930C9" w:rsidP="002930C9">
      <w:pPr>
        <w:numPr>
          <w:ilvl w:val="0"/>
          <w:numId w:val="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предотвращения повторного заболевания эритразмой дезинфекция белья и обуви, устранение потливости, соблюдение мер личной гигиены [6,8,9].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Комментарии: 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Во время лечения пациентам следует проводить дезинфекцию белья, носок, колготок, обуви и предметов обихода.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Нательное и постельное бельё, носки, чулки погружают в 2 % раствор дезинфицирующего средства [алкилдиметилбензиламмония хлорид 4,8% + алкилдиметилэтилбензиламмония хлорид 4,8%] («Самаровка») на 2 часа или 3% раствор – 1,5 часа, затем стирают и прополаскивают. Дезинфекция белья проводится 1 раз в неделю до выздоровления.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Дезинфекция обуви проводится методом протирания 2% раствором дезинфицирующего средства «Самаровка» при времени воздействия 2 часа.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Все работы со средством «Самаровка» следует проводить с защитой кожи рук резиновыми перчатками. Концентрат дезинфицирующего средства «Самаровка» разводят из расчета 1 чайная ложка на стакан воды (2% раствор) и 1,5 чайной ложки на стакан воды (3% раствор). Срок годности рабочих растворов – 14 дней [6].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Для дезинфекции белья, носок применяют кипячение в 1–2% мыльно-содовом растворе в течение 10–20 минут или в 2–3% растворе хозяйственного мыла в </w:t>
      </w:r>
      <w:r w:rsidRPr="002930C9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течение 5–10 минут, затем проглаживание горячим утюгом во влажном виде [9].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Показания для госпитализации в медицинскую организацию отсутствуют. Медицинская помощь оказывается в амбулаторных условиях.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2930C9" w:rsidRPr="002930C9" w:rsidRDefault="002930C9" w:rsidP="002930C9">
      <w:pPr>
        <w:numPr>
          <w:ilvl w:val="0"/>
          <w:numId w:val="1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 время лечения</w:t>
      </w: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повышения его эффективности</w:t>
      </w: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гигиенических целях использовать антибактериальное мыло [11].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5384"/>
        <w:gridCol w:w="3009"/>
        <w:gridCol w:w="2806"/>
      </w:tblGrid>
      <w:tr w:rsidR="002930C9" w:rsidRPr="002930C9" w:rsidTr="002930C9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 убедительности рекомендаций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 достоверности доказательств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микроскопическое исследование соскоба с кожи из очагов поражения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Выполнена люминесцентная диагностика (осмотр под лампой Вуда)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Проведена терапия </w:t>
            </w:r>
            <w:r w:rsidRPr="002930C9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антибиотиками для местного назначения или </w:t>
            </w: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противомикробными препаратами для лечения угревой сыпи или противогрибковыми препаратами для местного применения или кортикостероиды сильные  в комбинации с другими препаратами и (дифлукортолон + изоконазол) и/или антибактериальных препаратов системного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</w:tr>
    </w:tbl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литературы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 Holdiness M.R. Management of cutaneous erythrasma. Drugs 2002; №62 (8): 1131–1141.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 Avci O., Tanyildizi T., Kusku E. A comparison between the effectiveness of erythromycin, single-dose clarithromycin and topical fusidic acid in the treatment of erythrasma. J Dermatol Treat 2013; №24 (1): 70–74.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 Кожные и венерические болезни. Руководство для врачей. В двух томах – Т.1/Под ред. Ю.К. Скрипкина, В.Н. Мордовцева. – М., Медицина, 1999. – С.305–306.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 Lackner T.E., Clissold S.P. Bifonazole. A review of its antimicrobial activity and therapeutic use in superficial mycoses. Drugs 1989; №38 (2): 204–225.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 Степанова Ж.В. Грибковые заболевания. Диагностика и лечение. – М., Миклош, 2005. – С.97–99.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 Федорова Л.С., Степанова Ж.В., Кожичкина Н.В. Новые средства для дезинфекции обуви. Дезинфекционное дело. – 2005. – №3. – С.39–42.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7. Piergiorgio M. Effective treatment of erythrasma-associated inflammation and pruritus with isoconazole nitrate and diflucortolone valerate combination therapy. Mycoses 2013; №56 (Suppl.1): 38–40.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8. Степанова Ж.В. Профилактика грибковых заболеваний. М., 2008; с. 12–15.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9. Шеклаков Н.Д., Лещенко В.М. Методические рекомендации по клинике, диагностике, лечению и профилактике микозов стоп. М., 1979; с. 14–15.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10. Кашкин П.Н. Дерматомикозы. Руководство для врачей. Издательство Медицина. Ленинград, 1967; с. 223–227.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11. Dodge B.G., Knowles W.R., McBride M.E. et al., Treatment of erythrasma with an antibacterial soap. Arch Derm 1968; 97 (5): 549–552.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12. Earl D, Allenby L, Richards H, Wright CM. Bifonazole 1% gel in the treatment of superficial dermatophytoses and erythrasma of the feet and groin. Pharmatherapeutica. 1986;4(8):532-535.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13. Recommandations de traitements anti-infectieux en milieu hospitalier,  2017, p. 86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14. Микозы человека и противогрибковые препараты: монография/ А.К.Саданов, В.Э.Березин, Л.П.Треножникова и др.– Алматы, 2016. - 315 с.: ил.44; табл.17.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Кубанов Алексей Алексеевич – член-корр. РАН, доктор медицинских наук, профессор, президент Российского общества дерматовенерологов и косметологов. Конфликт интересов отсутствует.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 Чикин Вадим Викторович – доктор медицинских наук, член Российского общества дерматовенерологов и косметологов. Конфликт интересов отсутствует.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 Кожичкина Наталья Владимировна – кандидат медицинских наук, член Российского общества дерматовенерологов и косметологов. Конфликт интересов отсутствует.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Приложение А2. Методология разработки клинических рекомендаций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Целевая аудитория данных клинических рекомендаций: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Врачи-дерматовенерологи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Ординаторы и слушатели циклов повышения квалификации по специальности «Дерматовенерология».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1.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2930C9" w:rsidRPr="002930C9" w:rsidTr="002930C9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2.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 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2930C9" w:rsidRPr="002930C9" w:rsidTr="002930C9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Расшифровка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РКИ, с применением мета-анализа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исследования «случай-контроль»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3.</w:t>
      </w: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0954"/>
      </w:tblGrid>
      <w:tr w:rsidR="002930C9" w:rsidRPr="002930C9" w:rsidTr="002930C9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2930C9" w:rsidRPr="002930C9" w:rsidTr="002930C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2930C9" w:rsidRPr="002930C9" w:rsidRDefault="002930C9" w:rsidP="002930C9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2930C9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Порядок обновления клинических рекомендаций.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Данные клинические рекомендации разработаны с учётом следующих нормативно-правовых документов: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 Порядок оказания медицинской помощи по профилю «дерматовенерология», утвержденный Приказом Министерства здравоохранения Российской Федерации № 924н от 15 ноября 2012 г.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2930C9" w:rsidRPr="002930C9" w:rsidRDefault="002930C9" w:rsidP="002930C9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schema/200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E80807" id="Прямоугольник 1" o:spid="_x0000_s1026" alt="https://cr.minzdrav.gov.ru/schema/200_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KrdDqfUCAAD4&#10;BQAADgAAAAAAAAAAAAAAAAAuAgAAZHJzL2Uyb0RvYy54bWxQSwECLQAUAAYACAAAACEATKDpLNgA&#10;AAADAQAADwAAAAAAAAAAAAAAAABP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 Рекомендуется соблюдение правил личной гигиены.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 Рекомендуется ношение хлопчатобумажного белья и носков.</w:t>
      </w:r>
    </w:p>
    <w:p w:rsidR="002930C9" w:rsidRPr="002930C9" w:rsidRDefault="002930C9" w:rsidP="002930C9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 xml:space="preserve">Приложение Г1-ГN. Шкалы оценки, вопросники и другие оценочные инструменты состояния пациента, </w:t>
      </w:r>
      <w:r w:rsidRPr="002930C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приведенные в клинических рекомендациях</w:t>
      </w:r>
    </w:p>
    <w:p w:rsidR="002930C9" w:rsidRPr="002930C9" w:rsidRDefault="002930C9" w:rsidP="002930C9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2930C9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Отсутствуют.</w:t>
      </w:r>
    </w:p>
    <w:p w:rsidR="00576858" w:rsidRDefault="00576858">
      <w:bookmarkStart w:id="0" w:name="_GoBack"/>
      <w:bookmarkEnd w:id="0"/>
    </w:p>
    <w:sectPr w:rsidR="005768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E0B3E"/>
    <w:multiLevelType w:val="multilevel"/>
    <w:tmpl w:val="F51E1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00426E"/>
    <w:multiLevelType w:val="multilevel"/>
    <w:tmpl w:val="4BF2F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5E0834"/>
    <w:multiLevelType w:val="multilevel"/>
    <w:tmpl w:val="ECC04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AA1674"/>
    <w:multiLevelType w:val="multilevel"/>
    <w:tmpl w:val="2BE2F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AC260C"/>
    <w:multiLevelType w:val="multilevel"/>
    <w:tmpl w:val="94BC6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FF756B"/>
    <w:multiLevelType w:val="multilevel"/>
    <w:tmpl w:val="93663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3273C01"/>
    <w:multiLevelType w:val="multilevel"/>
    <w:tmpl w:val="489E4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9207DE"/>
    <w:multiLevelType w:val="multilevel"/>
    <w:tmpl w:val="FB50D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350DD4"/>
    <w:multiLevelType w:val="multilevel"/>
    <w:tmpl w:val="48AE9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5001E4"/>
    <w:multiLevelType w:val="multilevel"/>
    <w:tmpl w:val="7DE2B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4"/>
  </w:num>
  <w:num w:numId="8">
    <w:abstractNumId w:val="7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5B6"/>
    <w:rsid w:val="001945B6"/>
    <w:rsid w:val="002930C9"/>
    <w:rsid w:val="00576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EE5D81-4521-4CF3-AA1A-9D12D2254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930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930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30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930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gray">
    <w:name w:val="gray"/>
    <w:basedOn w:val="a0"/>
    <w:rsid w:val="002930C9"/>
  </w:style>
  <w:style w:type="paragraph" w:styleId="a3">
    <w:name w:val="Normal (Web)"/>
    <w:basedOn w:val="a"/>
    <w:uiPriority w:val="99"/>
    <w:semiHidden/>
    <w:unhideWhenUsed/>
    <w:rsid w:val="00293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930C9"/>
    <w:rPr>
      <w:i/>
      <w:iCs/>
    </w:rPr>
  </w:style>
  <w:style w:type="character" w:styleId="a5">
    <w:name w:val="Strong"/>
    <w:basedOn w:val="a0"/>
    <w:uiPriority w:val="22"/>
    <w:qFormat/>
    <w:rsid w:val="002930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D3E8"/>
            <w:right w:val="none" w:sz="0" w:space="0" w:color="auto"/>
          </w:divBdr>
          <w:divsChild>
            <w:div w:id="69200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425615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742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1017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0550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285282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807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3009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020347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13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80509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99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52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5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808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2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96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674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6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690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16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32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312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1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75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5179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08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30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778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6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34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73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3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10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22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33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448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2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69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393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18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71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4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83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428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26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1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67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24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44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119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4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9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018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89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93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377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23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791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874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3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7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678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8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991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210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51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50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0536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50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9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247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5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76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5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88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401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340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34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484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7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05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552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6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813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789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33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55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2835</Words>
  <Characters>16162</Characters>
  <Application>Microsoft Office Word</Application>
  <DocSecurity>0</DocSecurity>
  <Lines>134</Lines>
  <Paragraphs>37</Paragraphs>
  <ScaleCrop>false</ScaleCrop>
  <Company/>
  <LinksUpToDate>false</LinksUpToDate>
  <CharactersWithSpaces>18960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2024-03-19T21:17:00Z</dcterms:created>
  <dcterms:modified xsi:type="dcterms:W3CDTF">2024-03-19T21:17:00Z</dcterms:modified>
</cp:coreProperties>
</file>